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rPr/>
      </w:pPr>
      <w:r>
        <w:rPr/>
        <w:t>B&amp;S Agent Skill 架构生态升级专项</w:t>
      </w:r>
    </w:p>
    <w:p>
      <w:pPr>
        <w:pStyle w:val="bz64qe"/>
        <w:pBdr>
          <w:bottom w:val="none" w:sz="6"/>
        </w:pBdr>
        <w:snapToGrid/>
        <w:spacing w:before="480" w:after="280" w:line="240"/>
        <w:ind w:left="0" w:right="0" w:hanging="0"/>
        <w:rPr>
          <w:rFonts w:hint="eastAsia"/>
          <w:color w:val="000000"/>
        </w:rPr>
      </w:pPr>
      <w:r>
        <w:rPr>
          <w:rFonts w:hint="eastAsia"/>
          <w:color w:val="000000"/>
        </w:rPr>
        <w:t>【05-07】</w:t>
      </w:r>
      <w:r>
        <w:rPr>
          <w:rFonts w:hint="eastAsia"/>
          <w:color w:val="000000"/>
        </w:rPr>
        <w:t>从"协议约定"到"可机读契约"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三厂工业链治理层升级</w:t>
      </w:r>
    </w:p>
    <w:p>
      <w:pPr>
        <w:snapToGrid/>
        <w:spacing w:before="0" w:after="240" w:line="240"/>
        <w:ind w:hanging="0"/>
        <w:rPr>
          <w:color w:val="000000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</w:rPr>
        <w:t>日期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</w:rPr>
        <w:t>：2026-05-07</w:t>
      </w:r>
    </w:p>
    <w:p>
      <w:pPr>
        <w:snapToGrid/>
        <w:spacing w:before="0" w:after="240" w:line="240"/>
        <w:ind w:hanging="0"/>
        <w:rPr>
          <w:color w:val="000000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</w:rPr>
        <w:t>分支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</w:rPr>
        <w:t>：v0.0.2</w:t>
      </w:r>
    </w:p>
    <w:p>
      <w:pPr>
        <w:snapToGrid/>
        <w:spacing w:before="0" w:after="240" w:line="240"/>
        <w:ind w:hanging="0"/>
        <w:rPr>
          <w:color w:val="000000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</w:rPr>
        <w:t>提交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</w:rPr>
        <w:t>：38f5aaf（基线 b8bd183）</w:t>
      </w:r>
    </w:p>
    <w:p>
      <w:pPr>
        <w:pBdr>
          <w:bottom w:val="none" w:color="000000" w:sz="8"/>
        </w:pBdr>
        <w:snapToGrid/>
        <w:spacing w:before="0" w:after="240" w:line="240"/>
        <w:ind w:hanging="0"/>
        <w:rPr>
          <w:color w:val="000000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</w:rPr>
        <w:t>变更规模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</w:rPr>
        <w:t>：17 文件 · +805 / −24 行 · 新增 3 文件</w:t>
      </w:r>
    </w:p>
    <w:p>
      <w:pPr>
        <w:pStyle w:val="nzb9bb"/>
        <w:rPr/>
      </w:pPr>
      <w:r>
        <w:rPr/>
        <w:t>一、本次目标</w:t>
      </w:r>
    </w:p>
    <w:p>
      <w:pPr>
        <w:pBdr>
          <w:bottom w:val="none" w:color="000000" w:sz="8"/>
        </w:pBdr>
        <w:snapToGrid/>
        <w:spacing w:before="0" w:after="240" w:line="240"/>
        <w:ind w:hanging="0"/>
        <w:rPr>
          <w:color w:val="000000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</w:rPr>
        <w:t>对总监 + 三厂（BS / WDP / 数据接入）skill 集合做系统性深度审视，修复 v0.0.1 遗留的路径错误、协议漂移、命名混淆、状态机字段缺位、用户卡点指引缺失等 8 类问题，让"纸面协议"真正可被三厂稳定执行、可机读、可续传。</w:t>
      </w:r>
    </w:p>
    <w:p>
      <w:pPr>
        <w:pStyle w:val="nzb9bb"/>
        <w:rPr/>
      </w:pPr>
      <w:r>
        <w:rPr/>
        <w:t>二、相对 v0.0.1 的可量化提升</w:t>
      </w:r>
    </w:p>
    <w:tbl>
      <w:tblPr>
        <w:tblStyle w:val="kkxgsa"/>
        <w:tblLayout w:type="fixed"/>
      </w:tblPr>
      <w:tblGrid>
        <w:gridCol w:w="645"/>
        <w:gridCol w:w="1830"/>
        <w:gridCol w:w="3225"/>
        <w:gridCol w:w="4920"/>
        <w:gridCol w:w="4575"/>
      </w:tblGrid>
      <w:tr>
        <w:trPr>
          <w:wBefore/>
          <w:trHeight/>
        </w:trPr>
        <w:tc>
          <w:tcPr>
            <w:tcW w:w="645" w:type="dxa"/>
            <w:tcBorders>
              <w:top w:val="single" w:color="CBCDD1" w:sz="0" w:space="0"/>
              <w:left w:val="single" w:color="CBCDD1" w:sz="0" w:space="0"/>
              <w:bottom w:val="single" w:color="ffffff" w:sz="8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#</w:t>
            </w:r>
          </w:p>
        </w:tc>
        <w:tc>
          <w:tcPr>
            <w:tcW w:w="1830" w:type="dxa"/>
            <w:tcBorders>
              <w:top w:val="single" w:color="CBCDD1" w:sz="0" w:space="0"/>
              <w:left w:val="single" w:color="CBCDD1" w:sz="0" w:space="0"/>
              <w:bottom w:val="single" w:color="ffffff" w:sz="8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维度</w:t>
            </w:r>
          </w:p>
        </w:tc>
        <w:tc>
          <w:tcPr>
            <w:tcW w:w="3225" w:type="dxa"/>
            <w:tcBorders>
              <w:top w:val="single" w:color="CBCDD1" w:sz="0" w:space="0"/>
              <w:left w:val="single" w:color="CBCDD1" w:sz="0" w:space="0"/>
              <w:bottom w:val="single" w:color="ffffff" w:sz="8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v0.0.1 现状</w:t>
            </w:r>
          </w:p>
        </w:tc>
        <w:tc>
          <w:tcPr>
            <w:tcW w:w="4920" w:type="dxa"/>
            <w:tcBorders>
              <w:top w:val="single" w:color="CBCDD1" w:sz="0" w:space="0"/>
              <w:left w:val="single" w:color="CBCDD1" w:sz="0" w:space="0"/>
              <w:bottom w:val="single" w:color="ffffff" w:sz="8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v0.0.2 改进</w:t>
            </w:r>
          </w:p>
        </w:tc>
        <w:tc>
          <w:tcPr>
            <w:tcW w:w="4575" w:type="dxa"/>
            <w:tcBorders>
              <w:top w:val="single" w:color="CBCDD1" w:sz="0" w:space="0"/>
              <w:left w:val="single" w:color="CBCDD1" w:sz="0" w:space="0"/>
              <w:bottom w:val="single" w:color="ffffff" w:sz="8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量化提升</w:t>
            </w:r>
          </w:p>
        </w:tc>
      </w:tr>
      <w:tr>
        <w:trPr>
          <w:wBefore/>
          <w:trHeight/>
        </w:trPr>
        <w:tc>
          <w:tcPr>
            <w:tcW w:w="645" w:type="dxa"/>
            <w:tcBorders>
              <w:top w:val="single" w:color="ffffff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830" w:type="dxa"/>
            <w:tcBorders>
              <w:top w:val="single" w:color="ffffff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死链 / 错误路径</w:t>
            </w:r>
          </w:p>
        </w:tc>
        <w:tc>
          <w:tcPr>
            <w:tcW w:w="3225" w:type="dxa"/>
            <w:tcBorders>
              <w:top w:val="single" w:color="ffffff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sub-brain-b-panel.md 含 5 处 .github/skills/ 错误前缀，子脑 B 启动即 fail</w:t>
            </w:r>
          </w:p>
        </w:tc>
        <w:tc>
          <w:tcPr>
            <w:tcW w:w="4920" w:type="dxa"/>
            <w:tcBorders>
              <w:top w:val="single" w:color="ffffff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全部纠正为正确相对路径 + 多 IDE 部署回退说明</w:t>
            </w:r>
          </w:p>
        </w:tc>
        <w:tc>
          <w:tcPr>
            <w:tcW w:w="4575" w:type="dxa"/>
            <w:tcBorders>
              <w:top w:val="single" w:color="ffffff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5 处错误路径 → 0</w:t>
            </w:r>
          </w:p>
        </w:tc>
      </w:tr>
      <w:tr>
        <w:trPr>
          <w:wBefore/>
          <w:trHeight/>
        </w:trPr>
        <w:tc>
          <w:tcPr>
            <w:tcW w:w="6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83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子脑命名冲突</w:t>
            </w:r>
          </w:p>
        </w:tc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BS SKILL.md 引用 panel、batch-mode.md 引用 component，引用矛盾 2 处；新人易调错子脑</w:t>
            </w:r>
          </w:p>
        </w:tc>
        <w:tc>
          <w:tcPr>
            <w:tcW w:w="49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三个子脑顶部加角色定位块；BS SKILL.md 重写为"标准/批量"两节；明确"三者绝不混用"铁律</w:t>
            </w:r>
          </w:p>
        </w:tc>
        <w:tc>
          <w:tcPr>
            <w:tcW w:w="457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2 处矛盾引用 → 0；模式互斥规则 0 → 1 条铁律</w:t>
            </w:r>
          </w:p>
        </w:tc>
      </w:tr>
      <w:tr>
        <w:trPr>
          <w:wBefore/>
          <w:trHeight/>
        </w:trPr>
        <w:tc>
          <w:tcPr>
            <w:tcW w:w="6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83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厂回报 JSON 契约</w:t>
            </w:r>
          </w:p>
        </w:tc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三厂各自定义返回格式、字段名/层级不一致；总监解析易丢字段</w:t>
            </w:r>
          </w:p>
        </w:tc>
        <w:tc>
          <w:tcPr>
            <w:tcW w:w="49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新增 contracts/delivery-schema.md 作为唯一权威源，三厂 SKILL.md + 三个 invoke-*.md 全部引用</w:t>
            </w:r>
          </w:p>
        </w:tc>
        <w:tc>
          <w:tcPr>
            <w:tcW w:w="457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3 套各自为政 → 1 套统一契约；引用文件 0 → 6</w:t>
            </w:r>
          </w:p>
        </w:tc>
      </w:tr>
      <w:tr>
        <w:trPr>
          <w:wBefore/>
          <w:trHeight/>
        </w:trPr>
        <w:tc>
          <w:tcPr>
            <w:tcW w:w="6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83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错误码命名空间</w:t>
            </w:r>
          </w:p>
        </w:tc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未定义，blocker 描述自由文本</w:t>
            </w:r>
          </w:p>
        </w:tc>
        <w:tc>
          <w:tcPr>
            <w:tcW w:w="49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定义 B- / W- / D- / S- 四类命名空间</w:t>
            </w:r>
          </w:p>
        </w:tc>
        <w:tc>
          <w:tcPr>
            <w:tcW w:w="457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0 → 4 个命名空间</w:t>
            </w:r>
          </w:p>
        </w:tc>
      </w:tr>
      <w:tr>
        <w:trPr>
          <w:wBefore/>
          <w:trHeight/>
        </w:trPr>
        <w:tc>
          <w:tcPr>
            <w:tcW w:w="6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83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状态机字段写入责任</w:t>
            </w:r>
          </w:p>
        </w:tc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字段定义齐但"由谁/何时写入"未约束，易漏写、错主体</w:t>
            </w:r>
          </w:p>
        </w:tc>
        <w:tc>
          <w:tcPr>
            <w:tcW w:w="49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新增 STATE-SPEC §12 写入责任表（5 张：全局 / BS / WDP / 数据 / 跨切面）+ §12.6 厂端防越权纪律</w:t>
            </w:r>
          </w:p>
        </w:tc>
        <w:tc>
          <w:tcPr>
            <w:tcW w:w="457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责任表 0 → 5 张；厂端纪律 0 → 3 条</w:t>
            </w:r>
          </w:p>
        </w:tc>
      </w:tr>
      <w:tr>
        <w:trPr>
          <w:wBefore/>
          <w:trHeight/>
        </w:trPr>
        <w:tc>
          <w:tcPr>
            <w:tcW w:w="6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83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state-template.json 示例</w:t>
            </w:r>
          </w:p>
        </w:tc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仅空模板，无示例 task</w:t>
            </w:r>
          </w:p>
        </w:tc>
        <w:tc>
          <w:tcPr>
            <w:tcW w:w="49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保留空模板 + 新增完整示例 task 对象（pages/factories/history/blockers），可作 schema 速查与续传演练</w:t>
            </w:r>
          </w:p>
        </w:tc>
        <w:tc>
          <w:tcPr>
            <w:tcW w:w="457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 task 0 个 → 1 个完整对象（约 80 行）</w:t>
            </w:r>
          </w:p>
        </w:tc>
      </w:tr>
      <w:tr>
        <w:trPr>
          <w:wBefore/>
          <w:trHeight/>
        </w:trPr>
        <w:tc>
          <w:tcPr>
            <w:tcW w:w="6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83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key 阻断用户指引</w:t>
            </w:r>
          </w:p>
        </w:tc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仅描述阻断逻辑，无状态转移图、无用户操作指引</w:t>
            </w:r>
          </w:p>
        </w:tc>
        <w:tc>
          <w:tcPr>
            <w:tcW w:w="49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加状态转移图（ASCII）+「用户操作指南」三选一（A 自动 / B 部分采纳 / C 自定义）+ 3 条 FAQ</w:t>
            </w:r>
          </w:p>
        </w:tc>
        <w:tc>
          <w:tcPr>
            <w:tcW w:w="457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状态图 0 → 1；用户决策选项 隐式 → 3 项显式；FAQ 0 → 3</w:t>
            </w:r>
          </w:p>
        </w:tc>
      </w:tr>
      <w:tr>
        <w:trPr>
          <w:wBefore/>
          <w:trHeight/>
        </w:trPr>
        <w:tc>
          <w:tcPr>
            <w:tcW w:w="6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83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全局术语表</w:t>
            </w:r>
          </w:p>
        </w:tc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无；阶段术语跨厂漂移（step / phase / round / phaseOne 各说各话）</w:t>
            </w:r>
          </w:p>
        </w:tc>
        <w:tc>
          <w:tcPr>
            <w:tcW w:w="49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新增 GLOSSARY.md：6 节统一阶段、状态、阻断、资产、模式、角色命名，禁用 success/done/pending 等同义词</w:t>
            </w:r>
          </w:p>
        </w:tc>
        <w:tc>
          <w:tcPr>
            <w:tcW w:w="457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术语规范 0 → 6 节</w:t>
            </w:r>
          </w:p>
        </w:tc>
      </w:tr>
      <w:tr>
        <w:trPr>
          <w:wBefore/>
          <w:trHeight/>
        </w:trPr>
        <w:tc>
          <w:tcPr>
            <w:tcW w:w="6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83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批量物料权威源</w:t>
            </w:r>
          </w:p>
        </w:tc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表头描述散落在 2 个子脑文件，无示例行；用户拿不到一站式规范</w:t>
            </w:r>
          </w:p>
        </w:tc>
        <w:tc>
          <w:tcPr>
            <w:tcW w:w="49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新增 BATCH-MATERIALS.md：4 份物料完整表头、必填规则、6 行真实示例、3 条跨清单一致性铁律</w:t>
            </w:r>
          </w:p>
        </w:tc>
        <w:tc>
          <w:tcPr>
            <w:tcW w:w="457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集中权威源 0 → 1；示例行 0 → 6；跨清单铁律 0 → 3</w:t>
            </w:r>
          </w:p>
        </w:tc>
      </w:tr>
      <w:tr>
        <w:trPr>
          <w:wBefore/>
          <w:trHeight/>
        </w:trPr>
        <w:tc>
          <w:tcPr>
            <w:tcW w:w="6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83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WDP 阶段-1 节奏</w:t>
            </w:r>
          </w:p>
        </w:tc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自动探测与 Q1-Q5 问答逻辑混乱：探测通过仍走问卷</w:t>
            </w:r>
          </w:p>
        </w:tc>
        <w:tc>
          <w:tcPr>
            <w:tcW w:w="49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加「执行节奏」强约束：先探测、失败才问卷；通过则跳过；配置后必须重跑探测</w:t>
            </w:r>
          </w:p>
        </w:tc>
        <w:tc>
          <w:tcPr>
            <w:tcW w:w="457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节奏分支 隐式 → 4 步显式；多余打扰场景 1 → 0</w:t>
            </w:r>
          </w:p>
        </w:tc>
      </w:tr>
      <w:tr>
        <w:trPr>
          <w:wBefore/>
          <w:trHeight/>
        </w:trPr>
        <w:tc>
          <w:tcPr>
            <w:tcW w:w="6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83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新增治理文档</w:t>
            </w:r>
          </w:p>
        </w:tc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—</w:t>
            </w:r>
          </w:p>
        </w:tc>
        <w:tc>
          <w:tcPr>
            <w:tcW w:w="49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3 份新文档：delivery-schema.md / GLOSSARY.md / BATCH-MATERIALS.md</w:t>
            </w:r>
          </w:p>
        </w:tc>
        <w:tc>
          <w:tcPr>
            <w:tcW w:w="457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新增治理文档 0 → 3</w:t>
            </w:r>
          </w:p>
        </w:tc>
      </w:tr>
    </w:tbl>
    <w:p>
      <w:pPr>
        <w:pBdr>
          <w:bottom w:val="none" w:color="000000" w:sz="8"/>
        </w:pBdr>
        <w:ind/>
        <w:rPr>
          <w:color w:val="000000"/>
        </w:rPr>
      </w:pPr>
    </w:p>
    <w:p>
      <w:pPr>
        <w:pStyle w:val="nzb9bb"/>
        <w:rPr/>
      </w:pPr>
      <w:r>
        <w:rPr/>
        <w:t>三、设计原则（本次贯彻）</w:t>
      </w:r>
    </w:p>
    <w:tbl>
      <w:tblPr>
        <w:tblStyle w:val="kkxgsa"/>
        <w:tblLayout w:type="fixed"/>
      </w:tblPr>
      <w:tblGrid>
        <w:gridCol w:w="3225"/>
        <w:gridCol w:w="11820"/>
      </w:tblGrid>
      <w:tr>
        <w:trPr>
          <w:wBefore/>
          <w:trHeight/>
        </w:trPr>
        <w:tc>
          <w:tcPr>
            <w:tcW w:w="3225" w:type="dxa"/>
            <w:tcBorders>
              <w:top w:val="single" w:color="CBCDD1" w:sz="0" w:space="0"/>
              <w:left w:val="single" w:color="CBCDD1" w:sz="0" w:space="0"/>
              <w:bottom w:val="single" w:color="ffffff" w:sz="8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原则</w:t>
            </w:r>
          </w:p>
        </w:tc>
        <w:tc>
          <w:tcPr>
            <w:tcW w:w="11820" w:type="dxa"/>
            <w:tcBorders>
              <w:top w:val="single" w:color="CBCDD1" w:sz="0" w:space="0"/>
              <w:left w:val="single" w:color="CBCDD1" w:sz="0" w:space="0"/>
              <w:bottom w:val="single" w:color="ffffff" w:sz="8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落地方式</w:t>
            </w:r>
          </w:p>
        </w:tc>
      </w:tr>
      <w:tr>
        <w:trPr>
          <w:wBefore/>
          <w:trHeight/>
        </w:trPr>
        <w:tc>
          <w:tcPr>
            <w:tcW w:w="3225" w:type="dxa"/>
            <w:tcBorders>
              <w:top w:val="single" w:color="ffffff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单一权威源（SSoT）</w:t>
            </w:r>
          </w:p>
        </w:tc>
        <w:tc>
          <w:tcPr>
            <w:tcW w:w="11820" w:type="dxa"/>
            <w:tcBorders>
              <w:top w:val="single" w:color="ffffff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schema / 术语 / 物料 / 字段责任各设唯一文件，其他文件仅引用</w:t>
            </w:r>
          </w:p>
        </w:tc>
      </w:tr>
      <w:tr>
        <w:trPr>
          <w:wBefore/>
          <w:trHeight/>
        </w:trPr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强制可机读契约</w:t>
            </w:r>
          </w:p>
        </w:tc>
        <w:tc>
          <w:tcPr>
            <w:tcW w:w="118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厂回报必须 schema-valid，否则视为未交活</w:t>
            </w:r>
          </w:p>
        </w:tc>
      </w:tr>
      <w:tr>
        <w:trPr>
          <w:wBefore/>
          <w:trHeight/>
        </w:trPr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防越权</w:t>
            </w:r>
          </w:p>
        </w:tc>
        <w:tc>
          <w:tcPr>
            <w:tcW w:w="118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厂禁止读写 .skill-state.json，只产出 JSON 报告</w:t>
            </w:r>
          </w:p>
        </w:tc>
      </w:tr>
      <w:tr>
        <w:trPr>
          <w:wBefore/>
          <w:trHeight/>
        </w:trPr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可视化阻断</w:t>
            </w:r>
          </w:p>
        </w:tc>
        <w:tc>
          <w:tcPr>
            <w:tcW w:w="118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状态转移图 + 三选一指南，避免被卡死</w:t>
            </w:r>
          </w:p>
        </w:tc>
      </w:tr>
      <w:tr>
        <w:trPr>
          <w:wBefore/>
          <w:trHeight/>
        </w:trPr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节奏强约束</w:t>
            </w:r>
          </w:p>
        </w:tc>
        <w:tc>
          <w:tcPr>
            <w:tcW w:w="118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WDP 阶段-1、BS 模式互斥都用"禁止反向顺序"硬约束</w:t>
            </w:r>
          </w:p>
        </w:tc>
      </w:tr>
      <w:tr>
        <w:trPr>
          <w:wBefore/>
          <w:trHeight/>
        </w:trPr>
        <w:tc>
          <w:tcPr>
            <w:tcW w:w="322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向前兼容</w:t>
            </w:r>
          </w:p>
        </w:tc>
        <w:tc>
          <w:tcPr>
            <w:tcW w:w="1182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schema 与 state 均含 version 字段并约定变更纪律</w:t>
            </w:r>
          </w:p>
        </w:tc>
      </w:tr>
    </w:tbl>
    <w:p>
      <w:pPr>
        <w:pBdr>
          <w:bottom w:val="none" w:color="000000" w:sz="8"/>
        </w:pBdr>
        <w:snapToGrid/>
        <w:spacing w:before="0" w:after="240" w:line="240"/>
        <w:ind w:hanging="0"/>
        <w:rPr>
          <w:color w:val="000000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</w:rPr>
        <w:t>质量校验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</w:rPr>
        <w:t>：state-template.json 通过 JSON.parse 校验通过；所有内部链接使用工作区相对路径，无死链；commit / push 均成功（b8bd183 → 38f5aaf）。</w:t>
      </w:r>
    </w:p>
    <w:p>
      <w:pPr>
        <w:pStyle w:val="nzb9bb"/>
        <w:rPr/>
      </w:pPr>
      <w:r>
        <w:rPr/>
        <w:t>四、新增文件清单</w:t>
      </w:r>
    </w:p>
    <w:tbl>
      <w:tblPr>
        <w:tblStyle w:val="kkxgsa"/>
        <w:tblLayout w:type="fixed"/>
      </w:tblPr>
      <w:tblGrid>
        <w:gridCol w:w="6855"/>
        <w:gridCol w:w="1755"/>
        <w:gridCol w:w="6285"/>
      </w:tblGrid>
      <w:tr>
        <w:trPr>
          <w:wBefore/>
          <w:trHeight/>
        </w:trPr>
        <w:tc>
          <w:tcPr>
            <w:tcW w:w="6855" w:type="dxa"/>
            <w:tcBorders>
              <w:top w:val="single" w:color="CBCDD1" w:sz="0" w:space="0"/>
              <w:left w:val="single" w:color="CBCDD1" w:sz="0" w:space="0"/>
              <w:bottom w:val="single" w:color="ffffff" w:sz="8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文件</w:t>
            </w:r>
          </w:p>
        </w:tc>
        <w:tc>
          <w:tcPr>
            <w:tcW w:w="1755" w:type="dxa"/>
            <w:tcBorders>
              <w:top w:val="single" w:color="CBCDD1" w:sz="0" w:space="0"/>
              <w:left w:val="single" w:color="CBCDD1" w:sz="0" w:space="0"/>
              <w:bottom w:val="single" w:color="ffffff" w:sz="8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行数</w:t>
            </w:r>
          </w:p>
        </w:tc>
        <w:tc>
          <w:tcPr>
            <w:tcW w:w="6285" w:type="dxa"/>
            <w:tcBorders>
              <w:top w:val="single" w:color="CBCDD1" w:sz="0" w:space="0"/>
              <w:left w:val="single" w:color="CBCDD1" w:sz="0" w:space="0"/>
              <w:bottom w:val="single" w:color="ffffff" w:sz="8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用途</w:t>
            </w:r>
          </w:p>
        </w:tc>
      </w:tr>
      <w:tr>
        <w:trPr>
          <w:wBefore/>
          <w:trHeight/>
        </w:trPr>
        <w:tc>
          <w:tcPr>
            <w:tcW w:w="6855" w:type="dxa"/>
            <w:tcBorders>
              <w:top w:val="single" w:color="ffffff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factory-supervisor-skill/contracts/delivery-schema.md</w:t>
            </w:r>
          </w:p>
        </w:tc>
        <w:tc>
          <w:tcPr>
            <w:tcW w:w="1755" w:type="dxa"/>
            <w:tcBorders>
              <w:top w:val="single" w:color="ffffff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约 209</w:t>
            </w:r>
          </w:p>
        </w:tc>
        <w:tc>
          <w:tcPr>
            <w:tcW w:w="6285" w:type="dxa"/>
            <w:tcBorders>
              <w:top w:val="single" w:color="ffffff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三厂统一 JSON 报告契约</w:t>
            </w:r>
          </w:p>
        </w:tc>
      </w:tr>
      <w:tr>
        <w:trPr>
          <w:wBefore/>
          <w:trHeight/>
        </w:trPr>
        <w:tc>
          <w:tcPr>
            <w:tcW w:w="685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factory-supervisor-skill/GLOSSARY.md</w:t>
            </w:r>
          </w:p>
        </w:tc>
        <w:tc>
          <w:tcPr>
            <w:tcW w:w="175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约 115</w:t>
            </w:r>
          </w:p>
        </w:tc>
        <w:tc>
          <w:tcPr>
            <w:tcW w:w="628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全局术语表（6 节）</w:t>
            </w:r>
          </w:p>
        </w:tc>
      </w:tr>
      <w:tr>
        <w:trPr>
          <w:wBefore/>
          <w:trHeight/>
        </w:trPr>
        <w:tc>
          <w:tcPr>
            <w:tcW w:w="685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BS-base-dev-skill/templates/BATCH-MATERIALS.md</w:t>
            </w:r>
          </w:p>
        </w:tc>
        <w:tc>
          <w:tcPr>
            <w:tcW w:w="175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约 115</w:t>
            </w:r>
          </w:p>
        </w:tc>
        <w:tc>
          <w:tcPr>
            <w:tcW w:w="628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批量物料权威表头 + 示例 + 一致性铁律</w:t>
            </w:r>
          </w:p>
        </w:tc>
      </w:tr>
    </w:tbl>
    <w:p>
      <w:pPr>
        <w:pBdr>
          <w:bottom w:val="none" w:color="000000" w:sz="8"/>
        </w:pBdr>
        <w:ind/>
        <w:rPr>
          <w:color w:val="000000"/>
        </w:rPr>
      </w:pPr>
    </w:p>
    <w:p>
      <w:pPr>
        <w:pStyle w:val="nzb9bb"/>
        <w:rPr/>
      </w:pPr>
      <w:r>
        <w:rPr/>
        <w:t>五、未覆盖的后续建议</w:t>
      </w:r>
    </w:p>
    <w:tbl>
      <w:tblPr>
        <w:tblStyle w:val="kkxgsa"/>
        <w:tblLayout w:type="fixed"/>
      </w:tblPr>
      <w:tblGrid>
        <w:gridCol w:w="1245"/>
        <w:gridCol w:w="5550"/>
        <w:gridCol w:w="8115"/>
      </w:tblGrid>
      <w:tr>
        <w:trPr>
          <w:wBefore/>
          <w:trHeight/>
        </w:trPr>
        <w:tc>
          <w:tcPr>
            <w:tcW w:w="1245" w:type="dxa"/>
            <w:tcBorders>
              <w:top w:val="single" w:color="CBCDD1" w:sz="0" w:space="0"/>
              <w:left w:val="single" w:color="CBCDD1" w:sz="0" w:space="0"/>
              <w:bottom w:val="single" w:color="ffffff" w:sz="8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优先级</w:t>
            </w:r>
          </w:p>
        </w:tc>
        <w:tc>
          <w:tcPr>
            <w:tcW w:w="5550" w:type="dxa"/>
            <w:tcBorders>
              <w:top w:val="single" w:color="CBCDD1" w:sz="0" w:space="0"/>
              <w:left w:val="single" w:color="CBCDD1" w:sz="0" w:space="0"/>
              <w:bottom w:val="single" w:color="ffffff" w:sz="8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8115" w:type="dxa"/>
            <w:tcBorders>
              <w:top w:val="single" w:color="CBCDD1" w:sz="0" w:space="0"/>
              <w:left w:val="single" w:color="CBCDD1" w:sz="0" w:space="0"/>
              <w:bottom w:val="single" w:color="ffffff" w:sz="8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价值</w:t>
            </w:r>
          </w:p>
        </w:tc>
      </w:tr>
      <w:tr>
        <w:trPr>
          <w:wBefore/>
          <w:trHeight/>
        </w:trPr>
        <w:tc>
          <w:tcPr>
            <w:tcW w:w="1245" w:type="dxa"/>
            <w:tcBorders>
              <w:top w:val="single" w:color="ffffff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中</w:t>
            </w:r>
          </w:p>
        </w:tc>
        <w:tc>
          <w:tcPr>
            <w:tcW w:w="5550" w:type="dxa"/>
            <w:tcBorders>
              <w:top w:val="single" w:color="ffffff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schema 自动验证脚本（可加入 CI）</w:t>
            </w:r>
          </w:p>
        </w:tc>
        <w:tc>
          <w:tcPr>
            <w:tcW w:w="8115" w:type="dxa"/>
            <w:tcBorders>
              <w:top w:val="single" w:color="ffffff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让契约从"约定"变"机器拦截"</w:t>
            </w:r>
          </w:p>
        </w:tc>
      </w:tr>
      <w:tr>
        <w:trPr>
          <w:wBefore/>
          <w:trHeight/>
        </w:trPr>
        <w:tc>
          <w:tcPr>
            <w:tcW w:w="12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中</w:t>
            </w:r>
          </w:p>
        </w:tc>
        <w:tc>
          <w:tcPr>
            <w:tcW w:w="555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README ↔ SKILL.md 信息去重</w:t>
            </w:r>
          </w:p>
        </w:tc>
        <w:tc>
          <w:tcPr>
            <w:tcW w:w="811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消除版本漂移风险</w:t>
            </w:r>
          </w:p>
        </w:tc>
      </w:tr>
      <w:tr>
        <w:trPr>
          <w:wBefore/>
          <w:trHeight/>
        </w:trPr>
        <w:tc>
          <w:tcPr>
            <w:tcW w:w="12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低</w:t>
            </w:r>
          </w:p>
        </w:tc>
        <w:tc>
          <w:tcPr>
            <w:tcW w:w="555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test-template/ 加 README</w:t>
            </w:r>
          </w:p>
        </w:tc>
        <w:tc>
          <w:tcPr>
            <w:tcW w:w="811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提升测试模板可复用性</w:t>
            </w:r>
          </w:p>
        </w:tc>
      </w:tr>
      <w:tr>
        <w:trPr>
          <w:wBefore/>
          <w:trHeight/>
        </w:trPr>
        <w:tc>
          <w:tcPr>
            <w:tcW w:w="12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低</w:t>
            </w:r>
          </w:p>
        </w:tc>
        <w:tc>
          <w:tcPr>
            <w:tcW w:w="555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MCP 部署文档拆分（Quick-Start + Troubleshoot）</w:t>
            </w:r>
          </w:p>
        </w:tc>
        <w:tc>
          <w:tcPr>
            <w:tcW w:w="811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降低首次接入门槛</w:t>
            </w:r>
          </w:p>
        </w:tc>
      </w:tr>
      <w:tr>
        <w:trPr>
          <w:wBefore/>
          <w:trHeight/>
        </w:trPr>
        <w:tc>
          <w:tcPr>
            <w:tcW w:w="124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低</w:t>
            </w:r>
          </w:p>
        </w:tc>
        <w:tc>
          <w:tcPr>
            <w:tcW w:w="5550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invoke-*.md 占位符 Prompt Injection 防护</w:t>
            </w:r>
          </w:p>
        </w:tc>
        <w:tc>
          <w:tcPr>
            <w:tcW w:w="8115" w:type="dxa"/>
            <w:tcBorders>
              <w:top w:val="single" w:color="CBCDD1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</w:rPr>
              <w:t>加强安全边界</w:t>
            </w:r>
          </w:p>
        </w:tc>
      </w:tr>
    </w:tbl>
    <w:p>
      <w:pPr>
        <w:pBdr>
          <w:bottom w:val="none" w:color="000000" w:sz="8"/>
        </w:pBdr>
        <w:ind/>
        <w:rPr>
          <w:color w:val="000000"/>
        </w:rPr>
      </w:pPr>
    </w:p>
    <w:p>
      <w:pPr>
        <w:pStyle w:val="nzb9bb"/>
        <w:rPr/>
      </w:pPr>
      <w:r>
        <w:rPr/>
        <w:t>六、结论</w:t>
      </w:r>
    </w:p>
    <w:p>
      <w:pPr>
        <w:snapToGrid/>
        <w:spacing w:before="0" w:after="240" w:line="240"/>
        <w:ind w:hanging="0"/>
        <w:rPr>
          <w:color w:val="000000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</w:rPr>
        <w:t>相对 v0.0.1，本次在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</w:rPr>
        <w:t>路径正确性、契约一致性、状态机可靠性、用户卡点恢复、术语规范、批量物料一站式获取、WDP 节奏强约束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</w:rPr>
        <w:t xml:space="preserve"> 7 个维度均有可量化提升（错误从 5+2 降至 0、新增治理文档 3 份、写入责任表 5 张、新增示例/铁律/FAQ 共 12 条）。集合现已具备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</w:rPr>
        <w:t>可机读契约层 + 单一权威术语层 + 可续传状态层 + 可视化阻断恢复层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</w:rPr>
        <w:t>，为后续 CI 自动验证打下基础。</w:t>
      </w:r>
    </w:p>
    <w:p>
      <w:pPr>
        <w:pStyle w:val="ablt93"/>
        <w:pBdr>
          <w:bottom/>
        </w:pBdr>
        <w:snapToGrid/>
        <w:spacing w:before="480" w:after="280" w:line="240"/>
        <w:ind w:left="0" w:right="0" w:hanging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ewhm4h">
    <w:name w:val="Table Grid"/>
    <w:basedOn w:val="3sokmg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l6kg5h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61vhf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bz64qe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82d96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kkxgsa">
    <w:name w:val="Table Grid"/>
    <w:basedOn w:val="27t0jl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e3ot73">
    <w:name w:val="Table Grid"/>
    <w:basedOn w:val="qe63j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27t0jl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zb9b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ub5gya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table" w:styleId="rx6tgl">
    <w:name w:val="Table Grid"/>
    <w:basedOn w:val="82d96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sr9cxv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3sokmg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4o7mg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qe63j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2026-05-07T11:31:10Z</dcterms:created>
  <dcterms:modified xsi:type="dcterms:W3CDTF">2026-05-07T11:31:10Z</dcterms:modified>
</cp:coreProperties>
</file>