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D4F4" w14:textId="77777777" w:rsidR="00867D52" w:rsidRDefault="00000000">
      <w:pPr>
        <w:pStyle w:val="Title"/>
      </w:pPr>
      <w:r>
        <w:t>Prominence of occurrence accorded to data science and other related terms in Philippine newspapers</w:t>
      </w:r>
    </w:p>
    <w:p w14:paraId="7B80D4F5" w14:textId="77777777" w:rsidR="00867D52" w:rsidRDefault="00000000">
      <w:pPr>
        <w:pStyle w:val="Author"/>
      </w:pPr>
      <w:r>
        <w:t>Dan Anthony Dorado</w:t>
      </w:r>
    </w:p>
    <w:p w14:paraId="7B80D4F6" w14:textId="77777777" w:rsidR="00867D52" w:rsidRDefault="00000000">
      <w:pPr>
        <w:pStyle w:val="Date"/>
      </w:pPr>
      <w:r>
        <w:t>2023-11-30</w:t>
      </w:r>
    </w:p>
    <w:p w14:paraId="7B80D4F7" w14:textId="77777777" w:rsidR="00867D52" w:rsidRDefault="00000000">
      <w:pPr>
        <w:pStyle w:val="Abstract"/>
      </w:pPr>
      <w:r>
        <w:t>In the contemporary era marked by the digital revolution, data science has emerged as a pivotal discipline globally. This study examines the prominence and frequency of data science and its associated terminologies within Philippine newspapers. By analyzing a comprehensive selection of major Philippine dailies over 20 years, we assessed how often and in what context these terms appear. Our findings indicate a steadily increasing trend, reflecting the growing significance and understanding of data science in the country. Notably, the words were most frequently associated with business, technology, and academic news sections. However, there was variability in the depth and accuracy of discussions surrounding these terms. The media’s portrayal, in many instances, was foundational, suggesting a burgeoning stage of familiarity with data science concepts among the general populace. This study underscores the role of print media in disseminating and shaping perceptions about emerging technological fields in the Philippines. It offers insights into potential areas for enhanced media literacy and collaboration.</w:t>
      </w:r>
    </w:p>
    <w:p w14:paraId="7B80D4F8" w14:textId="77777777" w:rsidR="00867D52" w:rsidRDefault="00000000">
      <w:pPr>
        <w:pStyle w:val="Heading1"/>
      </w:pPr>
      <w:bookmarkStart w:id="0" w:name="introduction"/>
      <w:r>
        <w:t>1. Introduction</w:t>
      </w:r>
    </w:p>
    <w:p w14:paraId="7B80D4F9" w14:textId="77777777" w:rsidR="00867D52" w:rsidRDefault="00000000">
      <w:pPr>
        <w:pStyle w:val="Heading2"/>
      </w:pPr>
      <w:bookmarkStart w:id="1" w:name="background-of-the-study"/>
      <w:r>
        <w:t>1.1 Background of the study</w:t>
      </w:r>
    </w:p>
    <w:p w14:paraId="7B80D4FA" w14:textId="77777777" w:rsidR="00867D52" w:rsidRDefault="00000000">
      <w:pPr>
        <w:pStyle w:val="Heading3"/>
      </w:pPr>
      <w:bookmarkStart w:id="2" w:name="Xbaf7020fbaaea122b8d9baccfe7413ea794df57"/>
      <w:r>
        <w:t>1.1.1 Global rise of data science and its influence.</w:t>
      </w:r>
    </w:p>
    <w:p w14:paraId="7B80D4FB" w14:textId="77777777" w:rsidR="00867D52" w:rsidRDefault="00000000">
      <w:pPr>
        <w:pStyle w:val="FirstParagraph"/>
      </w:pPr>
      <w:r>
        <w:t>Data science has become increasingly important in decision-making processes across industries. The advancements in data volume and computational capabilities have played a significant role in the growth and application of data science [</w:t>
      </w:r>
      <w:hyperlink w:anchor="ref-Hey2012">
        <w:r>
          <w:rPr>
            <w:rStyle w:val="Hyperlink"/>
          </w:rPr>
          <w:t>1</w:t>
        </w:r>
      </w:hyperlink>
      <w:r>
        <w:t>]. This growth has led to the recognition of data science as a crucial discipline in driving decision-making. Companies have realized the need to hire data scientists, and academic institutions now offer data science programs [</w:t>
      </w:r>
      <w:hyperlink w:anchor="ref-Provost2013">
        <w:r>
          <w:rPr>
            <w:rStyle w:val="Hyperlink"/>
          </w:rPr>
          <w:t>2</w:t>
        </w:r>
      </w:hyperlink>
      <w:r>
        <w:t>]. The application of data science techniques has also expanded to fields such as computer and network security [</w:t>
      </w:r>
      <w:hyperlink w:anchor="ref-Tewari2021">
        <w:r>
          <w:rPr>
            <w:rStyle w:val="Hyperlink"/>
          </w:rPr>
          <w:t>3</w:t>
        </w:r>
      </w:hyperlink>
      <w:r>
        <w:t>]. In sustainable development, data science has become crucial in meeting human development needs while protecting the earth’s life support systems [</w:t>
      </w:r>
      <w:hyperlink w:anchor="ref-Cash2003">
        <w:r>
          <w:rPr>
            <w:rStyle w:val="Hyperlink"/>
          </w:rPr>
          <w:t>4</w:t>
        </w:r>
      </w:hyperlink>
      <w:r>
        <w:t>]. By utilizing knowledge systems, scientists, technologists, policymakers, and communities at all levels can work together to find sustainable solutions. Data science has also made a significant impact on global health. Efforts by organizations like Sana (MIT) have played a vital role in promoting data science in global health [</w:t>
      </w:r>
      <w:hyperlink w:anchor="ref-Agha-Mir-Salim2020">
        <w:r>
          <w:rPr>
            <w:rStyle w:val="Hyperlink"/>
          </w:rPr>
          <w:t>5</w:t>
        </w:r>
      </w:hyperlink>
      <w:r>
        <w:t>]. The use of health information technology as a premise for data science in global health has opened up opportunities for improving healthcare outcomes worldwide. In asthma research, data science has helped understand the worldwide prevalence of asthma symptoms. Studies have shown that the global burden of asthma is continuing to rise, with increasing prevalence in Africa, Latin America, and parts of Asia [</w:t>
      </w:r>
      <w:hyperlink w:anchor="ref-Pearce2007">
        <w:r>
          <w:rPr>
            <w:rStyle w:val="Hyperlink"/>
          </w:rPr>
          <w:t>6</w:t>
        </w:r>
      </w:hyperlink>
      <w:r>
        <w:t>]. However, it is essential to note that there has been a lack of new worldwide data on asthma prevalence since 2003 [</w:t>
      </w:r>
      <w:hyperlink w:anchor="ref-Asher2020">
        <w:r>
          <w:rPr>
            <w:rStyle w:val="Hyperlink"/>
          </w:rPr>
          <w:t>7</w:t>
        </w:r>
      </w:hyperlink>
      <w:r>
        <w:t xml:space="preserve">]. The global macroeconomic impacts of COVID-19 have also been analyzed using data science techniques. Different scenarios have been examined to understand their effects on </w:t>
      </w:r>
      <w:r>
        <w:lastRenderedPageBreak/>
        <w:t>macroeconomic outcomes and financial markets [</w:t>
      </w:r>
      <w:hyperlink w:anchor="ref-McKibbin2020">
        <w:r>
          <w:rPr>
            <w:rStyle w:val="Hyperlink"/>
          </w:rPr>
          <w:t>8</w:t>
        </w:r>
      </w:hyperlink>
      <w:r>
        <w:t>]. This analysis provides valuable insights for policymakers and economists in navigating the challenges posed by the pandemic. In glaucoma research, data science has been used to analyze the distribution pattern and subject domain knowledge of worldwide glaucoma research [</w:t>
      </w:r>
      <w:hyperlink w:anchor="ref-Ichhpujani2020">
        <w:r>
          <w:rPr>
            <w:rStyle w:val="Hyperlink"/>
          </w:rPr>
          <w:t>9</w:t>
        </w:r>
      </w:hyperlink>
      <w:r>
        <w:t>]. This scientometric review provides a comprehensive understanding of the research landscape in this area. Scholarly production analysis has also benefited from data science methodologies. Studies have compared the performance of different databases, such as Google Scholar, Scopus, and Web of Science, regarding citation analysis and cross-disciplinary coverage [</w:t>
      </w:r>
      <w:hyperlink w:anchor="ref-Harzing2015">
        <w:r>
          <w:rPr>
            <w:rStyle w:val="Hyperlink"/>
          </w:rPr>
          <w:t>10</w:t>
        </w:r>
      </w:hyperlink>
      <w:r>
        <w:t>]. These analyses contribute to the understanding of the impact and reach of scholarly publications worldwide.</w:t>
      </w:r>
    </w:p>
    <w:p w14:paraId="7B80D4FC" w14:textId="77777777" w:rsidR="00867D52" w:rsidRDefault="00000000">
      <w:pPr>
        <w:pStyle w:val="BodyText"/>
      </w:pPr>
      <w:r>
        <w:t>Overall, the global rise of data science has had a transformative influence on various fields. It has enabled researchers, policymakers, and practitioners to gain valuable insights, make informed decisions, and address complex challenges in a data-driven manner. However, it is essential to note that the emphasis on data science education primarily focuses on computer science and statistics, with limited training in ethics and domain-specific knowledge [</w:t>
      </w:r>
      <w:hyperlink w:anchor="ref-Oliver2021">
        <w:r>
          <w:rPr>
            <w:rStyle w:val="Hyperlink"/>
          </w:rPr>
          <w:t>11</w:t>
        </w:r>
      </w:hyperlink>
      <w:r>
        <w:t>]. This highlights the need for a more comprehensive approach to data science education that includes training in ethics and domain-specific context. Additionally, the application of data-driven research methods has extended beyond computer science to disciplines such as social sciences and humanities [</w:t>
      </w:r>
      <w:hyperlink w:anchor="ref-Weichselbraun2021">
        <w:r>
          <w:rPr>
            <w:rStyle w:val="Hyperlink"/>
          </w:rPr>
          <w:t>12</w:t>
        </w:r>
      </w:hyperlink>
      <w:r>
        <w:t>].</w:t>
      </w:r>
    </w:p>
    <w:p w14:paraId="7B80D4FD" w14:textId="77777777" w:rsidR="00867D52" w:rsidRDefault="00000000">
      <w:pPr>
        <w:pStyle w:val="Heading3"/>
      </w:pPr>
      <w:bookmarkStart w:id="3" w:name="Xdeabf5b8c6fc4848bc65e568fd97be4c31721cd"/>
      <w:bookmarkEnd w:id="2"/>
      <w:r>
        <w:t>1.1.2 Importance of media in disseminating new terminologies and concepts.</w:t>
      </w:r>
    </w:p>
    <w:p w14:paraId="7B80D4FE" w14:textId="77777777" w:rsidR="00867D52" w:rsidRDefault="00000000">
      <w:pPr>
        <w:pStyle w:val="FirstParagraph"/>
      </w:pPr>
      <w:r>
        <w:t>The media is crucial in disseminating new terminologies and concepts to the public. It serves as a platform for introducing and explaining unfamiliar terms and ideas, making them accessible and understandable to a broad audience. A critical aspect of the media’s role in disseminating new terminologies and concepts is its ability to reach a large audience. The mass media, including mainstream newspapers, television, and online news outlets, have a broad reach and can effectively communicate new terminologies and concepts to a diverse range of people [</w:t>
      </w:r>
      <w:hyperlink w:anchor="ref-Herman1989">
        <w:r>
          <w:rPr>
            <w:rStyle w:val="Hyperlink"/>
          </w:rPr>
          <w:t>13</w:t>
        </w:r>
      </w:hyperlink>
      <w:r>
        <w:t>]. This widespread dissemination helps to increase awareness and understanding of these new terms and ideas. Furthermore, the media can shape public discourse and influence public opinion. Through news articles, opinion pieces, and other media content, the media can introduce and promote new terminologies and concepts, framing them in a way that resonates with the audience [</w:t>
      </w:r>
      <w:hyperlink w:anchor="ref-Shanahan1988">
        <w:r>
          <w:rPr>
            <w:rStyle w:val="Hyperlink"/>
          </w:rPr>
          <w:t>14</w:t>
        </w:r>
      </w:hyperlink>
      <w:r>
        <w:t>]. This framing can help to shape public perceptions and attitudes towards these new terms and ideas. In addition, the media’s role in disseminating new terminologies and concepts extends to specialized fields such as healthcare and medicine. Health journalism, for example, plays a crucial role in sharing health information with the public [</w:t>
      </w:r>
      <w:hyperlink w:anchor="ref-Keshvari2018">
        <w:r>
          <w:rPr>
            <w:rStyle w:val="Hyperlink"/>
          </w:rPr>
          <w:t>15</w:t>
        </w:r>
      </w:hyperlink>
      <w:r>
        <w:t>]. The media can introduce new medical terminologies and concepts, helping to educate the public about important health issues and advancements in medical research.</w:t>
      </w:r>
    </w:p>
    <w:p w14:paraId="7B80D4FF" w14:textId="77777777" w:rsidR="00867D52" w:rsidRDefault="00000000">
      <w:pPr>
        <w:pStyle w:val="BodyText"/>
      </w:pPr>
      <w:r>
        <w:t>However, it is essential to note that the media’s role in disseminating new terminologies and concepts is not without challenges. One challenge is the potential for the media to misinterpret or misrepresent these new terms and ideas. The media’s framing of new terminologies and concepts can sometimes be influenced by various factors, such as political or economic interests [</w:t>
      </w:r>
      <w:hyperlink w:anchor="ref-Herman1989">
        <w:r>
          <w:rPr>
            <w:rStyle w:val="Hyperlink"/>
          </w:rPr>
          <w:t>13</w:t>
        </w:r>
      </w:hyperlink>
      <w:r>
        <w:t xml:space="preserve">]. This can distort the original meaning or intent of these terms and ideas. Another challenge is the potential for the media to perpetuate stereotypes </w:t>
      </w:r>
      <w:r>
        <w:lastRenderedPageBreak/>
        <w:t>or biases through the use of new terminologies and concepts. For example, in the context of Islam-related vocabularies, the media’s use of specific terms can influence the audience’s perception of Islam as a religion of terrorism [</w:t>
      </w:r>
      <w:hyperlink w:anchor="ref-Younes2020">
        <w:r>
          <w:rPr>
            <w:rStyle w:val="Hyperlink"/>
          </w:rPr>
          <w:t>16</w:t>
        </w:r>
      </w:hyperlink>
      <w:r>
        <w:t>]. This highlights the importance of responsible and accurate reporting when introducing and disseminating new terminologies and concepts.</w:t>
      </w:r>
    </w:p>
    <w:p w14:paraId="7B80D500" w14:textId="77777777" w:rsidR="00867D52" w:rsidRDefault="00000000">
      <w:pPr>
        <w:pStyle w:val="Heading2"/>
      </w:pPr>
      <w:bookmarkStart w:id="4" w:name="objective-of-the-research"/>
      <w:bookmarkEnd w:id="1"/>
      <w:bookmarkEnd w:id="3"/>
      <w:r>
        <w:t>1.2 Objective of the research</w:t>
      </w:r>
    </w:p>
    <w:p w14:paraId="7B80D501" w14:textId="77777777" w:rsidR="00867D52" w:rsidRDefault="00000000">
      <w:pPr>
        <w:pStyle w:val="FirstParagraph"/>
      </w:pPr>
      <w:r>
        <w:t>Data science and other related terms have emerged as a crucial field in the era of big data and advanced analytics. It encompasses various techniques and methodologies for extracting insights and knowledge from large datasets. The prominence of data science in the Philippines has been a topic of interest, as it plays a significant role in driving innovation, economic growth, and decision-making processes. This research objective aims to assess the frequency and prominence of data science and related terms in Philippine newspapers.</w:t>
      </w:r>
    </w:p>
    <w:p w14:paraId="7B80D502" w14:textId="77777777" w:rsidR="00867D52" w:rsidRDefault="00000000">
      <w:pPr>
        <w:pStyle w:val="Heading1"/>
      </w:pPr>
      <w:bookmarkStart w:id="5" w:name="literature-review"/>
      <w:bookmarkEnd w:id="0"/>
      <w:bookmarkEnd w:id="4"/>
      <w:r>
        <w:t>2. Literature Review</w:t>
      </w:r>
    </w:p>
    <w:p w14:paraId="7B80D503" w14:textId="77777777" w:rsidR="00867D52" w:rsidRDefault="00000000">
      <w:pPr>
        <w:pStyle w:val="Heading2"/>
      </w:pPr>
      <w:bookmarkStart w:id="6" w:name="X6e0a5914e929837bd54ab1618aa9ef3df255471"/>
      <w:r>
        <w:t>2.1 Data science: Definition and global trends</w:t>
      </w:r>
    </w:p>
    <w:p w14:paraId="7B80D504" w14:textId="77777777" w:rsidR="00867D52" w:rsidRDefault="00000000">
      <w:pPr>
        <w:pStyle w:val="FirstParagraph"/>
      </w:pPr>
      <w:r>
        <w:t>Data science is a field dedicated to the principled extraction of knowledge from complex data [</w:t>
      </w:r>
      <w:hyperlink w:anchor="ref-Sanchez-Pinto2018">
        <w:r>
          <w:rPr>
            <w:rStyle w:val="Hyperlink"/>
          </w:rPr>
          <w:t>17</w:t>
        </w:r>
      </w:hyperlink>
      <w:r>
        <w:t>]. It combines principles from statistics, which focuses on learning relationships from data, and computer science, which emphasizes efficient computing algorithms [</w:t>
      </w:r>
      <w:hyperlink w:anchor="ref-Deo2015">
        <w:r>
          <w:rPr>
            <w:rStyle w:val="Hyperlink"/>
          </w:rPr>
          <w:t>18</w:t>
        </w:r>
      </w:hyperlink>
      <w:r>
        <w:t>]. The goal of data science is to extract generalizable knowledge from data [</w:t>
      </w:r>
      <w:hyperlink w:anchor="ref-Song2015">
        <w:r>
          <w:rPr>
            <w:rStyle w:val="Hyperlink"/>
          </w:rPr>
          <w:t>19</w:t>
        </w:r>
      </w:hyperlink>
      <w:r>
        <w:t>]. It is a rapidly growing field becoming increasingly important in various domains, including critical care in medicine [</w:t>
      </w:r>
      <w:hyperlink w:anchor="ref-Sanchez-Pinto2018">
        <w:r>
          <w:rPr>
            <w:rStyle w:val="Hyperlink"/>
          </w:rPr>
          <w:t>17</w:t>
        </w:r>
      </w:hyperlink>
      <w:r>
        <w:t>]. Data science is closely related to other concepts, such as big data and data-driven decision-making [</w:t>
      </w:r>
      <w:hyperlink w:anchor="ref-Provost2013">
        <w:r>
          <w:rPr>
            <w:rStyle w:val="Hyperlink"/>
          </w:rPr>
          <w:t>2</w:t>
        </w:r>
      </w:hyperlink>
      <w:r>
        <w:t>]. It is intricately intertwined with these concepts and plays a crucial role in analyzing and making sense of large volumes of data [</w:t>
      </w:r>
      <w:hyperlink w:anchor="ref-Provost2013">
        <w:r>
          <w:rPr>
            <w:rStyle w:val="Hyperlink"/>
          </w:rPr>
          <w:t>2</w:t>
        </w:r>
      </w:hyperlink>
      <w:r>
        <w:t>]. Data science is often used to rapidly derive knowledge and discover trends and novel research topics from vast literature [</w:t>
      </w:r>
      <w:hyperlink w:anchor="ref-Shen2018">
        <w:r>
          <w:rPr>
            <w:rStyle w:val="Hyperlink"/>
          </w:rPr>
          <w:t>20</w:t>
        </w:r>
      </w:hyperlink>
      <w:r>
        <w:t>].</w:t>
      </w:r>
    </w:p>
    <w:p w14:paraId="7B80D505" w14:textId="77777777" w:rsidR="00867D52" w:rsidRDefault="00000000">
      <w:pPr>
        <w:pStyle w:val="BodyText"/>
      </w:pPr>
      <w:r>
        <w:t>While data science builds on knowledge from various disciplines, such as computer science, mathematics, and statistics, it is a unique field with challenges and mysteries to unlock [</w:t>
      </w:r>
      <w:hyperlink w:anchor="ref-Wing2020">
        <w:r>
          <w:rPr>
            <w:rStyle w:val="Hyperlink"/>
          </w:rPr>
          <w:t>21</w:t>
        </w:r>
      </w:hyperlink>
      <w:r>
        <w:t>]. It is establishing itself as a profession and has the potential to make significant contributions to society [</w:t>
      </w:r>
      <w:hyperlink w:anchor="ref-Walker2015">
        <w:r>
          <w:rPr>
            <w:rStyle w:val="Hyperlink"/>
          </w:rPr>
          <w:t>22</w:t>
        </w:r>
      </w:hyperlink>
      <w:r>
        <w:t>]. Data science is also characterized by its generic and vaguely defined nature [</w:t>
      </w:r>
      <w:hyperlink w:anchor="ref-Peng2021">
        <w:r>
          <w:rPr>
            <w:rStyle w:val="Hyperlink"/>
          </w:rPr>
          <w:t>23</w:t>
        </w:r>
      </w:hyperlink>
      <w:r>
        <w:t>]. There is no universally accepted definition of data science, and different perspectives exist. Some define data science as the study of the generalizable extraction of knowledge from data [</w:t>
      </w:r>
      <w:hyperlink w:anchor="ref-Song2015">
        <w:r>
          <w:rPr>
            <w:rStyle w:val="Hyperlink"/>
          </w:rPr>
          <w:t>19</w:t>
        </w:r>
      </w:hyperlink>
      <w:r>
        <w:t>], while others emphasize its interdisciplinary nature and its intersection with statistics, computer science, and substantive fields [</w:t>
      </w:r>
      <w:hyperlink w:anchor="ref-Zhang2021">
        <w:r>
          <w:rPr>
            <w:rStyle w:val="Hyperlink"/>
          </w:rPr>
          <w:t>24</w:t>
        </w:r>
      </w:hyperlink>
      <w:r>
        <w:t>].</w:t>
      </w:r>
    </w:p>
    <w:p w14:paraId="7B80D506" w14:textId="77777777" w:rsidR="00867D52" w:rsidRDefault="00000000">
      <w:pPr>
        <w:pStyle w:val="Heading2"/>
      </w:pPr>
      <w:bookmarkStart w:id="7" w:name="X007942d6a367e9e51ac768fd4c02ca4dd402c43"/>
      <w:bookmarkEnd w:id="6"/>
      <w:r>
        <w:t>2.2 Media’s role in popularizing technical jargons and scientific terms</w:t>
      </w:r>
    </w:p>
    <w:p w14:paraId="7B80D507" w14:textId="77777777" w:rsidR="00867D52" w:rsidRDefault="00000000">
      <w:pPr>
        <w:pStyle w:val="FirstParagraph"/>
      </w:pPr>
      <w:r>
        <w:t>The role of media in introducing and normalizing new terminologies and concepts to the public is pivotal in today’s rapidly evolving world. As new scientific and technological terms such as ‘data science’, ‘big data’, and ‘artificial intelligence’ emerge, media outlets serve as the primary source for the public’s initial exposure to these concepts [</w:t>
      </w:r>
      <w:hyperlink w:anchor="ref-Krosnick2006">
        <w:r>
          <w:rPr>
            <w:rStyle w:val="Hyperlink"/>
          </w:rPr>
          <w:t>25</w:t>
        </w:r>
      </w:hyperlink>
      <w:r>
        <w:t xml:space="preserve">]. </w:t>
      </w:r>
      <w:r>
        <w:lastRenderedPageBreak/>
        <w:t>Moreover, the media plays a crucial role in providing context and explanation for these complex terms, making them accessible and understandable to a non-specialist audience. This involves decoding technical jargon and presenting information using metaphors, analogies, and simplifications to convey complex ideas [</w:t>
      </w:r>
      <w:hyperlink w:anchor="ref-Fitzgerald2021">
        <w:r>
          <w:rPr>
            <w:rStyle w:val="Hyperlink"/>
          </w:rPr>
          <w:t>26</w:t>
        </w:r>
      </w:hyperlink>
      <w:r>
        <w:t>].</w:t>
      </w:r>
    </w:p>
    <w:p w14:paraId="7B80D508" w14:textId="77777777" w:rsidR="00867D52" w:rsidRDefault="00000000">
      <w:pPr>
        <w:pStyle w:val="BodyText"/>
      </w:pPr>
      <w:r>
        <w:t>The influence of media in shaping public understanding extends beyond the introduction of new concepts. It also encompasses the dissemination of knowledge through social media platforms, which have rapidly gained popularity worldwide. The speed of uptake of social media applications highlights their significance as tools for knowledge sharing, further emphasizing the central role of media in the dissemination of information [</w:t>
      </w:r>
      <w:hyperlink w:anchor="ref-Naeem2019">
        <w:r>
          <w:rPr>
            <w:rStyle w:val="Hyperlink"/>
          </w:rPr>
          <w:t>27</w:t>
        </w:r>
      </w:hyperlink>
      <w:r>
        <w:t>]. Additionally, the development of the Internet and social media has expanded the speed and scope of information dissemination, although not all widely disseminated information is accurate, emphasizing the need for critical evaluation of information sources [</w:t>
      </w:r>
      <w:hyperlink w:anchor="ref-Wang2021">
        <w:r>
          <w:rPr>
            <w:rStyle w:val="Hyperlink"/>
          </w:rPr>
          <w:t>28</w:t>
        </w:r>
      </w:hyperlink>
      <w:r>
        <w:t>].</w:t>
      </w:r>
    </w:p>
    <w:p w14:paraId="7B80D509" w14:textId="77777777" w:rsidR="00867D52" w:rsidRDefault="00000000">
      <w:pPr>
        <w:pStyle w:val="BodyText"/>
      </w:pPr>
      <w:r>
        <w:t>Furthermore, the media’s influence on public perception is evident in the context of scientific and technological advancements. The media operates at the interface between science and society, reporting on scientific advances and technological developments in ways that shape public perceptions of new technologies and their applications. This underscores the media’s role in framing and agenda setting, particularly in relation to novel technologies, influencing public views and perceptions [</w:t>
      </w:r>
      <w:hyperlink w:anchor="ref-Fitzgerald2021">
        <w:r>
          <w:rPr>
            <w:rStyle w:val="Hyperlink"/>
          </w:rPr>
          <w:t>26</w:t>
        </w:r>
      </w:hyperlink>
      <w:r>
        <w:t>].</w:t>
      </w:r>
    </w:p>
    <w:p w14:paraId="7B80D50A" w14:textId="77777777" w:rsidR="00867D52" w:rsidRDefault="00000000">
      <w:pPr>
        <w:pStyle w:val="Heading2"/>
      </w:pPr>
      <w:bookmarkStart w:id="8" w:name="theoretical-framework"/>
      <w:bookmarkEnd w:id="7"/>
      <w:r>
        <w:t>2.3 Theoretical Framework</w:t>
      </w:r>
    </w:p>
    <w:p w14:paraId="7B80D50B" w14:textId="77777777" w:rsidR="00867D52" w:rsidRDefault="00000000">
      <w:pPr>
        <w:pStyle w:val="FirstParagraph"/>
      </w:pPr>
      <w:r>
        <w:t>Agenda-setting theory is a well-established and influential theoretical framework in the field of communication research. It focuses on the role of the media in shaping public opinion and influencing the salience of issues in society. According to the theory, the media has the power to determine which issues are important and worthy of public attention, thus setting the agenda for public discourse [</w:t>
      </w:r>
      <w:hyperlink w:anchor="ref-McCombs2006">
        <w:r>
          <w:rPr>
            <w:rStyle w:val="Hyperlink"/>
          </w:rPr>
          <w:t>29</w:t>
        </w:r>
      </w:hyperlink>
      <w:r>
        <w:t>].</w:t>
      </w:r>
    </w:p>
    <w:p w14:paraId="7B80D50C" w14:textId="77777777" w:rsidR="00867D52" w:rsidRDefault="00000000">
      <w:pPr>
        <w:pStyle w:val="BodyText"/>
      </w:pPr>
      <w:r>
        <w:t>One important aspect of agenda-setting theory is the transfer of salience, which refers to the media’s ability to not only determine which issues are important but also shape how people think about those issues. This transfer of salience occurs through the media’s selection and emphasis of certain issues, which in turn influences the public’s perception and understanding of those issues [</w:t>
      </w:r>
      <w:hyperlink w:anchor="ref-McCombs2006">
        <w:r>
          <w:rPr>
            <w:rStyle w:val="Hyperlink"/>
          </w:rPr>
          <w:t>29</w:t>
        </w:r>
      </w:hyperlink>
      <w:r>
        <w:t>]. Furthermore, the media’s agenda-setting power extends not only to the salience of issues but also to the salience of their attributes [</w:t>
      </w:r>
      <w:hyperlink w:anchor="ref-Vu2014">
        <w:r>
          <w:rPr>
            <w:rStyle w:val="Hyperlink"/>
          </w:rPr>
          <w:t>30</w:t>
        </w:r>
      </w:hyperlink>
      <w:r>
        <w:t>]. In other words, the media can shape how people think about the characteristics and qualities of specific issues.</w:t>
      </w:r>
    </w:p>
    <w:p w14:paraId="7B80D50D" w14:textId="77777777" w:rsidR="00867D52" w:rsidRDefault="00000000">
      <w:pPr>
        <w:pStyle w:val="BodyText"/>
      </w:pPr>
      <w:r>
        <w:t>Agenda-setting research has evolved over the years, with scholars refining and expanding the scope of the theory. For example, researchers have explored intermedia agenda-setting effects, which examine how different media outlets influence each other in shaping the public agenda. This expansion has led to a more sophisticated understanding of agenda-setting effects and their impact on public opinion [</w:t>
      </w:r>
      <w:hyperlink w:anchor="ref-Lim2006">
        <w:r>
          <w:rPr>
            <w:rStyle w:val="Hyperlink"/>
          </w:rPr>
          <w:t>31</w:t>
        </w:r>
      </w:hyperlink>
      <w:r>
        <w:t>].</w:t>
      </w:r>
    </w:p>
    <w:p w14:paraId="7B80D50E" w14:textId="77777777" w:rsidR="00867D52" w:rsidRDefault="00000000">
      <w:pPr>
        <w:pStyle w:val="BodyText"/>
      </w:pPr>
      <w:r>
        <w:t>Moreover, agenda-setting theory has found applications in various fields, including politics, journalism, and public relations. It has been used to study the influence of the media on political campaigns, the framing of news stories, and the communication of consent [</w:t>
      </w:r>
      <w:hyperlink w:anchor="ref-Caldwell1996">
        <w:r>
          <w:rPr>
            <w:rStyle w:val="Hyperlink"/>
          </w:rPr>
          <w:t>32</w:t>
        </w:r>
      </w:hyperlink>
      <w:r>
        <w:t>–</w:t>
      </w:r>
      <w:hyperlink w:anchor="ref-McCombs1997">
        <w:r>
          <w:rPr>
            <w:rStyle w:val="Hyperlink"/>
          </w:rPr>
          <w:t>34</w:t>
        </w:r>
      </w:hyperlink>
      <w:r>
        <w:t>]. The theory has also been examined in the context of online news media, where researchers have analyzed agenda-setting effects among different platforms [</w:t>
      </w:r>
      <w:hyperlink w:anchor="ref-Lim2006">
        <w:r>
          <w:rPr>
            <w:rStyle w:val="Hyperlink"/>
          </w:rPr>
          <w:t>31</w:t>
        </w:r>
      </w:hyperlink>
      <w:r>
        <w:t>].</w:t>
      </w:r>
    </w:p>
    <w:p w14:paraId="7B80D50F" w14:textId="77777777" w:rsidR="00867D52" w:rsidRDefault="00000000">
      <w:pPr>
        <w:pStyle w:val="BodyText"/>
      </w:pPr>
      <w:r>
        <w:t>In recent years, there has been a growing interest in meta-analyses of agenda-setting research, which provide a comprehensive overview of the existing empirical literature. These meta-analyses analyze the evolution of agenda-setting theory in terms of research focus, subject areas, and research methods. By synthesizing and analyzing statistical indicators from a large number of studies, these meta-analyses contribute to a deeper understanding of the current state of agenda-setting research [</w:t>
      </w:r>
      <w:hyperlink w:anchor="ref-Li2022">
        <w:r>
          <w:rPr>
            <w:rStyle w:val="Hyperlink"/>
          </w:rPr>
          <w:t>35</w:t>
        </w:r>
      </w:hyperlink>
      <w:r>
        <w:t>].</w:t>
      </w:r>
    </w:p>
    <w:p w14:paraId="7B80D510" w14:textId="77777777" w:rsidR="00867D52" w:rsidRDefault="00000000">
      <w:pPr>
        <w:pStyle w:val="Heading1"/>
      </w:pPr>
      <w:bookmarkStart w:id="9" w:name="methodology"/>
      <w:bookmarkEnd w:id="5"/>
      <w:bookmarkEnd w:id="8"/>
      <w:r>
        <w:t>3. Methodology</w:t>
      </w:r>
    </w:p>
    <w:p w14:paraId="7B80D511" w14:textId="77777777" w:rsidR="00867D52" w:rsidRDefault="00000000">
      <w:pPr>
        <w:pStyle w:val="Heading2"/>
      </w:pPr>
      <w:bookmarkStart w:id="10" w:name="selection-of-newspapers"/>
      <w:r>
        <w:t>3.1 Selection of newspapers</w:t>
      </w:r>
    </w:p>
    <w:p w14:paraId="7B80D512" w14:textId="77777777" w:rsidR="00867D52" w:rsidRDefault="00000000">
      <w:pPr>
        <w:pStyle w:val="FirstParagraph"/>
      </w:pPr>
      <w:r>
        <w:t>The selection of newspapers for a study focused on data science-related terms is crucial for comprehensive coverage and depth of analysis. In this research, the Philippine Daily Inquirer website has been chosen for several reasons. Firstly, the Philippine Daily Inquirer is one of the most widely read newspapers in the Philippines, ensuring that the analysis is relevant to a broad online audience. Additionally, the extensive archives of the online version of the newspaper are essential for historical data analysis, allowing for an exploration of the evolution of data science terminology over time. The diverse array of articles, including news, opinion pieces, features, and editorials, published on the website is vital for understanding the different contexts in which data science-related terms are used. As a continually updated digital news source, the Philippine Daily Inquirer website offers the most current perspective on the use and understanding of data science terms. Moreover, the newspaper’s national scope reflects national interests and discourse, providing a comprehensive overview of how data science is perceived and talked about across the country. The editorial stance and policies of the newspaper provide insight into how data science topics are framed and prioritized, which is an important aspect of media analysis.</w:t>
      </w:r>
    </w:p>
    <w:p w14:paraId="7B80D513" w14:textId="77777777" w:rsidR="00867D52" w:rsidRDefault="00000000">
      <w:pPr>
        <w:pStyle w:val="Heading2"/>
      </w:pPr>
      <w:bookmarkStart w:id="11" w:name="time-frame-of-the-study"/>
      <w:bookmarkEnd w:id="10"/>
      <w:r>
        <w:t>3.2 Time frame of the study</w:t>
      </w:r>
    </w:p>
    <w:p w14:paraId="7B80D514" w14:textId="77777777" w:rsidR="00867D52" w:rsidRDefault="00000000">
      <w:pPr>
        <w:pStyle w:val="FirstParagraph"/>
      </w:pPr>
      <w:r>
        <w:t>The time frame for the study, spanning from 1993 to 2023, is crucial for capturing the evolution of data science in the Philippine media landscape. This extended period allows for the identification of long-term trends and patterns in media coverage related to data science [</w:t>
      </w:r>
      <w:hyperlink w:anchor="ref-Ho2007">
        <w:r>
          <w:rPr>
            <w:rStyle w:val="Hyperlink"/>
          </w:rPr>
          <w:t>36</w:t>
        </w:r>
      </w:hyperlink>
      <w:r>
        <w:t>]. Additionally, the chosen period should align with significant events or developments in the field of data science, such as the introduction of data science courses, government initiatives, or the establishment of data science firms in the Philippines.</w:t>
      </w:r>
    </w:p>
    <w:p w14:paraId="7B80D515" w14:textId="77777777" w:rsidR="00867D52" w:rsidRDefault="00000000">
      <w:pPr>
        <w:pStyle w:val="BodyText"/>
      </w:pPr>
      <w:r>
        <w:t>The start and end dates of the data collection period should be justified based on the emergence of key events or milestones in the Philippine data science landscape [</w:t>
      </w:r>
      <w:hyperlink w:anchor="ref-Suppli2018">
        <w:r>
          <w:rPr>
            <w:rStyle w:val="Hyperlink"/>
          </w:rPr>
          <w:t>37</w:t>
        </w:r>
      </w:hyperlink>
      <w:r>
        <w:t>]. Furthermore, dividing the time frame into segments, such as monthly or quarterly intervals, allows for a detailed temporal analysis, enabling the examination of changes in reporting frequency or contextual shifts around specific events.</w:t>
      </w:r>
    </w:p>
    <w:p w14:paraId="7B80D516" w14:textId="77777777" w:rsidR="00867D52" w:rsidRDefault="00000000">
      <w:pPr>
        <w:pStyle w:val="BodyText"/>
      </w:pPr>
      <w:r>
        <w:lastRenderedPageBreak/>
        <w:t>The selected time frame may influence the results and the interpretation of trends in the data, as it allows for the assessment of any immediate effects of significant global or local events on the presence and representation of data science in the press. Considerations for seasonal variations or particular events, such as elections or natural disasters, should also be factored in, as they might affect media coverage and public interest in data science.</w:t>
      </w:r>
    </w:p>
    <w:p w14:paraId="7B80D517" w14:textId="77777777" w:rsidR="00867D52" w:rsidRDefault="00000000">
      <w:pPr>
        <w:pStyle w:val="BodyText"/>
      </w:pPr>
      <w:r>
        <w:t>If prior data is available, a comparative analysis with previous periods can provide valuable insights into the growth, decline, or cyclical patterns in the coverage of data science-related terms. Anticipating the impact of the time frame on the results is essential, considering how seasonal variations or specific events, such as elections or natural disasters, might influence media coverage and public interest in data science.</w:t>
      </w:r>
    </w:p>
    <w:p w14:paraId="7B80D518" w14:textId="77777777" w:rsidR="00867D52" w:rsidRDefault="00000000">
      <w:pPr>
        <w:pStyle w:val="Heading2"/>
      </w:pPr>
      <w:bookmarkStart w:id="12" w:name="data-collection-process"/>
      <w:bookmarkEnd w:id="11"/>
      <w:r>
        <w:t>3.3 Data Collection Process</w:t>
      </w:r>
    </w:p>
    <w:p w14:paraId="7B80D519" w14:textId="77777777" w:rsidR="00867D52" w:rsidRDefault="00000000">
      <w:pPr>
        <w:pStyle w:val="FirstParagraph"/>
      </w:pPr>
      <w:r>
        <w:t>This process begins with the careful selection of primary and secondary keywords, such as “</w:t>
      </w:r>
      <w:r>
        <w:rPr>
          <w:b/>
          <w:bCs/>
        </w:rPr>
        <w:t>Data Science</w:t>
      </w:r>
      <w:r>
        <w:t>”, “</w:t>
      </w:r>
      <w:r>
        <w:rPr>
          <w:b/>
          <w:bCs/>
        </w:rPr>
        <w:t>Big Data</w:t>
      </w:r>
      <w:r>
        <w:t>”, “</w:t>
      </w:r>
      <w:r>
        <w:rPr>
          <w:b/>
          <w:bCs/>
        </w:rPr>
        <w:t>Analytics</w:t>
      </w:r>
      <w:r>
        <w:t>”, “</w:t>
      </w:r>
      <w:r>
        <w:rPr>
          <w:b/>
          <w:bCs/>
        </w:rPr>
        <w:t>Artificial Intelligence</w:t>
      </w:r>
      <w:r>
        <w:t>”, along with related terms like “</w:t>
      </w:r>
      <w:r>
        <w:rPr>
          <w:b/>
          <w:bCs/>
        </w:rPr>
        <w:t>Robotics</w:t>
      </w:r>
      <w:r>
        <w:t xml:space="preserve">”. The search for these keywords is facilitated through the use of search textbook of </w:t>
      </w:r>
      <w:hyperlink r:id="rId7">
        <w:r>
          <w:rPr>
            <w:rStyle w:val="Hyperlink"/>
          </w:rPr>
          <w:t>https://www.inquirer.net/</w:t>
        </w:r>
      </w:hyperlink>
      <w:r>
        <w:t>. To validate the accuracy and relevance of the automated search results, a manual review process is implemented. This involves random checks to ensure articles are contextually related to data science and its associated fields. Moreover, the entire process is conducted with a strict adherence to ethical and legal considerations, ensuring compliance with copyright laws and respect for privacy and ethical guidelines, especially when handling articles that include interviews or personal data. Through these comprehensive keyword search techniques, the study aims to gather a wide range of data from the Philippine Daily Inquirer, offering detailed insights into the media’s portrayal and emphasis on data science and related terms.</w:t>
      </w:r>
    </w:p>
    <w:p w14:paraId="7B80D51A" w14:textId="77777777" w:rsidR="00867D52" w:rsidRDefault="00000000">
      <w:pPr>
        <w:pStyle w:val="Heading1"/>
      </w:pPr>
      <w:bookmarkStart w:id="13" w:name="findings"/>
      <w:bookmarkEnd w:id="9"/>
      <w:bookmarkEnd w:id="12"/>
      <w:r>
        <w:t>4. Findings</w:t>
      </w:r>
    </w:p>
    <w:p w14:paraId="7B80D51B" w14:textId="77777777" w:rsidR="00867D52" w:rsidRDefault="00000000">
      <w:pPr>
        <w:pStyle w:val="Heading2"/>
      </w:pPr>
      <w:bookmarkStart w:id="14" w:name="data-scrapping-process"/>
      <w:r>
        <w:t>4.1 Data Scrapping Process</w:t>
      </w:r>
    </w:p>
    <w:p w14:paraId="7B80D51C" w14:textId="77777777" w:rsidR="00867D52" w:rsidRDefault="00000000">
      <w:pPr>
        <w:pStyle w:val="SourceCode"/>
      </w:pPr>
      <w:r>
        <w:rPr>
          <w:rStyle w:val="FunctionTok"/>
        </w:rPr>
        <w:t>library</w:t>
      </w:r>
      <w:r>
        <w:rPr>
          <w:rStyle w:val="NormalTok"/>
        </w:rPr>
        <w:t>(rvest)</w:t>
      </w:r>
    </w:p>
    <w:p w14:paraId="7B80D51D" w14:textId="77777777" w:rsidR="00867D52" w:rsidRDefault="00000000">
      <w:pPr>
        <w:pStyle w:val="SourceCode"/>
      </w:pPr>
      <w:r>
        <w:rPr>
          <w:rStyle w:val="VerbatimChar"/>
        </w:rPr>
        <w:t>Warning: package 'rvest' was built under R version 4.3.1</w:t>
      </w:r>
    </w:p>
    <w:p w14:paraId="7B80D51E" w14:textId="77777777" w:rsidR="00867D52" w:rsidRDefault="00000000">
      <w:pPr>
        <w:pStyle w:val="SourceCode"/>
      </w:pPr>
      <w:r>
        <w:rPr>
          <w:rStyle w:val="FunctionTok"/>
        </w:rPr>
        <w:t>library</w:t>
      </w:r>
      <w:r>
        <w:rPr>
          <w:rStyle w:val="NormalTok"/>
        </w:rPr>
        <w:t>(tidyverse)</w:t>
      </w:r>
    </w:p>
    <w:p w14:paraId="7B80D51F" w14:textId="77777777" w:rsidR="00867D52" w:rsidRDefault="00000000">
      <w:pPr>
        <w:pStyle w:val="SourceCode"/>
      </w:pPr>
      <w:r>
        <w:rPr>
          <w:rStyle w:val="VerbatimChar"/>
        </w:rPr>
        <w:t>Warning: package 'tidyverse' was built under R version 4.3.1</w:t>
      </w:r>
    </w:p>
    <w:p w14:paraId="7B80D520" w14:textId="77777777" w:rsidR="00867D52" w:rsidRDefault="00000000">
      <w:pPr>
        <w:pStyle w:val="SourceCode"/>
      </w:pPr>
      <w:r>
        <w:rPr>
          <w:rStyle w:val="VerbatimChar"/>
        </w:rPr>
        <w:t>Warning: package 'ggplot2' was built under R version 4.3.2</w:t>
      </w:r>
    </w:p>
    <w:p w14:paraId="7B80D521" w14:textId="77777777" w:rsidR="00867D52" w:rsidRDefault="00000000">
      <w:pPr>
        <w:pStyle w:val="SourceCode"/>
      </w:pPr>
      <w:r>
        <w:rPr>
          <w:rStyle w:val="VerbatimChar"/>
        </w:rPr>
        <w:t>Warning: package 'tidyr' was built under R version 4.3.1</w:t>
      </w:r>
    </w:p>
    <w:p w14:paraId="7B80D522" w14:textId="77777777" w:rsidR="00867D52" w:rsidRDefault="00000000">
      <w:pPr>
        <w:pStyle w:val="SourceCode"/>
      </w:pPr>
      <w:r>
        <w:rPr>
          <w:rStyle w:val="VerbatimChar"/>
        </w:rPr>
        <w:t>Warning: package 'dplyr' was built under R version 4.3.2</w:t>
      </w:r>
    </w:p>
    <w:p w14:paraId="7B80D523" w14:textId="77777777" w:rsidR="00867D52" w:rsidRDefault="00000000">
      <w:pPr>
        <w:pStyle w:val="SourceCode"/>
      </w:pPr>
      <w:r>
        <w:rPr>
          <w:rStyle w:val="VerbatimChar"/>
        </w:rPr>
        <w:t>Warning: package 'forcats' was built under R version 4.3.1</w:t>
      </w:r>
    </w:p>
    <w:p w14:paraId="7B80D524" w14:textId="77777777" w:rsidR="00867D52" w:rsidRDefault="00000000">
      <w:pPr>
        <w:pStyle w:val="SourceCode"/>
      </w:pPr>
      <w:r>
        <w:rPr>
          <w:rStyle w:val="VerbatimChar"/>
        </w:rPr>
        <w:t>Warning: package 'lubridate' was built under R version 4.3.2</w:t>
      </w:r>
    </w:p>
    <w:p w14:paraId="7B80D525" w14:textId="77777777" w:rsidR="00867D52" w:rsidRDefault="00000000">
      <w:pPr>
        <w:pStyle w:val="SourceCode"/>
      </w:pPr>
      <w:r>
        <w:rPr>
          <w:rStyle w:val="VerbatimChar"/>
        </w:rPr>
        <w:lastRenderedPageBreak/>
        <w:t>── Attaching core tidyverse packages ──────────────────────── tidyverse 2.0.0 ──</w:t>
      </w:r>
      <w:r>
        <w:br/>
      </w:r>
      <w:r>
        <w:rPr>
          <w:rStyle w:val="VerbatimChar"/>
        </w:rPr>
        <w:t>✔ dplyr     1.1.3     ✔ readr     2.1.4</w:t>
      </w:r>
      <w:r>
        <w:br/>
      </w:r>
      <w:r>
        <w:rPr>
          <w:rStyle w:val="VerbatimChar"/>
        </w:rPr>
        <w:t>✔ forcats   1.0.0     ✔ stringr   1.5.1</w:t>
      </w:r>
      <w:r>
        <w:br/>
      </w:r>
      <w:r>
        <w:rPr>
          <w:rStyle w:val="VerbatimChar"/>
        </w:rPr>
        <w:t>✔ ggplot2   3.4.4     ✔ tibble    3.2.1</w:t>
      </w:r>
      <w:r>
        <w:br/>
      </w:r>
      <w:r>
        <w:rPr>
          <w:rStyle w:val="VerbatimChar"/>
        </w:rPr>
        <w:t>✔ lubridate 1.9.3     ✔ tidyr     1.3.0</w:t>
      </w:r>
      <w:r>
        <w:br/>
      </w:r>
      <w:r>
        <w:rPr>
          <w:rStyle w:val="VerbatimChar"/>
        </w:rPr>
        <w:t xml:space="preserve">✔ purrr     1.0.1     </w:t>
      </w:r>
      <w:r>
        <w:br/>
      </w:r>
      <w:r>
        <w:rPr>
          <w:rStyle w:val="VerbatimChar"/>
        </w:rPr>
        <w:t>── Conflicts ────────────────────────────────────────── tidyverse_conflicts() ──</w:t>
      </w:r>
      <w:r>
        <w:br/>
      </w:r>
      <w:r>
        <w:rPr>
          <w:rStyle w:val="VerbatimChar"/>
        </w:rPr>
        <w:t>✖ dplyr::filter()         masks stats::filter()</w:t>
      </w:r>
      <w:r>
        <w:br/>
      </w:r>
      <w:r>
        <w:rPr>
          <w:rStyle w:val="VerbatimChar"/>
        </w:rPr>
        <w:t>✖ readr::guess_encoding() masks rvest::guess_encoding()</w:t>
      </w:r>
      <w:r>
        <w:br/>
      </w:r>
      <w:r>
        <w:rPr>
          <w:rStyle w:val="VerbatimChar"/>
        </w:rPr>
        <w:t>✖ dplyr::lag()            masks stats::lag()</w:t>
      </w:r>
      <w:r>
        <w:br/>
      </w:r>
      <w:r>
        <w:rPr>
          <w:rStyle w:val="VerbatimChar"/>
        </w:rPr>
        <w:t>ℹ Use the conflicted package (&lt;http://conflicted.r-lib.org/&gt;) to force all conflicts to become errors</w:t>
      </w:r>
    </w:p>
    <w:p w14:paraId="7B80D526" w14:textId="77777777" w:rsidR="00867D52" w:rsidRDefault="00000000">
      <w:pPr>
        <w:pStyle w:val="FirstParagraph"/>
      </w:pPr>
      <w:r>
        <w:t xml:space="preserve">The </w:t>
      </w:r>
      <w:r>
        <w:rPr>
          <w:rStyle w:val="VerbatimChar"/>
        </w:rPr>
        <w:t>rvest</w:t>
      </w:r>
      <w:r>
        <w:t xml:space="preserve"> and </w:t>
      </w:r>
      <w:r>
        <w:rPr>
          <w:rStyle w:val="VerbatimChar"/>
        </w:rPr>
        <w:t>tidyverse</w:t>
      </w:r>
      <w:r>
        <w:t xml:space="preserve"> libraries in R are essential for tasks related to web scraping in R.</w:t>
      </w:r>
    </w:p>
    <w:p w14:paraId="7B80D527" w14:textId="77777777" w:rsidR="00867D52" w:rsidRDefault="00000000">
      <w:pPr>
        <w:pStyle w:val="BodyText"/>
      </w:pPr>
      <w:r>
        <w:t xml:space="preserve">Starting with </w:t>
      </w:r>
      <w:r>
        <w:rPr>
          <w:rStyle w:val="VerbatimChar"/>
        </w:rPr>
        <w:t>rvest</w:t>
      </w:r>
      <w:r>
        <w:t xml:space="preserve">, this package is specifically designed for web scraping. It allows you to read HTML content from websites using </w:t>
      </w:r>
      <w:r>
        <w:rPr>
          <w:rStyle w:val="VerbatimChar"/>
        </w:rPr>
        <w:t>read_html()</w:t>
      </w:r>
      <w:r>
        <w:t xml:space="preserve">. Once you have the HTML content, you can use functions like </w:t>
      </w:r>
      <w:r>
        <w:rPr>
          <w:rStyle w:val="VerbatimChar"/>
        </w:rPr>
        <w:t>html_nodes()</w:t>
      </w:r>
      <w:r>
        <w:t xml:space="preserve"> and </w:t>
      </w:r>
      <w:r>
        <w:rPr>
          <w:rStyle w:val="VerbatimChar"/>
        </w:rPr>
        <w:t>html_element()</w:t>
      </w:r>
      <w:r>
        <w:t xml:space="preserve"> to select specific elements based on CSS selectors. </w:t>
      </w:r>
      <w:r>
        <w:rPr>
          <w:rStyle w:val="VerbatimChar"/>
        </w:rPr>
        <w:t>html_nodes()</w:t>
      </w:r>
      <w:r>
        <w:t xml:space="preserve"> is useful for extracting a list of elements, while </w:t>
      </w:r>
      <w:r>
        <w:rPr>
          <w:rStyle w:val="VerbatimChar"/>
        </w:rPr>
        <w:t>html_element()</w:t>
      </w:r>
      <w:r>
        <w:t xml:space="preserve"> is handy when you just need the first matching element. After selecting these elements, </w:t>
      </w:r>
      <w:r>
        <w:rPr>
          <w:rStyle w:val="VerbatimChar"/>
        </w:rPr>
        <w:t>html_text()</w:t>
      </w:r>
      <w:r>
        <w:t xml:space="preserve"> can be used to extract their text content. The </w:t>
      </w:r>
      <w:r>
        <w:rPr>
          <w:rStyle w:val="VerbatimChar"/>
        </w:rPr>
        <w:t>rvest</w:t>
      </w:r>
      <w:r>
        <w:t xml:space="preserve"> package integrates smoothly with magrittr to facilitate the chaining of operations, making the code more readable and concise. Detailed documentation for </w:t>
      </w:r>
      <w:r>
        <w:rPr>
          <w:rStyle w:val="VerbatimChar"/>
        </w:rPr>
        <w:t>rvest</w:t>
      </w:r>
      <w:r>
        <w:t xml:space="preserve"> is available on the CRAN </w:t>
      </w:r>
      <w:r>
        <w:rPr>
          <w:rStyle w:val="VerbatimChar"/>
        </w:rPr>
        <w:t>rvest</w:t>
      </w:r>
      <w:r>
        <w:t xml:space="preserve"> package page [</w:t>
      </w:r>
      <w:hyperlink w:anchor="ref-rvest2022">
        <w:r>
          <w:rPr>
            <w:rStyle w:val="Hyperlink"/>
          </w:rPr>
          <w:t>38</w:t>
        </w:r>
      </w:hyperlink>
      <w:r>
        <w:t>].</w:t>
      </w:r>
    </w:p>
    <w:p w14:paraId="7B80D528" w14:textId="77777777" w:rsidR="00867D52" w:rsidRDefault="00000000">
      <w:pPr>
        <w:pStyle w:val="BodyText"/>
      </w:pPr>
      <w:r>
        <w:t xml:space="preserve">The </w:t>
      </w:r>
      <w:r>
        <w:rPr>
          <w:rStyle w:val="VerbatimChar"/>
        </w:rPr>
        <w:t>tidyverse</w:t>
      </w:r>
      <w:r>
        <w:t xml:space="preserve"> package, on the other hand, is a collection of R packages designed for comprehensive data science tasks. It includes tools for data manipulation, exploration, and visualization. Notable among its components are </w:t>
      </w:r>
      <w:r>
        <w:rPr>
          <w:rStyle w:val="VerbatimChar"/>
        </w:rPr>
        <w:t>ggplot2</w:t>
      </w:r>
      <w:r>
        <w:t xml:space="preserve"> for data visualization, </w:t>
      </w:r>
      <w:r>
        <w:rPr>
          <w:rStyle w:val="VerbatimChar"/>
        </w:rPr>
        <w:t>dplyr</w:t>
      </w:r>
      <w:r>
        <w:t xml:space="preserve"> for data manipulation, and </w:t>
      </w:r>
      <w:r>
        <w:rPr>
          <w:rStyle w:val="VerbatimChar"/>
        </w:rPr>
        <w:t>tibble</w:t>
      </w:r>
      <w:r>
        <w:t xml:space="preserve"> for modern data frames. The pipe operator </w:t>
      </w:r>
      <w:r>
        <w:rPr>
          <w:rStyle w:val="VerbatimChar"/>
        </w:rPr>
        <w:t>%&gt;%</w:t>
      </w:r>
      <w:r>
        <w:t xml:space="preserve"> from </w:t>
      </w:r>
      <w:r>
        <w:rPr>
          <w:rStyle w:val="VerbatimChar"/>
        </w:rPr>
        <w:t>magrittr</w:t>
      </w:r>
      <w:r>
        <w:t xml:space="preserve">, also widely used in </w:t>
      </w:r>
      <w:r>
        <w:rPr>
          <w:rStyle w:val="VerbatimChar"/>
        </w:rPr>
        <w:t>tidyverse</w:t>
      </w:r>
      <w:r>
        <w:t xml:space="preserve">, allows for chaining together a sequence of functions, making data manipulation tasks more intuitive and streamlined. Specific functions in </w:t>
      </w:r>
      <w:r>
        <w:rPr>
          <w:rStyle w:val="VerbatimChar"/>
        </w:rPr>
        <w:t>dplyr</w:t>
      </w:r>
      <w:r>
        <w:t xml:space="preserve"> like </w:t>
      </w:r>
      <w:r>
        <w:rPr>
          <w:rStyle w:val="VerbatimChar"/>
        </w:rPr>
        <w:t>mutate()</w:t>
      </w:r>
      <w:r>
        <w:t xml:space="preserve">, </w:t>
      </w:r>
      <w:r>
        <w:rPr>
          <w:rStyle w:val="VerbatimChar"/>
        </w:rPr>
        <w:t>filter()</w:t>
      </w:r>
      <w:r>
        <w:t xml:space="preserve">, and </w:t>
      </w:r>
      <w:r>
        <w:rPr>
          <w:rStyle w:val="VerbatimChar"/>
        </w:rPr>
        <w:t>summarize()</w:t>
      </w:r>
      <w:r>
        <w:t xml:space="preserve"> enable sophisticated data operations, while </w:t>
      </w:r>
      <w:r>
        <w:rPr>
          <w:rStyle w:val="VerbatimChar"/>
        </w:rPr>
        <w:t>ggplot2</w:t>
      </w:r>
      <w:r>
        <w:t xml:space="preserve"> provides a powerful system for creating complex and aesthetically pleasing visualizations. Comprehensive information, tutorials, and user guides for tidyverse can be found on its dedicated website, and the book “R for Data Science” by Hadley Wickham and Garrett Grolemund is an excellent resource for delving deeper into these packages [</w:t>
      </w:r>
      <w:hyperlink w:anchor="ref-tidyverse2019">
        <w:r>
          <w:rPr>
            <w:rStyle w:val="Hyperlink"/>
          </w:rPr>
          <w:t>39</w:t>
        </w:r>
      </w:hyperlink>
      <w:r>
        <w:t>].</w:t>
      </w:r>
    </w:p>
    <w:p w14:paraId="7B80D529" w14:textId="77777777" w:rsidR="00867D52" w:rsidRDefault="00000000">
      <w:pPr>
        <w:pStyle w:val="Heading1"/>
      </w:pPr>
      <w:bookmarkStart w:id="15" w:name="references"/>
      <w:bookmarkEnd w:id="13"/>
      <w:bookmarkEnd w:id="14"/>
      <w:r>
        <w:t>5. References</w:t>
      </w:r>
    </w:p>
    <w:p w14:paraId="7B80D52A" w14:textId="77777777" w:rsidR="00867D52" w:rsidRDefault="00000000">
      <w:pPr>
        <w:pStyle w:val="Bibliography"/>
      </w:pPr>
      <w:bookmarkStart w:id="16" w:name="ref-Hey2012"/>
      <w:bookmarkStart w:id="17" w:name="refs"/>
      <w:r>
        <w:t xml:space="preserve">1. </w:t>
      </w:r>
      <w:r>
        <w:tab/>
        <w:t xml:space="preserve">Hey, T. </w:t>
      </w:r>
      <w:hyperlink r:id="rId8">
        <w:r>
          <w:rPr>
            <w:rStyle w:val="Hyperlink"/>
          </w:rPr>
          <w:t>The Fourth Paradigm  Data-Intensive Scientific Discovery</w:t>
        </w:r>
      </w:hyperlink>
      <w:r>
        <w:t xml:space="preserve">. In </w:t>
      </w:r>
      <w:r>
        <w:rPr>
          <w:i/>
          <w:iCs/>
        </w:rPr>
        <w:t>Communications in computer and information science</w:t>
      </w:r>
      <w:r>
        <w:t>; Springer Berlin Heidelberg, 2012; pp. 1–1.</w:t>
      </w:r>
    </w:p>
    <w:p w14:paraId="7B80D52B" w14:textId="77777777" w:rsidR="00867D52" w:rsidRDefault="00000000">
      <w:pPr>
        <w:pStyle w:val="Bibliography"/>
      </w:pPr>
      <w:bookmarkStart w:id="18" w:name="ref-Provost2013"/>
      <w:bookmarkEnd w:id="16"/>
      <w:r>
        <w:lastRenderedPageBreak/>
        <w:t xml:space="preserve">2. </w:t>
      </w:r>
      <w:r>
        <w:tab/>
        <w:t xml:space="preserve">Provost, F.; Fawcett, T. Data Science and Its Relationship to Big Data and Data-Driven Decision Making. </w:t>
      </w:r>
      <w:r>
        <w:rPr>
          <w:i/>
          <w:iCs/>
        </w:rPr>
        <w:t>Big Data</w:t>
      </w:r>
      <w:r>
        <w:t xml:space="preserve"> </w:t>
      </w:r>
      <w:r>
        <w:rPr>
          <w:b/>
          <w:bCs/>
        </w:rPr>
        <w:t>2013</w:t>
      </w:r>
      <w:r>
        <w:t>, doi:</w:t>
      </w:r>
      <w:hyperlink r:id="rId9">
        <w:r>
          <w:rPr>
            <w:rStyle w:val="Hyperlink"/>
          </w:rPr>
          <w:t>10.1089/big.2013.1508</w:t>
        </w:r>
      </w:hyperlink>
      <w:r>
        <w:t>.</w:t>
      </w:r>
    </w:p>
    <w:p w14:paraId="7B80D52C" w14:textId="77777777" w:rsidR="00867D52" w:rsidRDefault="00000000">
      <w:pPr>
        <w:pStyle w:val="Bibliography"/>
      </w:pPr>
      <w:bookmarkStart w:id="19" w:name="ref-Tewari2021"/>
      <w:bookmarkEnd w:id="18"/>
      <w:r>
        <w:t xml:space="preserve">3. </w:t>
      </w:r>
      <w:r>
        <w:tab/>
        <w:t xml:space="preserve">Tewari, S.H. Necessity of Data Science for Enhanced Cybersecurity. </w:t>
      </w:r>
      <w:r>
        <w:rPr>
          <w:i/>
          <w:iCs/>
        </w:rPr>
        <w:t>International Journal of Data Science and Big Data Analytics</w:t>
      </w:r>
      <w:r>
        <w:t xml:space="preserve"> </w:t>
      </w:r>
      <w:r>
        <w:rPr>
          <w:b/>
          <w:bCs/>
        </w:rPr>
        <w:t>2021</w:t>
      </w:r>
      <w:r>
        <w:t>, doi:</w:t>
      </w:r>
      <w:hyperlink r:id="rId10">
        <w:r>
          <w:rPr>
            <w:rStyle w:val="Hyperlink"/>
          </w:rPr>
          <w:t>10.51483/ijdsbda.1.1.2021.63-79</w:t>
        </w:r>
      </w:hyperlink>
      <w:r>
        <w:t>.</w:t>
      </w:r>
    </w:p>
    <w:p w14:paraId="7B80D52D" w14:textId="77777777" w:rsidR="00867D52" w:rsidRDefault="00000000">
      <w:pPr>
        <w:pStyle w:val="Bibliography"/>
      </w:pPr>
      <w:bookmarkStart w:id="20" w:name="ref-Cash2003"/>
      <w:bookmarkEnd w:id="19"/>
      <w:r>
        <w:t xml:space="preserve">4. </w:t>
      </w:r>
      <w:r>
        <w:tab/>
        <w:t xml:space="preserve">Cash, D.W.; Clark, W.C.; Alcock, F.; Dickson, N.M.; Eckley, N.; Guston, D.H.; Jäger, J.; Mitchell, R.B. Knowledge Systems for Sustainable Development. </w:t>
      </w:r>
      <w:r>
        <w:rPr>
          <w:i/>
          <w:iCs/>
        </w:rPr>
        <w:t>Proceedings of the National Academy of Sciences</w:t>
      </w:r>
      <w:r>
        <w:t xml:space="preserve"> </w:t>
      </w:r>
      <w:r>
        <w:rPr>
          <w:b/>
          <w:bCs/>
        </w:rPr>
        <w:t>2003</w:t>
      </w:r>
      <w:r>
        <w:t>, doi:</w:t>
      </w:r>
      <w:hyperlink r:id="rId11">
        <w:r>
          <w:rPr>
            <w:rStyle w:val="Hyperlink"/>
          </w:rPr>
          <w:t>10.1073/pnas.1231332100</w:t>
        </w:r>
      </w:hyperlink>
      <w:r>
        <w:t>.</w:t>
      </w:r>
    </w:p>
    <w:p w14:paraId="7B80D52E" w14:textId="77777777" w:rsidR="00867D52" w:rsidRDefault="00000000">
      <w:pPr>
        <w:pStyle w:val="Bibliography"/>
      </w:pPr>
      <w:bookmarkStart w:id="21" w:name="ref-Agha-Mir-Salim2020"/>
      <w:bookmarkEnd w:id="20"/>
      <w:r>
        <w:t xml:space="preserve">5. </w:t>
      </w:r>
      <w:r>
        <w:tab/>
        <w:t xml:space="preserve">Agha-Mir-Salim, L.; Sarmiento, R.F. </w:t>
      </w:r>
      <w:hyperlink r:id="rId12">
        <w:r>
          <w:rPr>
            <w:rStyle w:val="Hyperlink"/>
            <w:i/>
            <w:iCs/>
          </w:rPr>
          <w:t>Health Information Technology as Premise for Data Science in Global Health: A Discussion of Opportunities and Challenges</w:t>
        </w:r>
      </w:hyperlink>
      <w:r>
        <w:t>; 2020;</w:t>
      </w:r>
    </w:p>
    <w:p w14:paraId="7B80D52F" w14:textId="77777777" w:rsidR="00867D52" w:rsidRDefault="00000000">
      <w:pPr>
        <w:pStyle w:val="Bibliography"/>
      </w:pPr>
      <w:bookmarkStart w:id="22" w:name="ref-Pearce2007"/>
      <w:bookmarkEnd w:id="21"/>
      <w:r>
        <w:t xml:space="preserve">6. </w:t>
      </w:r>
      <w:r>
        <w:tab/>
        <w:t xml:space="preserve">Pearce, N.; Aït-Khaled, N.; Beasley, R.; Mallol, J.; Keil, U.; Mitchell, E.A.; Robertson, C.F. </w:t>
      </w:r>
      <w:hyperlink r:id="rId13">
        <w:r>
          <w:rPr>
            <w:rStyle w:val="Hyperlink"/>
          </w:rPr>
          <w:t>Worldwide Trends in the Prevalence of Asthma Symptoms: Phase III of the International Study of Asthma and Allergies in Childhood (ISAAC)</w:t>
        </w:r>
      </w:hyperlink>
      <w:r>
        <w:t xml:space="preserve">. </w:t>
      </w:r>
      <w:r>
        <w:rPr>
          <w:i/>
          <w:iCs/>
        </w:rPr>
        <w:t>Thorax</w:t>
      </w:r>
      <w:r>
        <w:t xml:space="preserve"> 2007.</w:t>
      </w:r>
    </w:p>
    <w:p w14:paraId="7B80D530" w14:textId="77777777" w:rsidR="00867D52" w:rsidRDefault="00000000">
      <w:pPr>
        <w:pStyle w:val="Bibliography"/>
      </w:pPr>
      <w:bookmarkStart w:id="23" w:name="ref-Asher2020"/>
      <w:bookmarkEnd w:id="22"/>
      <w:r>
        <w:t xml:space="preserve">7. </w:t>
      </w:r>
      <w:r>
        <w:tab/>
        <w:t xml:space="preserve">Asher, M.I.; García‐Marcos, L.; Pearce, N.; Strachan, D.P. Trends in Worldwide Asthma Prevalence. </w:t>
      </w:r>
      <w:r>
        <w:rPr>
          <w:i/>
          <w:iCs/>
        </w:rPr>
        <w:t>European Respiratory Journal</w:t>
      </w:r>
      <w:r>
        <w:t xml:space="preserve"> </w:t>
      </w:r>
      <w:r>
        <w:rPr>
          <w:b/>
          <w:bCs/>
        </w:rPr>
        <w:t>2020</w:t>
      </w:r>
      <w:r>
        <w:t>, doi:</w:t>
      </w:r>
      <w:hyperlink r:id="rId14">
        <w:r>
          <w:rPr>
            <w:rStyle w:val="Hyperlink"/>
          </w:rPr>
          <w:t>10.1183/13993003.02094-2020</w:t>
        </w:r>
      </w:hyperlink>
      <w:r>
        <w:t>.</w:t>
      </w:r>
    </w:p>
    <w:p w14:paraId="7B80D531" w14:textId="77777777" w:rsidR="00867D52" w:rsidRDefault="00000000">
      <w:pPr>
        <w:pStyle w:val="Bibliography"/>
      </w:pPr>
      <w:bookmarkStart w:id="24" w:name="ref-McKibbin2020"/>
      <w:bookmarkEnd w:id="23"/>
      <w:r>
        <w:t xml:space="preserve">8. </w:t>
      </w:r>
      <w:r>
        <w:tab/>
        <w:t xml:space="preserve">McKibbin, W.J.; Fernando, R. The Global Macroeconomic Impacts of COVID-19: Seven Scenarios. </w:t>
      </w:r>
      <w:r>
        <w:rPr>
          <w:i/>
          <w:iCs/>
        </w:rPr>
        <w:t>SSRN Electronic Journal</w:t>
      </w:r>
      <w:r>
        <w:t xml:space="preserve"> </w:t>
      </w:r>
      <w:r>
        <w:rPr>
          <w:b/>
          <w:bCs/>
        </w:rPr>
        <w:t>2020</w:t>
      </w:r>
      <w:r>
        <w:t>, doi:</w:t>
      </w:r>
      <w:hyperlink r:id="rId15">
        <w:r>
          <w:rPr>
            <w:rStyle w:val="Hyperlink"/>
          </w:rPr>
          <w:t>10.2139/ssrn.3547729</w:t>
        </w:r>
      </w:hyperlink>
      <w:r>
        <w:t>.</w:t>
      </w:r>
    </w:p>
    <w:p w14:paraId="7B80D532" w14:textId="77777777" w:rsidR="00867D52" w:rsidRDefault="00000000">
      <w:pPr>
        <w:pStyle w:val="Bibliography"/>
      </w:pPr>
      <w:bookmarkStart w:id="25" w:name="ref-Ichhpujani2020"/>
      <w:bookmarkEnd w:id="24"/>
      <w:r>
        <w:t xml:space="preserve">9. </w:t>
      </w:r>
      <w:r>
        <w:tab/>
        <w:t xml:space="preserve">Ichhpujani, P.; Kalra, G.; Kaur, R.; Bhartiya, S. Evolution of Glaucoma Research: A Scientometric Review. </w:t>
      </w:r>
      <w:r>
        <w:rPr>
          <w:i/>
          <w:iCs/>
        </w:rPr>
        <w:t>Journal of Current Glaucoma Practice</w:t>
      </w:r>
      <w:r>
        <w:t xml:space="preserve"> </w:t>
      </w:r>
      <w:r>
        <w:rPr>
          <w:b/>
          <w:bCs/>
        </w:rPr>
        <w:t>2020</w:t>
      </w:r>
      <w:r>
        <w:t>, doi:</w:t>
      </w:r>
      <w:hyperlink r:id="rId16">
        <w:r>
          <w:rPr>
            <w:rStyle w:val="Hyperlink"/>
          </w:rPr>
          <w:t>10.5005/jp-journals-10078-1286</w:t>
        </w:r>
      </w:hyperlink>
      <w:r>
        <w:t>.</w:t>
      </w:r>
    </w:p>
    <w:p w14:paraId="7B80D533" w14:textId="77777777" w:rsidR="00867D52" w:rsidRDefault="00000000">
      <w:pPr>
        <w:pStyle w:val="Bibliography"/>
      </w:pPr>
      <w:bookmarkStart w:id="26" w:name="ref-Harzing2015"/>
      <w:bookmarkEnd w:id="25"/>
      <w:r>
        <w:t xml:space="preserve">10. </w:t>
      </w:r>
      <w:r>
        <w:tab/>
        <w:t xml:space="preserve">Harzing, A.; Alakangas, S. Google Scholar, Scopus and the Web of Science: A Longitudinal and Cross-Disciplinary Comparison. </w:t>
      </w:r>
      <w:r>
        <w:rPr>
          <w:i/>
          <w:iCs/>
        </w:rPr>
        <w:t>Scientometrics</w:t>
      </w:r>
      <w:r>
        <w:t xml:space="preserve"> </w:t>
      </w:r>
      <w:r>
        <w:rPr>
          <w:b/>
          <w:bCs/>
        </w:rPr>
        <w:t>2015</w:t>
      </w:r>
      <w:r>
        <w:t>, doi:</w:t>
      </w:r>
      <w:hyperlink r:id="rId17">
        <w:r>
          <w:rPr>
            <w:rStyle w:val="Hyperlink"/>
          </w:rPr>
          <w:t>10.1007/s11192-015-1798-9</w:t>
        </w:r>
      </w:hyperlink>
      <w:r>
        <w:t>.</w:t>
      </w:r>
    </w:p>
    <w:p w14:paraId="7B80D534" w14:textId="77777777" w:rsidR="00867D52" w:rsidRDefault="00000000">
      <w:pPr>
        <w:pStyle w:val="Bibliography"/>
      </w:pPr>
      <w:bookmarkStart w:id="27" w:name="ref-Oliver2021"/>
      <w:bookmarkEnd w:id="26"/>
      <w:r>
        <w:t xml:space="preserve">11. </w:t>
      </w:r>
      <w:r>
        <w:tab/>
        <w:t xml:space="preserve">Oliver, J.C.; McNeil, T. Undergraduate Data Science Degrees Emphasize Computer Science and Statistics but Fall Short in Ethics Training and Domain-Specific Context. </w:t>
      </w:r>
      <w:r>
        <w:rPr>
          <w:i/>
          <w:iCs/>
        </w:rPr>
        <w:t>Peerj Computer Science</w:t>
      </w:r>
      <w:r>
        <w:t xml:space="preserve"> </w:t>
      </w:r>
      <w:r>
        <w:rPr>
          <w:b/>
          <w:bCs/>
        </w:rPr>
        <w:t>2021</w:t>
      </w:r>
      <w:r>
        <w:t>, doi:</w:t>
      </w:r>
      <w:hyperlink r:id="rId18">
        <w:r>
          <w:rPr>
            <w:rStyle w:val="Hyperlink"/>
          </w:rPr>
          <w:t>10.7717/peerj-cs.441</w:t>
        </w:r>
      </w:hyperlink>
      <w:r>
        <w:t>.</w:t>
      </w:r>
    </w:p>
    <w:p w14:paraId="7B80D535" w14:textId="77777777" w:rsidR="00867D52" w:rsidRDefault="00000000">
      <w:pPr>
        <w:pStyle w:val="Bibliography"/>
      </w:pPr>
      <w:bookmarkStart w:id="28" w:name="ref-Weichselbraun2021"/>
      <w:bookmarkEnd w:id="27"/>
      <w:r>
        <w:t xml:space="preserve">12. </w:t>
      </w:r>
      <w:r>
        <w:tab/>
        <w:t xml:space="preserve">Weichselbraun, A.; Kuntschik, P.; Francolino, V.; Saner, M.; Dahinden, U.; Wyss, V. Adapting Data-Driven Research to the Fields of Social Sciences and the Humanities. </w:t>
      </w:r>
      <w:r>
        <w:rPr>
          <w:i/>
          <w:iCs/>
        </w:rPr>
        <w:t>Future Internet</w:t>
      </w:r>
      <w:r>
        <w:t xml:space="preserve"> </w:t>
      </w:r>
      <w:r>
        <w:rPr>
          <w:b/>
          <w:bCs/>
        </w:rPr>
        <w:t>2021</w:t>
      </w:r>
      <w:r>
        <w:t>, doi:</w:t>
      </w:r>
      <w:hyperlink r:id="rId19">
        <w:r>
          <w:rPr>
            <w:rStyle w:val="Hyperlink"/>
          </w:rPr>
          <w:t>10.3390/fi13030059</w:t>
        </w:r>
      </w:hyperlink>
      <w:r>
        <w:t>.</w:t>
      </w:r>
    </w:p>
    <w:p w14:paraId="7B80D536" w14:textId="77777777" w:rsidR="00867D52" w:rsidRDefault="00000000">
      <w:pPr>
        <w:pStyle w:val="Bibliography"/>
      </w:pPr>
      <w:bookmarkStart w:id="29" w:name="ref-Herman1989"/>
      <w:bookmarkEnd w:id="28"/>
      <w:r>
        <w:t xml:space="preserve">13. </w:t>
      </w:r>
      <w:r>
        <w:tab/>
        <w:t xml:space="preserve">Herman, E.S.; Chomsky, N. Manufacturing Consent: The Political Economy of the Mass Media. </w:t>
      </w:r>
      <w:r>
        <w:rPr>
          <w:i/>
          <w:iCs/>
        </w:rPr>
        <w:t>Contemporary Sociology a Journal of Reviews</w:t>
      </w:r>
      <w:r>
        <w:t xml:space="preserve"> </w:t>
      </w:r>
      <w:r>
        <w:rPr>
          <w:b/>
          <w:bCs/>
        </w:rPr>
        <w:t>1989</w:t>
      </w:r>
      <w:r>
        <w:t>, doi:</w:t>
      </w:r>
      <w:hyperlink r:id="rId20">
        <w:r>
          <w:rPr>
            <w:rStyle w:val="Hyperlink"/>
          </w:rPr>
          <w:t>10.2307/2074220</w:t>
        </w:r>
      </w:hyperlink>
      <w:r>
        <w:t>.</w:t>
      </w:r>
    </w:p>
    <w:p w14:paraId="7B80D537" w14:textId="77777777" w:rsidR="00867D52" w:rsidRDefault="00000000">
      <w:pPr>
        <w:pStyle w:val="Bibliography"/>
      </w:pPr>
      <w:bookmarkStart w:id="30" w:name="ref-Shanahan1988"/>
      <w:bookmarkEnd w:id="29"/>
      <w:r>
        <w:t xml:space="preserve">14. </w:t>
      </w:r>
      <w:r>
        <w:tab/>
        <w:t xml:space="preserve">Shanahan, D. Amusing Ourselves to Death: Public Discourse in the Age of Show Business. </w:t>
      </w:r>
      <w:r>
        <w:rPr>
          <w:i/>
          <w:iCs/>
        </w:rPr>
        <w:t>The Social Science Journal</w:t>
      </w:r>
      <w:r>
        <w:t xml:space="preserve"> </w:t>
      </w:r>
      <w:r>
        <w:rPr>
          <w:b/>
          <w:bCs/>
        </w:rPr>
        <w:t>1988</w:t>
      </w:r>
      <w:r>
        <w:t>, doi:</w:t>
      </w:r>
      <w:hyperlink r:id="rId21">
        <w:r>
          <w:rPr>
            <w:rStyle w:val="Hyperlink"/>
          </w:rPr>
          <w:t>10.1016/0362-3319(88)90048-1</w:t>
        </w:r>
      </w:hyperlink>
      <w:r>
        <w:t>.</w:t>
      </w:r>
    </w:p>
    <w:p w14:paraId="7B80D538" w14:textId="77777777" w:rsidR="00867D52" w:rsidRDefault="00000000">
      <w:pPr>
        <w:pStyle w:val="Bibliography"/>
      </w:pPr>
      <w:bookmarkStart w:id="31" w:name="ref-Keshvari2018"/>
      <w:bookmarkEnd w:id="30"/>
      <w:r>
        <w:t xml:space="preserve">15. </w:t>
      </w:r>
      <w:r>
        <w:tab/>
        <w:t xml:space="preserve">Keshvari, M.; Yamani, N.; Adibi, P.; Shahnazi, H. Health Journalism: Health Reporting Status and Challenges. </w:t>
      </w:r>
      <w:r>
        <w:rPr>
          <w:i/>
          <w:iCs/>
        </w:rPr>
        <w:t>Iranian Journal of Nursing and Midwifery Research</w:t>
      </w:r>
      <w:r>
        <w:t xml:space="preserve"> </w:t>
      </w:r>
      <w:r>
        <w:rPr>
          <w:b/>
          <w:bCs/>
        </w:rPr>
        <w:t>2018</w:t>
      </w:r>
      <w:r>
        <w:t>, doi:</w:t>
      </w:r>
      <w:hyperlink r:id="rId22">
        <w:r>
          <w:rPr>
            <w:rStyle w:val="Hyperlink"/>
          </w:rPr>
          <w:t>10.4103/ijnmr.ijnmr\_158\_16</w:t>
        </w:r>
      </w:hyperlink>
      <w:r>
        <w:t>.</w:t>
      </w:r>
    </w:p>
    <w:p w14:paraId="7B80D539" w14:textId="77777777" w:rsidR="00867D52" w:rsidRDefault="00000000">
      <w:pPr>
        <w:pStyle w:val="Bibliography"/>
      </w:pPr>
      <w:bookmarkStart w:id="32" w:name="ref-Younes2020"/>
      <w:bookmarkEnd w:id="31"/>
      <w:r>
        <w:lastRenderedPageBreak/>
        <w:t xml:space="preserve">16. </w:t>
      </w:r>
      <w:r>
        <w:tab/>
        <w:t xml:space="preserve">Younes, Z.B.; Hassan, I.; Azmi, M.N.L. A Pragmatic Analysis of Islam-Related Terminologies in Selected Eastern and Western Mass Media. </w:t>
      </w:r>
      <w:r>
        <w:rPr>
          <w:i/>
          <w:iCs/>
        </w:rPr>
        <w:t>Arab World English Journal</w:t>
      </w:r>
      <w:r>
        <w:t xml:space="preserve"> </w:t>
      </w:r>
      <w:r>
        <w:rPr>
          <w:b/>
          <w:bCs/>
        </w:rPr>
        <w:t>2020</w:t>
      </w:r>
      <w:r>
        <w:t>, doi:</w:t>
      </w:r>
      <w:hyperlink r:id="rId23">
        <w:r>
          <w:rPr>
            <w:rStyle w:val="Hyperlink"/>
          </w:rPr>
          <w:t>10.24093/awej/vol11no2.6</w:t>
        </w:r>
      </w:hyperlink>
      <w:r>
        <w:t>.</w:t>
      </w:r>
    </w:p>
    <w:p w14:paraId="7B80D53A" w14:textId="77777777" w:rsidR="00867D52" w:rsidRDefault="00000000">
      <w:pPr>
        <w:pStyle w:val="Bibliography"/>
      </w:pPr>
      <w:bookmarkStart w:id="33" w:name="ref-Sanchez-Pinto2018"/>
      <w:bookmarkEnd w:id="32"/>
      <w:r>
        <w:t xml:space="preserve">17. </w:t>
      </w:r>
      <w:r>
        <w:tab/>
        <w:t xml:space="preserve">Sanchez-Pinto, L.N.; Luo, Y.; Churpek, M.M. Big Data and Data Science in Critical Care. </w:t>
      </w:r>
      <w:r>
        <w:rPr>
          <w:i/>
          <w:iCs/>
        </w:rPr>
        <w:t>Chest Journal</w:t>
      </w:r>
      <w:r>
        <w:t xml:space="preserve"> </w:t>
      </w:r>
      <w:r>
        <w:rPr>
          <w:b/>
          <w:bCs/>
        </w:rPr>
        <w:t>2018</w:t>
      </w:r>
      <w:r>
        <w:t>, doi:</w:t>
      </w:r>
      <w:hyperlink r:id="rId24">
        <w:r>
          <w:rPr>
            <w:rStyle w:val="Hyperlink"/>
          </w:rPr>
          <w:t>10.1016/j.chest.2018.04.037</w:t>
        </w:r>
      </w:hyperlink>
      <w:r>
        <w:t>.</w:t>
      </w:r>
    </w:p>
    <w:p w14:paraId="7B80D53B" w14:textId="77777777" w:rsidR="00867D52" w:rsidRDefault="00000000">
      <w:pPr>
        <w:pStyle w:val="Bibliography"/>
      </w:pPr>
      <w:bookmarkStart w:id="34" w:name="ref-Deo2015"/>
      <w:bookmarkEnd w:id="33"/>
      <w:r>
        <w:t xml:space="preserve">18. </w:t>
      </w:r>
      <w:r>
        <w:tab/>
        <w:t xml:space="preserve">Deo, R.C. Machine Learning in Medicine. </w:t>
      </w:r>
      <w:r>
        <w:rPr>
          <w:i/>
          <w:iCs/>
        </w:rPr>
        <w:t>Circulation</w:t>
      </w:r>
      <w:r>
        <w:t xml:space="preserve"> </w:t>
      </w:r>
      <w:r>
        <w:rPr>
          <w:b/>
          <w:bCs/>
        </w:rPr>
        <w:t>2015</w:t>
      </w:r>
      <w:r>
        <w:t>, doi:</w:t>
      </w:r>
      <w:hyperlink r:id="rId25">
        <w:r>
          <w:rPr>
            <w:rStyle w:val="Hyperlink"/>
          </w:rPr>
          <w:t>10.1161/circulationaha.115.001593</w:t>
        </w:r>
      </w:hyperlink>
      <w:r>
        <w:t>.</w:t>
      </w:r>
    </w:p>
    <w:p w14:paraId="7B80D53C" w14:textId="77777777" w:rsidR="00867D52" w:rsidRDefault="00000000">
      <w:pPr>
        <w:pStyle w:val="Bibliography"/>
      </w:pPr>
      <w:bookmarkStart w:id="35" w:name="ref-Song2015"/>
      <w:bookmarkEnd w:id="34"/>
      <w:r>
        <w:t xml:space="preserve">19. </w:t>
      </w:r>
      <w:r>
        <w:tab/>
        <w:t xml:space="preserve">Song, I.-Y.; Zhu, Y. Big Data and Data Science: What Should We Teach? </w:t>
      </w:r>
      <w:r>
        <w:rPr>
          <w:i/>
          <w:iCs/>
        </w:rPr>
        <w:t>Expert Systems</w:t>
      </w:r>
      <w:r>
        <w:t xml:space="preserve"> </w:t>
      </w:r>
      <w:r>
        <w:rPr>
          <w:b/>
          <w:bCs/>
        </w:rPr>
        <w:t>2015</w:t>
      </w:r>
      <w:r>
        <w:t xml:space="preserve">, </w:t>
      </w:r>
      <w:r>
        <w:rPr>
          <w:i/>
          <w:iCs/>
        </w:rPr>
        <w:t>33</w:t>
      </w:r>
      <w:r>
        <w:t>, 364–373, doi:</w:t>
      </w:r>
      <w:hyperlink r:id="rId26">
        <w:r>
          <w:rPr>
            <w:rStyle w:val="Hyperlink"/>
          </w:rPr>
          <w:t>10.1111/exsy.12130</w:t>
        </w:r>
      </w:hyperlink>
      <w:r>
        <w:t>.</w:t>
      </w:r>
    </w:p>
    <w:p w14:paraId="7B80D53D" w14:textId="77777777" w:rsidR="00867D52" w:rsidRDefault="00000000">
      <w:pPr>
        <w:pStyle w:val="Bibliography"/>
      </w:pPr>
      <w:bookmarkStart w:id="36" w:name="ref-Shen2018"/>
      <w:bookmarkEnd w:id="35"/>
      <w:r>
        <w:t xml:space="preserve">20. </w:t>
      </w:r>
      <w:r>
        <w:tab/>
        <w:t xml:space="preserve">Shen, S.; Cheng, C.; Yang, J.; Yang, S. Visualized Analysis of Developing Trends and Hot Topics in Natural Disaster Research. </w:t>
      </w:r>
      <w:r>
        <w:rPr>
          <w:i/>
          <w:iCs/>
        </w:rPr>
        <w:t>Plos One</w:t>
      </w:r>
      <w:r>
        <w:t xml:space="preserve"> </w:t>
      </w:r>
      <w:r>
        <w:rPr>
          <w:b/>
          <w:bCs/>
        </w:rPr>
        <w:t>2018</w:t>
      </w:r>
      <w:r>
        <w:t>, doi:</w:t>
      </w:r>
      <w:hyperlink r:id="rId27">
        <w:r>
          <w:rPr>
            <w:rStyle w:val="Hyperlink"/>
          </w:rPr>
          <w:t>10.1371/journal.pone.0191250</w:t>
        </w:r>
      </w:hyperlink>
      <w:r>
        <w:t>.</w:t>
      </w:r>
    </w:p>
    <w:p w14:paraId="7B80D53E" w14:textId="77777777" w:rsidR="00867D52" w:rsidRDefault="00000000">
      <w:pPr>
        <w:pStyle w:val="Bibliography"/>
      </w:pPr>
      <w:bookmarkStart w:id="37" w:name="ref-Wing2020"/>
      <w:bookmarkEnd w:id="36"/>
      <w:r>
        <w:t xml:space="preserve">21. </w:t>
      </w:r>
      <w:r>
        <w:tab/>
        <w:t xml:space="preserve">Wing, J.M. Ten Research Challenge Areas in Data Science. </w:t>
      </w:r>
      <w:r>
        <w:rPr>
          <w:b/>
          <w:bCs/>
        </w:rPr>
        <w:t>2020</w:t>
      </w:r>
      <w:r>
        <w:t>, doi:</w:t>
      </w:r>
      <w:hyperlink r:id="rId28">
        <w:r>
          <w:rPr>
            <w:rStyle w:val="Hyperlink"/>
          </w:rPr>
          <w:t>10.1162/99608f92.c6577b1f</w:t>
        </w:r>
      </w:hyperlink>
      <w:r>
        <w:t>.</w:t>
      </w:r>
    </w:p>
    <w:p w14:paraId="7B80D53F" w14:textId="77777777" w:rsidR="00867D52" w:rsidRDefault="00000000">
      <w:pPr>
        <w:pStyle w:val="Bibliography"/>
      </w:pPr>
      <w:bookmarkStart w:id="38" w:name="ref-Walker2015"/>
      <w:bookmarkEnd w:id="37"/>
      <w:r>
        <w:t xml:space="preserve">22. </w:t>
      </w:r>
      <w:r>
        <w:tab/>
        <w:t xml:space="preserve">Walker, M. The Professionalisation of Data Science. </w:t>
      </w:r>
      <w:r>
        <w:rPr>
          <w:i/>
          <w:iCs/>
        </w:rPr>
        <w:t>International Journal of Data Science</w:t>
      </w:r>
      <w:r>
        <w:t xml:space="preserve"> </w:t>
      </w:r>
      <w:r>
        <w:rPr>
          <w:b/>
          <w:bCs/>
        </w:rPr>
        <w:t>2015</w:t>
      </w:r>
      <w:r>
        <w:t>, doi:</w:t>
      </w:r>
      <w:hyperlink r:id="rId29">
        <w:r>
          <w:rPr>
            <w:rStyle w:val="Hyperlink"/>
          </w:rPr>
          <w:t>10.1504/ijds.2015.069048</w:t>
        </w:r>
      </w:hyperlink>
      <w:r>
        <w:t>.</w:t>
      </w:r>
    </w:p>
    <w:p w14:paraId="7B80D540" w14:textId="77777777" w:rsidR="00867D52" w:rsidRDefault="00000000">
      <w:pPr>
        <w:pStyle w:val="Bibliography"/>
      </w:pPr>
      <w:bookmarkStart w:id="39" w:name="ref-Peng2021"/>
      <w:bookmarkEnd w:id="38"/>
      <w:r>
        <w:t xml:space="preserve">23. </w:t>
      </w:r>
      <w:r>
        <w:tab/>
        <w:t xml:space="preserve">Peng, R.D.; Parker, H.S. </w:t>
      </w:r>
      <w:hyperlink r:id="rId30">
        <w:r>
          <w:rPr>
            <w:rStyle w:val="Hyperlink"/>
          </w:rPr>
          <w:t>Perspective on Data Science</w:t>
        </w:r>
      </w:hyperlink>
      <w:r>
        <w:t xml:space="preserve"> 2021.</w:t>
      </w:r>
    </w:p>
    <w:p w14:paraId="7B80D541" w14:textId="77777777" w:rsidR="00867D52" w:rsidRDefault="00000000">
      <w:pPr>
        <w:pStyle w:val="Bibliography"/>
      </w:pPr>
      <w:bookmarkStart w:id="40" w:name="ref-Zhang2021"/>
      <w:bookmarkEnd w:id="39"/>
      <w:r>
        <w:t xml:space="preserve">24. </w:t>
      </w:r>
      <w:r>
        <w:tab/>
        <w:t xml:space="preserve">Zhang, Z.; Zhang, D. What Is Data Science? An Operational Definition Based on Text Mining of Data Science Curricula. </w:t>
      </w:r>
      <w:r>
        <w:rPr>
          <w:i/>
          <w:iCs/>
        </w:rPr>
        <w:t>Journal of Behavioral Data Science</w:t>
      </w:r>
      <w:r>
        <w:t xml:space="preserve"> </w:t>
      </w:r>
      <w:r>
        <w:rPr>
          <w:b/>
          <w:bCs/>
        </w:rPr>
        <w:t>2021</w:t>
      </w:r>
      <w:r>
        <w:t xml:space="preserve">, </w:t>
      </w:r>
      <w:r>
        <w:rPr>
          <w:i/>
          <w:iCs/>
        </w:rPr>
        <w:t>1</w:t>
      </w:r>
      <w:r>
        <w:t>, 1–16, doi:</w:t>
      </w:r>
      <w:hyperlink r:id="rId31">
        <w:r>
          <w:rPr>
            <w:rStyle w:val="Hyperlink"/>
          </w:rPr>
          <w:t>10.35566/jbds/v1n1/p1</w:t>
        </w:r>
      </w:hyperlink>
      <w:r>
        <w:t>.</w:t>
      </w:r>
    </w:p>
    <w:p w14:paraId="7B80D542" w14:textId="77777777" w:rsidR="00867D52" w:rsidRDefault="00000000">
      <w:pPr>
        <w:pStyle w:val="Bibliography"/>
      </w:pPr>
      <w:bookmarkStart w:id="41" w:name="ref-Krosnick2006"/>
      <w:bookmarkEnd w:id="40"/>
      <w:r>
        <w:t xml:space="preserve">25. </w:t>
      </w:r>
      <w:r>
        <w:tab/>
        <w:t xml:space="preserve">Krosnick, J.A.; Holbrook, A.L.; Lowe, L.; Visser, P.S. The Origins and Consequences of Democratic Citizens Policy Agendas: A Study of Popular Concern about Global Warming. </w:t>
      </w:r>
      <w:r>
        <w:rPr>
          <w:i/>
          <w:iCs/>
        </w:rPr>
        <w:t>Climatic Change</w:t>
      </w:r>
      <w:r>
        <w:t xml:space="preserve"> </w:t>
      </w:r>
      <w:r>
        <w:rPr>
          <w:b/>
          <w:bCs/>
        </w:rPr>
        <w:t>2006</w:t>
      </w:r>
      <w:r>
        <w:t xml:space="preserve">, </w:t>
      </w:r>
      <w:r>
        <w:rPr>
          <w:i/>
          <w:iCs/>
        </w:rPr>
        <w:t>77</w:t>
      </w:r>
      <w:r>
        <w:t>, 7–43, doi:</w:t>
      </w:r>
      <w:hyperlink r:id="rId32">
        <w:r>
          <w:rPr>
            <w:rStyle w:val="Hyperlink"/>
          </w:rPr>
          <w:t>10.1007/s10584-006-9068-8</w:t>
        </w:r>
      </w:hyperlink>
      <w:r>
        <w:t>.</w:t>
      </w:r>
    </w:p>
    <w:p w14:paraId="7B80D543" w14:textId="77777777" w:rsidR="00867D52" w:rsidRDefault="00000000">
      <w:pPr>
        <w:pStyle w:val="Bibliography"/>
      </w:pPr>
      <w:bookmarkStart w:id="42" w:name="ref-Fitzgerald2021"/>
      <w:bookmarkEnd w:id="41"/>
      <w:r>
        <w:t xml:space="preserve">26. </w:t>
      </w:r>
      <w:r>
        <w:tab/>
        <w:t xml:space="preserve">Fitzgerald, A.; Halliday, J.; Heath, D. Environmental DNA as Novel Technology: Lessons in Agenda Setting and Framing in News Media. </w:t>
      </w:r>
      <w:r>
        <w:rPr>
          <w:i/>
          <w:iCs/>
        </w:rPr>
        <w:t>Animals</w:t>
      </w:r>
      <w:r>
        <w:t xml:space="preserve"> </w:t>
      </w:r>
      <w:r>
        <w:rPr>
          <w:b/>
          <w:bCs/>
        </w:rPr>
        <w:t>2021</w:t>
      </w:r>
      <w:r>
        <w:t xml:space="preserve">, </w:t>
      </w:r>
      <w:r>
        <w:rPr>
          <w:i/>
          <w:iCs/>
        </w:rPr>
        <w:t>11</w:t>
      </w:r>
      <w:r>
        <w:t>, 2874, doi:</w:t>
      </w:r>
      <w:hyperlink r:id="rId33">
        <w:r>
          <w:rPr>
            <w:rStyle w:val="Hyperlink"/>
          </w:rPr>
          <w:t>10.3390/ani11102874</w:t>
        </w:r>
      </w:hyperlink>
      <w:r>
        <w:t>.</w:t>
      </w:r>
    </w:p>
    <w:p w14:paraId="7B80D544" w14:textId="77777777" w:rsidR="00867D52" w:rsidRDefault="00000000">
      <w:pPr>
        <w:pStyle w:val="Bibliography"/>
      </w:pPr>
      <w:bookmarkStart w:id="43" w:name="ref-Naeem2019"/>
      <w:bookmarkEnd w:id="42"/>
      <w:r>
        <w:t xml:space="preserve">27. </w:t>
      </w:r>
      <w:r>
        <w:tab/>
        <w:t xml:space="preserve">Naeem, M. Uncovering the Role of Social Media and Cross-Platform Applications as Tools for Knowledge Sharing. </w:t>
      </w:r>
      <w:r>
        <w:rPr>
          <w:i/>
          <w:iCs/>
        </w:rPr>
        <w:t>VINE Journal of Information and Knowledge Management Systems</w:t>
      </w:r>
      <w:r>
        <w:t xml:space="preserve"> </w:t>
      </w:r>
      <w:r>
        <w:rPr>
          <w:b/>
          <w:bCs/>
        </w:rPr>
        <w:t>2019</w:t>
      </w:r>
      <w:r>
        <w:t xml:space="preserve">, </w:t>
      </w:r>
      <w:r>
        <w:rPr>
          <w:i/>
          <w:iCs/>
        </w:rPr>
        <w:t>49</w:t>
      </w:r>
      <w:r>
        <w:t>, 257–276, doi:</w:t>
      </w:r>
      <w:hyperlink r:id="rId34">
        <w:r>
          <w:rPr>
            <w:rStyle w:val="Hyperlink"/>
          </w:rPr>
          <w:t>10.1108/vjikms-01-2019-0001</w:t>
        </w:r>
      </w:hyperlink>
      <w:r>
        <w:t>.</w:t>
      </w:r>
    </w:p>
    <w:p w14:paraId="7B80D545" w14:textId="77777777" w:rsidR="00867D52" w:rsidRDefault="00000000">
      <w:pPr>
        <w:pStyle w:val="Bibliography"/>
      </w:pPr>
      <w:bookmarkStart w:id="44" w:name="ref-Wang2021"/>
      <w:bookmarkEnd w:id="43"/>
      <w:r>
        <w:t xml:space="preserve">28. </w:t>
      </w:r>
      <w:r>
        <w:tab/>
        <w:t xml:space="preserve">Wang, X.; Li, Y.; Li, J.; Liu, Y.; Qiu, C. A Rumor Reversal Model of Online Health Information During the Covid-19 Epidemic. </w:t>
      </w:r>
      <w:r>
        <w:rPr>
          <w:i/>
          <w:iCs/>
        </w:rPr>
        <w:t>Information Processing &amp; Management</w:t>
      </w:r>
      <w:r>
        <w:t xml:space="preserve"> </w:t>
      </w:r>
      <w:r>
        <w:rPr>
          <w:b/>
          <w:bCs/>
        </w:rPr>
        <w:t>2021</w:t>
      </w:r>
      <w:r>
        <w:t xml:space="preserve">, </w:t>
      </w:r>
      <w:r>
        <w:rPr>
          <w:i/>
          <w:iCs/>
        </w:rPr>
        <w:t>58</w:t>
      </w:r>
      <w:r>
        <w:t>, 102731, doi:</w:t>
      </w:r>
      <w:hyperlink r:id="rId35">
        <w:r>
          <w:rPr>
            <w:rStyle w:val="Hyperlink"/>
          </w:rPr>
          <w:t>https://doi.org/10.1016/j.ipm.2021.102731</w:t>
        </w:r>
      </w:hyperlink>
      <w:r>
        <w:t>.</w:t>
      </w:r>
    </w:p>
    <w:p w14:paraId="7B80D546" w14:textId="77777777" w:rsidR="00867D52" w:rsidRDefault="00000000">
      <w:pPr>
        <w:pStyle w:val="Bibliography"/>
      </w:pPr>
      <w:bookmarkStart w:id="45" w:name="ref-McCombs2006"/>
      <w:bookmarkEnd w:id="44"/>
      <w:r>
        <w:t xml:space="preserve">29. </w:t>
      </w:r>
      <w:r>
        <w:tab/>
        <w:t xml:space="preserve">McCombs, M.E.; Shaw, D.L. The Evolution of Agenda-Setting Research: Twenty-Five Years in the Marketplace of Ideas. </w:t>
      </w:r>
      <w:r>
        <w:rPr>
          <w:i/>
          <w:iCs/>
        </w:rPr>
        <w:t>Journal of Communication</w:t>
      </w:r>
      <w:r>
        <w:t xml:space="preserve"> </w:t>
      </w:r>
      <w:r>
        <w:rPr>
          <w:b/>
          <w:bCs/>
        </w:rPr>
        <w:t>2006</w:t>
      </w:r>
      <w:r>
        <w:t xml:space="preserve">, </w:t>
      </w:r>
      <w:r>
        <w:rPr>
          <w:i/>
          <w:iCs/>
        </w:rPr>
        <w:t>43</w:t>
      </w:r>
      <w:r>
        <w:t>, 58–67, doi:</w:t>
      </w:r>
      <w:hyperlink r:id="rId36">
        <w:r>
          <w:rPr>
            <w:rStyle w:val="Hyperlink"/>
          </w:rPr>
          <w:t>10.1111/j.1460-2466.1993.tb01262.x</w:t>
        </w:r>
      </w:hyperlink>
      <w:r>
        <w:t>.</w:t>
      </w:r>
    </w:p>
    <w:p w14:paraId="7B80D547" w14:textId="77777777" w:rsidR="00867D52" w:rsidRDefault="00000000">
      <w:pPr>
        <w:pStyle w:val="Bibliography"/>
      </w:pPr>
      <w:bookmarkStart w:id="46" w:name="ref-Vu2014"/>
      <w:bookmarkEnd w:id="45"/>
      <w:r>
        <w:lastRenderedPageBreak/>
        <w:t xml:space="preserve">30. </w:t>
      </w:r>
      <w:r>
        <w:tab/>
        <w:t xml:space="preserve">Vu, H.T.; Guo, L.; McCombs, M.E. Exploring “the World Outside and the Pictures in Our Heads”: A Network Agenda-Setting Study. </w:t>
      </w:r>
      <w:r>
        <w:rPr>
          <w:i/>
          <w:iCs/>
        </w:rPr>
        <w:t>Journalism &amp; Mass Communication Quarterly</w:t>
      </w:r>
      <w:r>
        <w:t xml:space="preserve"> </w:t>
      </w:r>
      <w:r>
        <w:rPr>
          <w:b/>
          <w:bCs/>
        </w:rPr>
        <w:t>2014</w:t>
      </w:r>
      <w:r>
        <w:t xml:space="preserve">, </w:t>
      </w:r>
      <w:r>
        <w:rPr>
          <w:i/>
          <w:iCs/>
        </w:rPr>
        <w:t>91</w:t>
      </w:r>
      <w:r>
        <w:t>, 669–686, doi:</w:t>
      </w:r>
      <w:hyperlink r:id="rId37">
        <w:r>
          <w:rPr>
            <w:rStyle w:val="Hyperlink"/>
          </w:rPr>
          <w:t>10.1177/1077699014550090</w:t>
        </w:r>
      </w:hyperlink>
      <w:r>
        <w:t>.</w:t>
      </w:r>
    </w:p>
    <w:p w14:paraId="7B80D548" w14:textId="77777777" w:rsidR="00867D52" w:rsidRDefault="00000000">
      <w:pPr>
        <w:pStyle w:val="Bibliography"/>
      </w:pPr>
      <w:bookmarkStart w:id="47" w:name="ref-Lim2006"/>
      <w:bookmarkEnd w:id="46"/>
      <w:r>
        <w:t xml:space="preserve">31. </w:t>
      </w:r>
      <w:r>
        <w:tab/>
        <w:t xml:space="preserve">Lim, J. A Cross-Lagged Analysis of Agenda Setting Among Online News Media. </w:t>
      </w:r>
      <w:r>
        <w:rPr>
          <w:i/>
          <w:iCs/>
        </w:rPr>
        <w:t>Journalism &amp; Mass Communication Quarterly</w:t>
      </w:r>
      <w:r>
        <w:t xml:space="preserve"> </w:t>
      </w:r>
      <w:r>
        <w:rPr>
          <w:b/>
          <w:bCs/>
        </w:rPr>
        <w:t>2006</w:t>
      </w:r>
      <w:r>
        <w:t xml:space="preserve">, </w:t>
      </w:r>
      <w:r>
        <w:rPr>
          <w:i/>
          <w:iCs/>
        </w:rPr>
        <w:t>83</w:t>
      </w:r>
      <w:r>
        <w:t>, 298–312, doi:</w:t>
      </w:r>
      <w:hyperlink r:id="rId38">
        <w:r>
          <w:rPr>
            <w:rStyle w:val="Hyperlink"/>
          </w:rPr>
          <w:t>10.1177/107769900608300205</w:t>
        </w:r>
      </w:hyperlink>
      <w:r>
        <w:t>.</w:t>
      </w:r>
    </w:p>
    <w:p w14:paraId="7B80D549" w14:textId="77777777" w:rsidR="00867D52" w:rsidRDefault="00000000">
      <w:pPr>
        <w:pStyle w:val="Bibliography"/>
      </w:pPr>
      <w:bookmarkStart w:id="48" w:name="ref-Caldwell1996"/>
      <w:bookmarkEnd w:id="47"/>
      <w:r>
        <w:t xml:space="preserve">32. </w:t>
      </w:r>
      <w:r>
        <w:tab/>
        <w:t xml:space="preserve">Caldwell, M. Public Opinion and the Communication of Consent: Theodore l. Glasser and Charles t. Salmon, Eds. New York: Guilford, 475 Pp., </w:t>
      </w:r>
      <m:oMath>
        <m:r>
          <w:rPr>
            <w:rFonts w:ascii="Cambria Math" w:hAnsi="Cambria Math"/>
          </w:rPr>
          <m:t>49.95</m:t>
        </m:r>
        <m:r>
          <w:rPr>
            <w:rFonts w:ascii="Cambria Math" w:hAnsi="Cambria Math"/>
          </w:rPr>
          <m:t>hardcover</m:t>
        </m:r>
        <m:r>
          <m:rPr>
            <m:sty m:val="p"/>
          </m:rPr>
          <w:rPr>
            <w:rFonts w:ascii="Cambria Math" w:hAnsi="Cambria Math"/>
          </w:rPr>
          <m:t>,</m:t>
        </m:r>
      </m:oMath>
      <w:r>
        <w:t xml:space="preserve">24.95 Softcover. </w:t>
      </w:r>
      <w:r>
        <w:rPr>
          <w:i/>
          <w:iCs/>
        </w:rPr>
        <w:t>Public Relations Review</w:t>
      </w:r>
      <w:r>
        <w:t xml:space="preserve"> </w:t>
      </w:r>
      <w:r>
        <w:rPr>
          <w:b/>
          <w:bCs/>
        </w:rPr>
        <w:t>1996</w:t>
      </w:r>
      <w:r>
        <w:t xml:space="preserve">, </w:t>
      </w:r>
      <w:r>
        <w:rPr>
          <w:i/>
          <w:iCs/>
        </w:rPr>
        <w:t>22</w:t>
      </w:r>
      <w:r>
        <w:t>, 85–86, doi:</w:t>
      </w:r>
      <w:hyperlink r:id="rId39">
        <w:r>
          <w:rPr>
            <w:rStyle w:val="Hyperlink"/>
          </w:rPr>
          <w:t>https://doi.org/10.1016/S0363-8111(96)90076-4</w:t>
        </w:r>
      </w:hyperlink>
      <w:r>
        <w:t>.</w:t>
      </w:r>
    </w:p>
    <w:p w14:paraId="7B80D54A" w14:textId="77777777" w:rsidR="00867D52" w:rsidRDefault="00000000">
      <w:pPr>
        <w:pStyle w:val="Bibliography"/>
      </w:pPr>
      <w:bookmarkStart w:id="49" w:name="ref-Meraz2011"/>
      <w:bookmarkEnd w:id="48"/>
      <w:r>
        <w:t xml:space="preserve">33. </w:t>
      </w:r>
      <w:r>
        <w:tab/>
        <w:t xml:space="preserve">Meraz, S. Using Time Series Analysis to Measure Intermedia Agenda-Setting Influence in Traditional Media and Political Blog Networks. </w:t>
      </w:r>
      <w:r>
        <w:rPr>
          <w:i/>
          <w:iCs/>
        </w:rPr>
        <w:t>Journalism &amp; Mass Communication Quarterly</w:t>
      </w:r>
      <w:r>
        <w:t xml:space="preserve"> </w:t>
      </w:r>
      <w:r>
        <w:rPr>
          <w:b/>
          <w:bCs/>
        </w:rPr>
        <w:t>2011</w:t>
      </w:r>
      <w:r>
        <w:t xml:space="preserve">, </w:t>
      </w:r>
      <w:r>
        <w:rPr>
          <w:i/>
          <w:iCs/>
        </w:rPr>
        <w:t>88</w:t>
      </w:r>
      <w:r>
        <w:t>, 176–194, doi:</w:t>
      </w:r>
      <w:hyperlink r:id="rId40">
        <w:r>
          <w:rPr>
            <w:rStyle w:val="Hyperlink"/>
          </w:rPr>
          <w:t>10.1177/107769901108800110</w:t>
        </w:r>
      </w:hyperlink>
      <w:r>
        <w:t>.</w:t>
      </w:r>
    </w:p>
    <w:p w14:paraId="7B80D54B" w14:textId="77777777" w:rsidR="00867D52" w:rsidRDefault="00000000">
      <w:pPr>
        <w:pStyle w:val="Bibliography"/>
      </w:pPr>
      <w:bookmarkStart w:id="50" w:name="ref-McCombs1997"/>
      <w:bookmarkEnd w:id="49"/>
      <w:r>
        <w:t xml:space="preserve">34. </w:t>
      </w:r>
      <w:r>
        <w:tab/>
        <w:t xml:space="preserve">McCombs, M.; Llamas, J.P.; Lopez-Escobar, E.; Rey, F. Candidate Images in Spanish Elections: Second-Level Agenda-Setting Effects. </w:t>
      </w:r>
      <w:r>
        <w:rPr>
          <w:i/>
          <w:iCs/>
        </w:rPr>
        <w:t>Journalism &amp; Mass Communication Quarterly</w:t>
      </w:r>
      <w:r>
        <w:t xml:space="preserve"> </w:t>
      </w:r>
      <w:r>
        <w:rPr>
          <w:b/>
          <w:bCs/>
        </w:rPr>
        <w:t>1997</w:t>
      </w:r>
      <w:r>
        <w:t xml:space="preserve">, </w:t>
      </w:r>
      <w:r>
        <w:rPr>
          <w:i/>
          <w:iCs/>
        </w:rPr>
        <w:t>74</w:t>
      </w:r>
      <w:r>
        <w:t>, 703–717, doi:</w:t>
      </w:r>
      <w:hyperlink r:id="rId41">
        <w:r>
          <w:rPr>
            <w:rStyle w:val="Hyperlink"/>
          </w:rPr>
          <w:t>10.1177/107769909707400404</w:t>
        </w:r>
      </w:hyperlink>
      <w:r>
        <w:t>.</w:t>
      </w:r>
    </w:p>
    <w:p w14:paraId="7B80D54C" w14:textId="77777777" w:rsidR="00867D52" w:rsidRDefault="00000000">
      <w:pPr>
        <w:pStyle w:val="Bibliography"/>
      </w:pPr>
      <w:bookmarkStart w:id="51" w:name="ref-Li2022"/>
      <w:bookmarkEnd w:id="50"/>
      <w:r>
        <w:t xml:space="preserve">35. </w:t>
      </w:r>
      <w:r>
        <w:tab/>
        <w:t xml:space="preserve">Li, Y.; Jiang, Y. Research Transmutation of Agenda Setting Theory (2010-2022)a Meta-Analysis Based on Journalism Studies. </w:t>
      </w:r>
      <w:r>
        <w:rPr>
          <w:i/>
          <w:iCs/>
        </w:rPr>
        <w:t>Open Journal of Social Sciences</w:t>
      </w:r>
      <w:r>
        <w:t xml:space="preserve"> </w:t>
      </w:r>
      <w:r>
        <w:rPr>
          <w:b/>
          <w:bCs/>
        </w:rPr>
        <w:t>2022</w:t>
      </w:r>
      <w:r>
        <w:t xml:space="preserve">, </w:t>
      </w:r>
      <w:r>
        <w:rPr>
          <w:i/>
          <w:iCs/>
        </w:rPr>
        <w:t>10</w:t>
      </w:r>
      <w:r>
        <w:t>, 148–155, doi:</w:t>
      </w:r>
      <w:hyperlink r:id="rId42">
        <w:r>
          <w:rPr>
            <w:rStyle w:val="Hyperlink"/>
          </w:rPr>
          <w:t>10.4236/jss.2022.1011011</w:t>
        </w:r>
      </w:hyperlink>
      <w:r>
        <w:t>.</w:t>
      </w:r>
    </w:p>
    <w:p w14:paraId="7B80D54D" w14:textId="77777777" w:rsidR="00867D52" w:rsidRDefault="00000000">
      <w:pPr>
        <w:pStyle w:val="Bibliography"/>
      </w:pPr>
      <w:bookmarkStart w:id="52" w:name="ref-Ho2007"/>
      <w:bookmarkEnd w:id="51"/>
      <w:r>
        <w:t xml:space="preserve">36. </w:t>
      </w:r>
      <w:r>
        <w:tab/>
        <w:t xml:space="preserve">Ho, R.T.H.; Ng, S.M.; Ho, D.Y.F. The Sage Handbook of Qualitative Research. </w:t>
      </w:r>
      <w:r>
        <w:rPr>
          <w:i/>
          <w:iCs/>
        </w:rPr>
        <w:t>Asian Journal of Social Psychology</w:t>
      </w:r>
      <w:r>
        <w:t xml:space="preserve"> </w:t>
      </w:r>
      <w:r>
        <w:rPr>
          <w:b/>
          <w:bCs/>
        </w:rPr>
        <w:t>2007</w:t>
      </w:r>
      <w:r>
        <w:t xml:space="preserve">, </w:t>
      </w:r>
      <w:r>
        <w:rPr>
          <w:i/>
          <w:iCs/>
        </w:rPr>
        <w:t>10</w:t>
      </w:r>
      <w:r>
        <w:t>, 277–279, doi:</w:t>
      </w:r>
      <w:hyperlink r:id="rId43">
        <w:r>
          <w:rPr>
            <w:rStyle w:val="Hyperlink"/>
          </w:rPr>
          <w:t>10.1111/j.1467-839x.2007.00237.x</w:t>
        </w:r>
      </w:hyperlink>
      <w:r>
        <w:t>.</w:t>
      </w:r>
    </w:p>
    <w:p w14:paraId="7B80D54E" w14:textId="77777777" w:rsidR="00867D52" w:rsidRDefault="00000000">
      <w:pPr>
        <w:pStyle w:val="Bibliography"/>
      </w:pPr>
      <w:bookmarkStart w:id="53" w:name="ref-Suppli2018"/>
      <w:bookmarkEnd w:id="52"/>
      <w:r>
        <w:t xml:space="preserve">37. </w:t>
      </w:r>
      <w:r>
        <w:tab/>
        <w:t xml:space="preserve">Suppli, C.H.; Hansen, N.D.; Rasmussen, M.; Valentiner-Branth, P.; Krause, T.G.; Mølbak, K. Decline in HPV-Vaccination Uptake in Denmark  the Association Between HPV-Related Media Coverage and HPV-Vaccination. </w:t>
      </w:r>
      <w:r>
        <w:rPr>
          <w:i/>
          <w:iCs/>
        </w:rPr>
        <w:t>BMC Public Health</w:t>
      </w:r>
      <w:r>
        <w:t xml:space="preserve"> </w:t>
      </w:r>
      <w:r>
        <w:rPr>
          <w:b/>
          <w:bCs/>
        </w:rPr>
        <w:t>2018</w:t>
      </w:r>
      <w:r>
        <w:t xml:space="preserve">, </w:t>
      </w:r>
      <w:r>
        <w:rPr>
          <w:i/>
          <w:iCs/>
        </w:rPr>
        <w:t>18</w:t>
      </w:r>
      <w:r>
        <w:t>, doi:</w:t>
      </w:r>
      <w:hyperlink r:id="rId44">
        <w:r>
          <w:rPr>
            <w:rStyle w:val="Hyperlink"/>
          </w:rPr>
          <w:t>10.1186/s12889-018-6268-x</w:t>
        </w:r>
      </w:hyperlink>
      <w:r>
        <w:t>.</w:t>
      </w:r>
    </w:p>
    <w:p w14:paraId="7B80D54F" w14:textId="77777777" w:rsidR="00867D52" w:rsidRDefault="00000000">
      <w:pPr>
        <w:pStyle w:val="Bibliography"/>
      </w:pPr>
      <w:bookmarkStart w:id="54" w:name="ref-rvest2022"/>
      <w:bookmarkEnd w:id="53"/>
      <w:r>
        <w:t xml:space="preserve">38. </w:t>
      </w:r>
      <w:r>
        <w:tab/>
        <w:t xml:space="preserve">Wickham, H. </w:t>
      </w:r>
      <w:hyperlink r:id="rId45">
        <w:r>
          <w:rPr>
            <w:rStyle w:val="Hyperlink"/>
            <w:i/>
            <w:iCs/>
          </w:rPr>
          <w:t>Rvest: Easily Harvest (Scrape) Web Pages</w:t>
        </w:r>
      </w:hyperlink>
      <w:r>
        <w:t>; 2022;</w:t>
      </w:r>
    </w:p>
    <w:p w14:paraId="7B80D550" w14:textId="77777777" w:rsidR="00867D52" w:rsidRDefault="00000000">
      <w:pPr>
        <w:pStyle w:val="Bibliography"/>
      </w:pPr>
      <w:bookmarkStart w:id="55" w:name="ref-tidyverse2019"/>
      <w:bookmarkEnd w:id="54"/>
      <w:r>
        <w:t xml:space="preserve">39. </w:t>
      </w:r>
      <w:r>
        <w:tab/>
        <w:t xml:space="preserve">Wickham, H.; Averick, M.; Bryan, J.; Chang, W.; McGowan, L.D.; François, R.; Grolemund, G.; Hayes, A.; Henry, L.; Hester, J.; et al. Welcome to the tidyverse. </w:t>
      </w:r>
      <w:r>
        <w:rPr>
          <w:i/>
          <w:iCs/>
        </w:rPr>
        <w:t>Journal of Open Source Software</w:t>
      </w:r>
      <w:r>
        <w:t xml:space="preserve"> </w:t>
      </w:r>
      <w:r>
        <w:rPr>
          <w:b/>
          <w:bCs/>
        </w:rPr>
        <w:t>2019</w:t>
      </w:r>
      <w:r>
        <w:t xml:space="preserve">, </w:t>
      </w:r>
      <w:r>
        <w:rPr>
          <w:i/>
          <w:iCs/>
        </w:rPr>
        <w:t>4</w:t>
      </w:r>
      <w:r>
        <w:t>, 1686, doi:</w:t>
      </w:r>
      <w:hyperlink r:id="rId46">
        <w:r>
          <w:rPr>
            <w:rStyle w:val="Hyperlink"/>
          </w:rPr>
          <w:t>10.21105/joss.01686</w:t>
        </w:r>
      </w:hyperlink>
      <w:r>
        <w:t>.</w:t>
      </w:r>
      <w:bookmarkEnd w:id="15"/>
      <w:bookmarkEnd w:id="17"/>
      <w:bookmarkEnd w:id="55"/>
    </w:p>
    <w:sectPr w:rsidR="00867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8975" w14:textId="77777777" w:rsidR="00A276BC" w:rsidRDefault="00A276BC">
      <w:pPr>
        <w:spacing w:after="0"/>
      </w:pPr>
      <w:r>
        <w:separator/>
      </w:r>
    </w:p>
  </w:endnote>
  <w:endnote w:type="continuationSeparator" w:id="0">
    <w:p w14:paraId="7CD22BCF" w14:textId="77777777" w:rsidR="00A276BC" w:rsidRDefault="00A276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FDB9" w14:textId="77777777" w:rsidR="00A276BC" w:rsidRDefault="00A276BC">
      <w:r>
        <w:separator/>
      </w:r>
    </w:p>
  </w:footnote>
  <w:footnote w:type="continuationSeparator" w:id="0">
    <w:p w14:paraId="0278A900" w14:textId="77777777" w:rsidR="00A276BC" w:rsidRDefault="00A27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EC34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7134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D52"/>
    <w:rsid w:val="0030374C"/>
    <w:rsid w:val="00867D52"/>
    <w:rsid w:val="00901B94"/>
    <w:rsid w:val="00A276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0D4F4"/>
  <w15:docId w15:val="{CD8EFB6F-F887-4663-8E36-D9B7A1DF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thx.2006.070169" TargetMode="External"/><Relationship Id="rId18" Type="http://schemas.openxmlformats.org/officeDocument/2006/relationships/hyperlink" Target="https://doi.org/10.7717/peerj-cs.441" TargetMode="External"/><Relationship Id="rId26" Type="http://schemas.openxmlformats.org/officeDocument/2006/relationships/hyperlink" Target="https://doi.org/10.1111/exsy.12130" TargetMode="External"/><Relationship Id="rId39" Type="http://schemas.openxmlformats.org/officeDocument/2006/relationships/hyperlink" Target="https://doi.org/10.1016/S0363-8111(96)90076-4" TargetMode="External"/><Relationship Id="rId21" Type="http://schemas.openxmlformats.org/officeDocument/2006/relationships/hyperlink" Target="https://doi.org/10.1016/0362-3319(88)90048-1" TargetMode="External"/><Relationship Id="rId34" Type="http://schemas.openxmlformats.org/officeDocument/2006/relationships/hyperlink" Target="https://doi.org/10.1108/vjikms-01-2019-0001" TargetMode="External"/><Relationship Id="rId42" Type="http://schemas.openxmlformats.org/officeDocument/2006/relationships/hyperlink" Target="https://doi.org/10.4236/jss.2022.1011011" TargetMode="External"/><Relationship Id="rId47" Type="http://schemas.openxmlformats.org/officeDocument/2006/relationships/fontTable" Target="fontTable.xml"/><Relationship Id="rId7" Type="http://schemas.openxmlformats.org/officeDocument/2006/relationships/hyperlink" Target="https://www.inquirer.net/" TargetMode="External"/><Relationship Id="rId2" Type="http://schemas.openxmlformats.org/officeDocument/2006/relationships/styles" Target="styles.xml"/><Relationship Id="rId16" Type="http://schemas.openxmlformats.org/officeDocument/2006/relationships/hyperlink" Target="https://doi.org/10.5005/jp-journals-10078-1286" TargetMode="External"/><Relationship Id="rId29" Type="http://schemas.openxmlformats.org/officeDocument/2006/relationships/hyperlink" Target="https://doi.org/10.1504/ijds.2015.069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1231332100" TargetMode="External"/><Relationship Id="rId24" Type="http://schemas.openxmlformats.org/officeDocument/2006/relationships/hyperlink" Target="https://doi.org/10.1016/j.chest.2018.04.037" TargetMode="External"/><Relationship Id="rId32" Type="http://schemas.openxmlformats.org/officeDocument/2006/relationships/hyperlink" Target="https://doi.org/10.1007/s10584-006-9068-8" TargetMode="External"/><Relationship Id="rId37" Type="http://schemas.openxmlformats.org/officeDocument/2006/relationships/hyperlink" Target="https://doi.org/10.1177/1077699014550090" TargetMode="External"/><Relationship Id="rId40" Type="http://schemas.openxmlformats.org/officeDocument/2006/relationships/hyperlink" Target="https://doi.org/10.1177/107769901108800110" TargetMode="External"/><Relationship Id="rId45" Type="http://schemas.openxmlformats.org/officeDocument/2006/relationships/hyperlink" Target="https://CRAN.R-project.org/package=rvest" TargetMode="External"/><Relationship Id="rId5" Type="http://schemas.openxmlformats.org/officeDocument/2006/relationships/footnotes" Target="footnotes.xml"/><Relationship Id="rId15" Type="http://schemas.openxmlformats.org/officeDocument/2006/relationships/hyperlink" Target="https://doi.org/10.2139/ssrn.3547729" TargetMode="External"/><Relationship Id="rId23" Type="http://schemas.openxmlformats.org/officeDocument/2006/relationships/hyperlink" Target="https://doi.org/10.24093/awej/vol11no2.6" TargetMode="External"/><Relationship Id="rId28" Type="http://schemas.openxmlformats.org/officeDocument/2006/relationships/hyperlink" Target="https://doi.org/10.1162/99608f92.c6577b1f" TargetMode="External"/><Relationship Id="rId36" Type="http://schemas.openxmlformats.org/officeDocument/2006/relationships/hyperlink" Target="https://doi.org/10.1111/j.1460-2466.1993.tb01262.x" TargetMode="External"/><Relationship Id="rId10" Type="http://schemas.openxmlformats.org/officeDocument/2006/relationships/hyperlink" Target="https://doi.org/10.51483/ijdsbda.1.1.2021.63-79" TargetMode="External"/><Relationship Id="rId19" Type="http://schemas.openxmlformats.org/officeDocument/2006/relationships/hyperlink" Target="https://doi.org/10.3390/fi13030059" TargetMode="External"/><Relationship Id="rId31" Type="http://schemas.openxmlformats.org/officeDocument/2006/relationships/hyperlink" Target="https://doi.org/10.35566/jbds/v1n1/p1" TargetMode="External"/><Relationship Id="rId44" Type="http://schemas.openxmlformats.org/officeDocument/2006/relationships/hyperlink" Target="https://doi.org/10.1186/s12889-018-6268-x" TargetMode="External"/><Relationship Id="rId4" Type="http://schemas.openxmlformats.org/officeDocument/2006/relationships/webSettings" Target="webSettings.xml"/><Relationship Id="rId9" Type="http://schemas.openxmlformats.org/officeDocument/2006/relationships/hyperlink" Target="https://doi.org/10.1089/big.2013.1508" TargetMode="External"/><Relationship Id="rId14" Type="http://schemas.openxmlformats.org/officeDocument/2006/relationships/hyperlink" Target="https://doi.org/10.1183/13993003.02094-2020" TargetMode="External"/><Relationship Id="rId22" Type="http://schemas.openxmlformats.org/officeDocument/2006/relationships/hyperlink" Target="https://doi.org/10.4103/ijnmr.ijnmr\_158\_16" TargetMode="External"/><Relationship Id="rId27" Type="http://schemas.openxmlformats.org/officeDocument/2006/relationships/hyperlink" Target="https://doi.org/10.1371/journal.pone.0191250" TargetMode="External"/><Relationship Id="rId30" Type="http://schemas.openxmlformats.org/officeDocument/2006/relationships/hyperlink" Target="https://arxiv.org/abs/2105.06324" TargetMode="External"/><Relationship Id="rId35" Type="http://schemas.openxmlformats.org/officeDocument/2006/relationships/hyperlink" Target="https://doi.org/10.1016/j.ipm.2021.102731" TargetMode="External"/><Relationship Id="rId43" Type="http://schemas.openxmlformats.org/officeDocument/2006/relationships/hyperlink" Target="https://doi.org/10.1111/j.1467-839x.2007.00237.x" TargetMode="External"/><Relationship Id="rId48" Type="http://schemas.openxmlformats.org/officeDocument/2006/relationships/theme" Target="theme/theme1.xml"/><Relationship Id="rId8" Type="http://schemas.openxmlformats.org/officeDocument/2006/relationships/hyperlink" Target="https://doi.org/10.1007/978-3-642-33299-9_1" TargetMode="External"/><Relationship Id="rId3" Type="http://schemas.openxmlformats.org/officeDocument/2006/relationships/settings" Target="settings.xml"/><Relationship Id="rId12" Type="http://schemas.openxmlformats.org/officeDocument/2006/relationships/hyperlink" Target="https://doi.org/10.1007/978-3-030-47994-7\_1" TargetMode="External"/><Relationship Id="rId17" Type="http://schemas.openxmlformats.org/officeDocument/2006/relationships/hyperlink" Target="https://doi.org/10.1007/s11192-015-1798-9" TargetMode="External"/><Relationship Id="rId25" Type="http://schemas.openxmlformats.org/officeDocument/2006/relationships/hyperlink" Target="https://doi.org/10.1161/circulationaha.115.001593" TargetMode="External"/><Relationship Id="rId33" Type="http://schemas.openxmlformats.org/officeDocument/2006/relationships/hyperlink" Target="https://doi.org/10.3390/ani11102874" TargetMode="External"/><Relationship Id="rId38" Type="http://schemas.openxmlformats.org/officeDocument/2006/relationships/hyperlink" Target="https://doi.org/10.1177/107769900608300205" TargetMode="External"/><Relationship Id="rId46" Type="http://schemas.openxmlformats.org/officeDocument/2006/relationships/hyperlink" Target="https://doi.org/10.21105/joss.01686" TargetMode="External"/><Relationship Id="rId20" Type="http://schemas.openxmlformats.org/officeDocument/2006/relationships/hyperlink" Target="https://doi.org/10.2307/2074220" TargetMode="External"/><Relationship Id="rId41" Type="http://schemas.openxmlformats.org/officeDocument/2006/relationships/hyperlink" Target="https://doi.org/10.1177/107769909707400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4594</Words>
  <Characters>27569</Characters>
  <Application>Microsoft Office Word</Application>
  <DocSecurity>0</DocSecurity>
  <Lines>430</Lines>
  <Paragraphs>124</Paragraphs>
  <ScaleCrop>false</ScaleCrop>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Prominence of occurrence accorded to data science and other related terms in Philippine newspapers</dc:title>
  <dc:creator>Dan Anthony Dorado</dc:creator>
  <cp:keywords>Data Science, Philippines Newspaper, Philippine Daily Inquirer, Agenda Setting Theory</cp:keywords>
  <cp:lastModifiedBy>Dan Anthony Dorado</cp:lastModifiedBy>
  <cp:revision>3</cp:revision>
  <dcterms:created xsi:type="dcterms:W3CDTF">2023-11-30T03:34:00Z</dcterms:created>
  <dcterms:modified xsi:type="dcterms:W3CDTF">2023-11-30T03:38:00Z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contemporary era marked by the digital revolution, data science has emerged as a pivotal discipline globally. This study examines the prominence and frequency of data science and its associated terminologies within Philippine newspapers. By analyzing a comprehensive selection of major Philippine dailies over 20 years, we assessed how often and in what context these terms appear. Our findings indicate a steadily increasing trend, reflecting the growing significance and understanding of data science in the country. Notably, the words were most frequently associated with business, technology, and academic news sections. However, there was variability in the depth and accuracy of discussions surrounding these terms. The media’s portrayal, in many instances, was foundational, suggesting a burgeoning stage of familiarity with data science concepts among the general populace. This study underscores the role of print media in disseminating and shaping perceptions about emerging technological fields in the Philippines. It offers insights into potential areas for enhanced media literacy and collaboration.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9ac6b0e9-03b3-4d19-8cce-f0ddb36e10e3/references.bib?x=eyJpZCI6ICI5YWM2YjBlOS0wM2IzLTRkMTktOGNjZS1mMGRkYjM2ZTEwZTMiLCAidXNlciI6ICI2NzA1IiwgInNpZ25hdHVyZSI6ICI5M2U0MzMzNzJhYTk3OWNlOWQzZTg4NjUyNzVmNDkzNjgyNWUzYTg5NDFlYjQ4YzhjZWYwZjkzOWZlZmZhN2Q5In0=/bibliography.bib</vt:lpwstr>
  </property>
  <property fmtid="{D5CDD505-2E9C-101B-9397-08002B2CF9AE}" pid="7" name="by-affiliation">
    <vt:lpwstr/>
  </property>
  <property fmtid="{D5CDD505-2E9C-101B-9397-08002B2CF9AE}" pid="8" name="by-author">
    <vt:lpwstr/>
  </property>
  <property fmtid="{D5CDD505-2E9C-101B-9397-08002B2CF9AE}" pid="9" name="copyright">
    <vt:lpwstr/>
  </property>
  <property fmtid="{D5CDD505-2E9C-101B-9397-08002B2CF9AE}" pid="10" name="csl">
    <vt:lpwstr>sustainability.csl</vt:lpwstr>
  </property>
  <property fmtid="{D5CDD505-2E9C-101B-9397-08002B2CF9AE}" pid="11" name="date">
    <vt:lpwstr>2023-11-30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link-citations">
    <vt:lpwstr>True</vt:lpwstr>
  </property>
  <property fmtid="{D5CDD505-2E9C-101B-9397-08002B2CF9AE}" pid="19" name="papersize">
    <vt:lpwstr>letter</vt:lpwstr>
  </property>
  <property fmtid="{D5CDD505-2E9C-101B-9397-08002B2CF9AE}" pid="20" name="toc-title">
    <vt:lpwstr>Table of contents</vt:lpwstr>
  </property>
  <property fmtid="{D5CDD505-2E9C-101B-9397-08002B2CF9AE}" pid="21" name="GrammarlyDocumentId">
    <vt:lpwstr>5902eba524002078f479aed11904baa0bf81034cef021a80e4f33f928084120b</vt:lpwstr>
  </property>
</Properties>
</file>