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AC92E" w14:textId="164638BC" w:rsidR="000474EF" w:rsidRDefault="007F69D9" w:rsidP="007F69D9">
      <w:pPr>
        <w:pStyle w:val="a3"/>
        <w:rPr>
          <w:sz w:val="40"/>
          <w:szCs w:val="40"/>
        </w:rPr>
      </w:pPr>
      <w:bookmarkStart w:id="0" w:name="OLE_LINK2"/>
      <w:r w:rsidRPr="007F69D9">
        <w:rPr>
          <w:sz w:val="40"/>
          <w:szCs w:val="40"/>
        </w:rPr>
        <w:t>Same Word, Different Infinity: How Axiomatization Rewrote What "Infinity" May Mean</w:t>
      </w:r>
    </w:p>
    <w:p w14:paraId="2EFB8D70" w14:textId="03CCE4F6" w:rsidR="007F69D9" w:rsidRDefault="00BE48BE" w:rsidP="00BE48BE">
      <w:pPr>
        <w:pStyle w:val="a5"/>
      </w:pPr>
      <w:r>
        <w:rPr>
          <w:rFonts w:hint="eastAsia"/>
        </w:rPr>
        <w:t>CCST5037</w:t>
      </w:r>
      <w:r w:rsidRPr="00BE48BE">
        <w:t xml:space="preserve"> Assignment 1 Group Project Plan</w:t>
      </w:r>
    </w:p>
    <w:p w14:paraId="34D577BA" w14:textId="502AA692" w:rsidR="00BE48BE" w:rsidRDefault="00BE48BE" w:rsidP="00BE48BE">
      <w:pPr>
        <w:pStyle w:val="5"/>
      </w:pPr>
      <w:r>
        <w:rPr>
          <w:rFonts w:hint="eastAsia"/>
        </w:rPr>
        <w:t>Group</w:t>
      </w:r>
      <w:r>
        <w:t xml:space="preserve"> Members and tutorial</w:t>
      </w:r>
    </w:p>
    <w:p w14:paraId="4541DE48" w14:textId="25FAE43F" w:rsidR="00BE48BE" w:rsidRDefault="00BE48BE" w:rsidP="00BE48BE">
      <w:r>
        <w:t>Ryan Zhao (UID</w:t>
      </w:r>
      <w:r>
        <w:t>:</w:t>
      </w:r>
      <w:r>
        <w:t xml:space="preserve"> 3036297398); Dai Yuxuan, Tim (UID</w:t>
      </w:r>
      <w:r>
        <w:t>:</w:t>
      </w:r>
      <w:r>
        <w:t xml:space="preserve"> 3036292116).</w:t>
      </w:r>
    </w:p>
    <w:p w14:paraId="22B549FD" w14:textId="75E4B424" w:rsidR="00BE48BE" w:rsidRDefault="00BE48BE" w:rsidP="00BE48BE">
      <w:r>
        <w:t xml:space="preserve">Tutorial: </w:t>
      </w:r>
      <w:r>
        <w:t>Toby Lai,</w:t>
      </w:r>
      <w:r>
        <w:t xml:space="preserve"> Group </w:t>
      </w:r>
      <w:r>
        <w:t>01</w:t>
      </w:r>
      <w:r>
        <w:t xml:space="preserve">, </w:t>
      </w:r>
      <w:r w:rsidRPr="00BE48BE">
        <w:t>Wed 10</w:t>
      </w:r>
      <w:r>
        <w:t>:</w:t>
      </w:r>
      <w:r w:rsidRPr="00BE48BE">
        <w:t>00-10</w:t>
      </w:r>
      <w:r>
        <w:t>:</w:t>
      </w:r>
      <w:r w:rsidRPr="00BE48BE">
        <w:t>50</w:t>
      </w:r>
      <w:r>
        <w:t xml:space="preserve"> a.m.</w:t>
      </w:r>
    </w:p>
    <w:p w14:paraId="6634CCE0" w14:textId="77777777" w:rsidR="00F8455A" w:rsidRDefault="00F8455A" w:rsidP="00F8455A">
      <w:pPr>
        <w:pStyle w:val="5"/>
      </w:pPr>
      <w:r w:rsidRPr="00F8455A">
        <w:t xml:space="preserve">Main work: </w:t>
      </w:r>
    </w:p>
    <w:p w14:paraId="0072588F" w14:textId="25310FB8" w:rsidR="00F8455A" w:rsidRDefault="00F8455A" w:rsidP="00BE48BE">
      <w:pPr>
        <w:rPr>
          <w:rFonts w:hint="eastAsia"/>
        </w:rPr>
      </w:pPr>
      <w:r w:rsidRPr="00F8455A">
        <w:t xml:space="preserve">Joseph Warren </w:t>
      </w:r>
      <w:proofErr w:type="spellStart"/>
      <w:r w:rsidRPr="00F8455A">
        <w:t>Dauben</w:t>
      </w:r>
      <w:proofErr w:type="spellEnd"/>
      <w:r w:rsidRPr="00F8455A">
        <w:t xml:space="preserve">, Georg Cantor: His Mathematics and Philosophy of the Infinite (Harvard University Press, 1979), chapters 3, 5, and 6. Primary sources: Georg Cantor, </w:t>
      </w:r>
      <w:proofErr w:type="spellStart"/>
      <w:r w:rsidRPr="00F8455A">
        <w:t>Grundlagen</w:t>
      </w:r>
      <w:proofErr w:type="spellEnd"/>
      <w:r w:rsidRPr="00F8455A">
        <w:t xml:space="preserve"> </w:t>
      </w:r>
      <w:proofErr w:type="spellStart"/>
      <w:r w:rsidRPr="00F8455A">
        <w:t>einer</w:t>
      </w:r>
      <w:proofErr w:type="spellEnd"/>
      <w:r w:rsidRPr="00F8455A">
        <w:t xml:space="preserve"> </w:t>
      </w:r>
      <w:proofErr w:type="spellStart"/>
      <w:r w:rsidRPr="00F8455A">
        <w:t>allgemeinen</w:t>
      </w:r>
      <w:proofErr w:type="spellEnd"/>
      <w:r w:rsidRPr="00F8455A">
        <w:t xml:space="preserve"> </w:t>
      </w:r>
      <w:proofErr w:type="spellStart"/>
      <w:r w:rsidRPr="00F8455A">
        <w:t>Mannigfaltigkeitslehre</w:t>
      </w:r>
      <w:proofErr w:type="spellEnd"/>
      <w:r w:rsidRPr="00F8455A">
        <w:t xml:space="preserve"> (1883), §1 and §5; Cantor to Richard Dedekind, 3 August 1899; Ernst </w:t>
      </w:r>
      <w:proofErr w:type="spellStart"/>
      <w:r w:rsidRPr="00F8455A">
        <w:t>Zermelo</w:t>
      </w:r>
      <w:proofErr w:type="spellEnd"/>
      <w:r w:rsidRPr="00F8455A">
        <w:t>, "</w:t>
      </w:r>
      <w:proofErr w:type="spellStart"/>
      <w:r w:rsidRPr="00F8455A">
        <w:t>Untersuchungen</w:t>
      </w:r>
      <w:proofErr w:type="spellEnd"/>
      <w:r w:rsidRPr="00F8455A">
        <w:t xml:space="preserve"> </w:t>
      </w:r>
      <w:proofErr w:type="spellStart"/>
      <w:r w:rsidRPr="00F8455A">
        <w:t>über</w:t>
      </w:r>
      <w:proofErr w:type="spellEnd"/>
      <w:r w:rsidRPr="00F8455A">
        <w:t xml:space="preserve"> die </w:t>
      </w:r>
      <w:proofErr w:type="spellStart"/>
      <w:r w:rsidRPr="00F8455A">
        <w:t>Grundlagen</w:t>
      </w:r>
      <w:proofErr w:type="spellEnd"/>
      <w:r w:rsidRPr="00F8455A">
        <w:t xml:space="preserve"> der </w:t>
      </w:r>
      <w:proofErr w:type="spellStart"/>
      <w:r w:rsidRPr="00F8455A">
        <w:t>Mengenlehre</w:t>
      </w:r>
      <w:proofErr w:type="spellEnd"/>
      <w:r w:rsidRPr="00F8455A">
        <w:t xml:space="preserve"> I" (1908). Also: Aristotle, Physics III.4–8; Gauss to H. C. Schumacher, 12 July 1831, against a completed infinite magnitude. The Hilbert Hotel is only an opening illustration, from Hilbert's 1924/25 lectures (published 2013).</w:t>
      </w:r>
    </w:p>
    <w:p w14:paraId="41416B5A" w14:textId="2C97AC21" w:rsidR="00BE48BE" w:rsidRDefault="00BE48BE" w:rsidP="00BE48BE">
      <w:pPr>
        <w:pStyle w:val="5"/>
        <w:rPr>
          <w:rFonts w:hint="eastAsia"/>
        </w:rPr>
      </w:pPr>
      <w:r>
        <w:t>PROPOSED CENTRAL THEME AND ESSAY CONTENT</w:t>
      </w:r>
    </w:p>
    <w:p w14:paraId="2CE6E44D" w14:textId="613527D3" w:rsidR="00392F87" w:rsidRDefault="00392F87" w:rsidP="00392F87">
      <w:pPr>
        <w:keepNext/>
      </w:pPr>
      <w:r>
        <w:t xml:space="preserve">We chose infinity because the familiar Hilbert Hotel makes a completed infinite collection vivid, yet raises a historical question: has "infinity" always meant the same thing? We argue that axiomatization did more than formalize Cantor's ideas: it reshaped what infinity standard mathematics permits us to treat as an object. Before Cantor, actual infinity was often rejected or reserved for theology, while potential infinity described an endless process. Cantor made transfinite numbers and infinite sets mathematically comparable, but distinguished them from the Absolute Infinite, which he held beyond mathematical treatment. </w:t>
      </w:r>
      <w:proofErr w:type="spellStart"/>
      <w:r>
        <w:t>Zermelo's</w:t>
      </w:r>
      <w:proofErr w:type="spellEnd"/>
      <w:r>
        <w:t xml:space="preserve"> axioms retained a completed infinite set while restricting unrestricted set formation. We will test whether the permitted object is a restricted completed infinity: neither the completed infinity rejected before Cantor, nor Cantor's Absolute Infinite. The natural numbers, treated as one set, will be our example. Figure 1 summarizes this conceptual </w:t>
      </w:r>
      <w:proofErr w:type="gramStart"/>
      <w:r>
        <w:t>change</w:t>
      </w:r>
      <w:proofErr w:type="gramEnd"/>
      <w:r>
        <w:t xml:space="preserve"> and the boundary axiomatization draws.</w:t>
      </w:r>
    </w:p>
    <w:p w14:paraId="409A880B" w14:textId="77777777" w:rsidR="00392F87" w:rsidRDefault="00392F87" w:rsidP="00392F87">
      <w:pPr>
        <w:keepNext/>
        <w:rPr>
          <w:rFonts w:hint="eastAsia"/>
        </w:rPr>
      </w:pPr>
    </w:p>
    <w:p w14:paraId="4F8B4231" w14:textId="5A8E6F26" w:rsidR="00392F87" w:rsidRDefault="00392F87" w:rsidP="00392F87">
      <w:pPr>
        <w:keepNext/>
      </w:pPr>
      <w:r>
        <w:t xml:space="preserve">This project addresses CLO 2 by tracing infinity as a human cultural concept that was developed and revised, rather than simply discovered unchanged. It addresses CLO 4 </w:t>
      </w:r>
      <w:r>
        <w:lastRenderedPageBreak/>
        <w:t xml:space="preserve">by showing how axiomatization made a restricted infinite object part of the working foundations of later mathematics. Theological views will be discussed only to clarify Cantor's distinction, not as a separate history of theology. </w:t>
      </w:r>
    </w:p>
    <w:p w14:paraId="6FBF75CC" w14:textId="3B1C80F0" w:rsidR="00866E31" w:rsidRDefault="00866E31" w:rsidP="00866E31">
      <w:pPr>
        <w:keepNext/>
      </w:pPr>
      <w:r w:rsidRPr="00866E31">
        <w:drawing>
          <wp:inline distT="0" distB="0" distL="0" distR="0" wp14:anchorId="30B3C960" wp14:editId="7C412EFB">
            <wp:extent cx="4871803" cy="3052941"/>
            <wp:effectExtent l="0" t="0" r="5080" b="0"/>
            <wp:docPr id="1546838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38747" name=""/>
                    <pic:cNvPicPr/>
                  </pic:nvPicPr>
                  <pic:blipFill>
                    <a:blip r:embed="rId4"/>
                    <a:stretch>
                      <a:fillRect/>
                    </a:stretch>
                  </pic:blipFill>
                  <pic:spPr>
                    <a:xfrm>
                      <a:off x="0" y="0"/>
                      <a:ext cx="4948681" cy="3101117"/>
                    </a:xfrm>
                    <a:prstGeom prst="rect">
                      <a:avLst/>
                    </a:prstGeom>
                  </pic:spPr>
                </pic:pic>
              </a:graphicData>
            </a:graphic>
          </wp:inline>
        </w:drawing>
      </w:r>
    </w:p>
    <w:p w14:paraId="45B88C0B" w14:textId="39F44F64" w:rsidR="00E5633C" w:rsidRDefault="00866E31" w:rsidP="00E5633C">
      <w:pPr>
        <w:pStyle w:val="ae"/>
        <w:rPr>
          <w:sz w:val="16"/>
          <w:szCs w:val="16"/>
        </w:rPr>
      </w:pPr>
      <w:r w:rsidRPr="00E5633C">
        <w:rPr>
          <w:b/>
          <w:bCs/>
          <w:sz w:val="16"/>
          <w:szCs w:val="16"/>
        </w:rPr>
        <w:t xml:space="preserve">Figure </w:t>
      </w:r>
      <w:r w:rsidRPr="00E5633C">
        <w:rPr>
          <w:b/>
          <w:bCs/>
          <w:sz w:val="16"/>
          <w:szCs w:val="16"/>
        </w:rPr>
        <w:fldChar w:fldCharType="begin"/>
      </w:r>
      <w:r w:rsidRPr="00E5633C">
        <w:rPr>
          <w:b/>
          <w:bCs/>
          <w:sz w:val="16"/>
          <w:szCs w:val="16"/>
        </w:rPr>
        <w:instrText xml:space="preserve"> SEQ Figure \* ARABIC </w:instrText>
      </w:r>
      <w:r w:rsidRPr="00E5633C">
        <w:rPr>
          <w:b/>
          <w:bCs/>
          <w:sz w:val="16"/>
          <w:szCs w:val="16"/>
        </w:rPr>
        <w:fldChar w:fldCharType="separate"/>
      </w:r>
      <w:r w:rsidR="00E5633C">
        <w:rPr>
          <w:b/>
          <w:bCs/>
          <w:noProof/>
          <w:sz w:val="16"/>
          <w:szCs w:val="16"/>
        </w:rPr>
        <w:t>1</w:t>
      </w:r>
      <w:r w:rsidRPr="00E5633C">
        <w:rPr>
          <w:b/>
          <w:bCs/>
          <w:sz w:val="16"/>
          <w:szCs w:val="16"/>
        </w:rPr>
        <w:fldChar w:fldCharType="end"/>
      </w:r>
      <w:r w:rsidRPr="00E5633C">
        <w:rPr>
          <w:rFonts w:hint="eastAsia"/>
          <w:sz w:val="16"/>
          <w:szCs w:val="16"/>
        </w:rPr>
        <w:t xml:space="preserve"> </w:t>
      </w:r>
      <w:r w:rsidRPr="00E5633C">
        <w:rPr>
          <w:sz w:val="16"/>
          <w:szCs w:val="16"/>
        </w:rPr>
        <w:t>Conceptual change in the meaning of infinity.</w:t>
      </w:r>
      <w:r w:rsidR="00E5633C">
        <w:rPr>
          <w:rFonts w:hint="eastAsia"/>
          <w:sz w:val="16"/>
          <w:szCs w:val="16"/>
        </w:rPr>
        <w:t xml:space="preserve"> </w:t>
      </w:r>
    </w:p>
    <w:p w14:paraId="7772673F" w14:textId="635CACB3" w:rsidR="00E5633C" w:rsidRDefault="00E749AD" w:rsidP="00E5633C">
      <w:pPr>
        <w:keepNext/>
      </w:pPr>
      <w:r w:rsidRPr="00E749AD">
        <w:drawing>
          <wp:inline distT="0" distB="0" distL="0" distR="0" wp14:anchorId="755A32D5" wp14:editId="6CBDDB5D">
            <wp:extent cx="5274310" cy="2429510"/>
            <wp:effectExtent l="0" t="0" r="0" b="0"/>
            <wp:docPr id="1047092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92405" name=""/>
                    <pic:cNvPicPr/>
                  </pic:nvPicPr>
                  <pic:blipFill>
                    <a:blip r:embed="rId5"/>
                    <a:stretch>
                      <a:fillRect/>
                    </a:stretch>
                  </pic:blipFill>
                  <pic:spPr>
                    <a:xfrm>
                      <a:off x="0" y="0"/>
                      <a:ext cx="5274310" cy="2429510"/>
                    </a:xfrm>
                    <a:prstGeom prst="rect">
                      <a:avLst/>
                    </a:prstGeom>
                  </pic:spPr>
                </pic:pic>
              </a:graphicData>
            </a:graphic>
          </wp:inline>
        </w:drawing>
      </w:r>
    </w:p>
    <w:p w14:paraId="33AEAAFF" w14:textId="561AF027" w:rsidR="00312BD0" w:rsidRPr="0085583E" w:rsidRDefault="00E5633C" w:rsidP="0085583E">
      <w:pPr>
        <w:pStyle w:val="ae"/>
        <w:rPr>
          <w:rFonts w:hint="eastAsia"/>
          <w:sz w:val="16"/>
          <w:szCs w:val="16"/>
        </w:rPr>
      </w:pPr>
      <w:r w:rsidRPr="00182F50">
        <w:rPr>
          <w:b/>
          <w:bCs/>
          <w:sz w:val="16"/>
          <w:szCs w:val="16"/>
        </w:rPr>
        <w:t xml:space="preserve">Figure </w:t>
      </w:r>
      <w:r w:rsidRPr="00182F50">
        <w:rPr>
          <w:b/>
          <w:bCs/>
          <w:sz w:val="16"/>
          <w:szCs w:val="16"/>
        </w:rPr>
        <w:fldChar w:fldCharType="begin"/>
      </w:r>
      <w:r w:rsidRPr="00182F50">
        <w:rPr>
          <w:b/>
          <w:bCs/>
          <w:sz w:val="16"/>
          <w:szCs w:val="16"/>
        </w:rPr>
        <w:instrText xml:space="preserve"> SEQ Figure \* ARABIC </w:instrText>
      </w:r>
      <w:r w:rsidRPr="00182F50">
        <w:rPr>
          <w:b/>
          <w:bCs/>
          <w:sz w:val="16"/>
          <w:szCs w:val="16"/>
        </w:rPr>
        <w:fldChar w:fldCharType="separate"/>
      </w:r>
      <w:r w:rsidRPr="00182F50">
        <w:rPr>
          <w:b/>
          <w:bCs/>
          <w:noProof/>
          <w:sz w:val="16"/>
          <w:szCs w:val="16"/>
        </w:rPr>
        <w:t>2</w:t>
      </w:r>
      <w:r w:rsidRPr="00182F50">
        <w:rPr>
          <w:b/>
          <w:bCs/>
          <w:sz w:val="16"/>
          <w:szCs w:val="16"/>
        </w:rPr>
        <w:fldChar w:fldCharType="end"/>
      </w:r>
      <w:r w:rsidRPr="00182F50">
        <w:rPr>
          <w:rFonts w:hint="eastAsia"/>
          <w:b/>
          <w:bCs/>
          <w:sz w:val="16"/>
          <w:szCs w:val="16"/>
        </w:rPr>
        <w:t xml:space="preserve"> </w:t>
      </w:r>
      <w:r w:rsidR="0085583E" w:rsidRPr="0085583E">
        <w:rPr>
          <w:sz w:val="16"/>
          <w:szCs w:val="16"/>
        </w:rPr>
        <w:t xml:space="preserve">The essay follows a change in the permitted meaning of infinity: from historical debates, through Cantor's mathematical transfinite, to the restricted infinite objects of axiomatic </w:t>
      </w:r>
      <w:proofErr w:type="spellStart"/>
      <w:r w:rsidR="0085583E" w:rsidRPr="0085583E">
        <w:rPr>
          <w:sz w:val="16"/>
          <w:szCs w:val="16"/>
        </w:rPr>
        <w:t>mathematics.</w:t>
      </w:r>
      <w:bookmarkEnd w:id="0"/>
      <w:proofErr w:type="spellEnd"/>
    </w:p>
    <w:sectPr w:rsidR="00312BD0" w:rsidRPr="008558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F2A"/>
    <w:rsid w:val="000474EF"/>
    <w:rsid w:val="00182F50"/>
    <w:rsid w:val="001C317E"/>
    <w:rsid w:val="00287A31"/>
    <w:rsid w:val="00312BD0"/>
    <w:rsid w:val="0034212F"/>
    <w:rsid w:val="00392F87"/>
    <w:rsid w:val="004601C0"/>
    <w:rsid w:val="006022A5"/>
    <w:rsid w:val="007F69D9"/>
    <w:rsid w:val="00805F2A"/>
    <w:rsid w:val="0085583E"/>
    <w:rsid w:val="00866E31"/>
    <w:rsid w:val="00BE48BE"/>
    <w:rsid w:val="00E5633C"/>
    <w:rsid w:val="00E749AD"/>
    <w:rsid w:val="00F84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7C37D9"/>
  <w15:chartTrackingRefBased/>
  <w15:docId w15:val="{76754312-242F-0943-8888-D1BDBA525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5F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05F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05F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05F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805F2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05F2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5F2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5F2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05F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5F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05F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05F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05F2A"/>
    <w:rPr>
      <w:rFonts w:cstheme="majorBidi"/>
      <w:color w:val="0F4761" w:themeColor="accent1" w:themeShade="BF"/>
      <w:sz w:val="28"/>
      <w:szCs w:val="28"/>
    </w:rPr>
  </w:style>
  <w:style w:type="character" w:customStyle="1" w:styleId="50">
    <w:name w:val="标题 5 字符"/>
    <w:basedOn w:val="a0"/>
    <w:link w:val="5"/>
    <w:uiPriority w:val="9"/>
    <w:rsid w:val="00805F2A"/>
    <w:rPr>
      <w:rFonts w:cstheme="majorBidi"/>
      <w:color w:val="0F4761" w:themeColor="accent1" w:themeShade="BF"/>
      <w:sz w:val="24"/>
    </w:rPr>
  </w:style>
  <w:style w:type="character" w:customStyle="1" w:styleId="60">
    <w:name w:val="标题 6 字符"/>
    <w:basedOn w:val="a0"/>
    <w:link w:val="6"/>
    <w:uiPriority w:val="9"/>
    <w:semiHidden/>
    <w:rsid w:val="00805F2A"/>
    <w:rPr>
      <w:rFonts w:cstheme="majorBidi"/>
      <w:b/>
      <w:bCs/>
      <w:color w:val="0F4761" w:themeColor="accent1" w:themeShade="BF"/>
    </w:rPr>
  </w:style>
  <w:style w:type="character" w:customStyle="1" w:styleId="70">
    <w:name w:val="标题 7 字符"/>
    <w:basedOn w:val="a0"/>
    <w:link w:val="7"/>
    <w:uiPriority w:val="9"/>
    <w:semiHidden/>
    <w:rsid w:val="00805F2A"/>
    <w:rPr>
      <w:rFonts w:cstheme="majorBidi"/>
      <w:b/>
      <w:bCs/>
      <w:color w:val="595959" w:themeColor="text1" w:themeTint="A6"/>
    </w:rPr>
  </w:style>
  <w:style w:type="character" w:customStyle="1" w:styleId="80">
    <w:name w:val="标题 8 字符"/>
    <w:basedOn w:val="a0"/>
    <w:link w:val="8"/>
    <w:uiPriority w:val="9"/>
    <w:semiHidden/>
    <w:rsid w:val="00805F2A"/>
    <w:rPr>
      <w:rFonts w:cstheme="majorBidi"/>
      <w:color w:val="595959" w:themeColor="text1" w:themeTint="A6"/>
    </w:rPr>
  </w:style>
  <w:style w:type="character" w:customStyle="1" w:styleId="90">
    <w:name w:val="标题 9 字符"/>
    <w:basedOn w:val="a0"/>
    <w:link w:val="9"/>
    <w:uiPriority w:val="9"/>
    <w:semiHidden/>
    <w:rsid w:val="00805F2A"/>
    <w:rPr>
      <w:rFonts w:eastAsiaTheme="majorEastAsia" w:cstheme="majorBidi"/>
      <w:color w:val="595959" w:themeColor="text1" w:themeTint="A6"/>
    </w:rPr>
  </w:style>
  <w:style w:type="paragraph" w:styleId="a3">
    <w:name w:val="Title"/>
    <w:basedOn w:val="a"/>
    <w:next w:val="a"/>
    <w:link w:val="a4"/>
    <w:uiPriority w:val="10"/>
    <w:qFormat/>
    <w:rsid w:val="00805F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5F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5F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5F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5F2A"/>
    <w:pPr>
      <w:spacing w:before="160"/>
      <w:jc w:val="center"/>
    </w:pPr>
    <w:rPr>
      <w:i/>
      <w:iCs/>
      <w:color w:val="404040" w:themeColor="text1" w:themeTint="BF"/>
    </w:rPr>
  </w:style>
  <w:style w:type="character" w:customStyle="1" w:styleId="a8">
    <w:name w:val="引用 字符"/>
    <w:basedOn w:val="a0"/>
    <w:link w:val="a7"/>
    <w:uiPriority w:val="29"/>
    <w:rsid w:val="00805F2A"/>
    <w:rPr>
      <w:i/>
      <w:iCs/>
      <w:color w:val="404040" w:themeColor="text1" w:themeTint="BF"/>
    </w:rPr>
  </w:style>
  <w:style w:type="paragraph" w:styleId="a9">
    <w:name w:val="List Paragraph"/>
    <w:basedOn w:val="a"/>
    <w:uiPriority w:val="34"/>
    <w:qFormat/>
    <w:rsid w:val="00805F2A"/>
    <w:pPr>
      <w:ind w:left="720"/>
      <w:contextualSpacing/>
    </w:pPr>
  </w:style>
  <w:style w:type="character" w:styleId="aa">
    <w:name w:val="Intense Emphasis"/>
    <w:basedOn w:val="a0"/>
    <w:uiPriority w:val="21"/>
    <w:qFormat/>
    <w:rsid w:val="00805F2A"/>
    <w:rPr>
      <w:i/>
      <w:iCs/>
      <w:color w:val="0F4761" w:themeColor="accent1" w:themeShade="BF"/>
    </w:rPr>
  </w:style>
  <w:style w:type="paragraph" w:styleId="ab">
    <w:name w:val="Intense Quote"/>
    <w:basedOn w:val="a"/>
    <w:next w:val="a"/>
    <w:link w:val="ac"/>
    <w:uiPriority w:val="30"/>
    <w:qFormat/>
    <w:rsid w:val="00805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5F2A"/>
    <w:rPr>
      <w:i/>
      <w:iCs/>
      <w:color w:val="0F4761" w:themeColor="accent1" w:themeShade="BF"/>
    </w:rPr>
  </w:style>
  <w:style w:type="character" w:styleId="ad">
    <w:name w:val="Intense Reference"/>
    <w:basedOn w:val="a0"/>
    <w:uiPriority w:val="32"/>
    <w:qFormat/>
    <w:rsid w:val="00805F2A"/>
    <w:rPr>
      <w:b/>
      <w:bCs/>
      <w:smallCaps/>
      <w:color w:val="0F4761" w:themeColor="accent1" w:themeShade="BF"/>
      <w:spacing w:val="5"/>
    </w:rPr>
  </w:style>
  <w:style w:type="paragraph" w:styleId="ae">
    <w:name w:val="caption"/>
    <w:basedOn w:val="a"/>
    <w:next w:val="a"/>
    <w:uiPriority w:val="35"/>
    <w:unhideWhenUsed/>
    <w:qFormat/>
    <w:rsid w:val="00866E3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395</Words>
  <Characters>2253</Characters>
  <Application>Microsoft Office Word</Application>
  <DocSecurity>0</DocSecurity>
  <Lines>18</Lines>
  <Paragraphs>5</Paragraphs>
  <ScaleCrop>false</ScaleCrop>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u3629211@connect.hku.hk</dc:creator>
  <cp:keywords/>
  <dc:description/>
  <cp:lastModifiedBy>u3629211@connect.hku.hk</cp:lastModifiedBy>
  <cp:revision>7</cp:revision>
  <dcterms:created xsi:type="dcterms:W3CDTF">2026-10-13T07:17:00Z</dcterms:created>
  <dcterms:modified xsi:type="dcterms:W3CDTF">2026-10-13T11:11:00Z</dcterms:modified>
</cp:coreProperties>
</file>