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0"/>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0"/>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0"/>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rPr>
        <w:t>[</w:t>
      </w:r>
      <w:r>
        <w:rPr>
          <w:rtl w:val="0"/>
        </w:rPr>
        <w:t>3</w:t>
      </w:r>
      <w:r>
        <w:rPr>
          <w:rtl w:val="0"/>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rPr>
        <w:t>reduc</w:t>
      </w:r>
      <w:r>
        <w:rPr>
          <w:rtl w:val="0"/>
        </w:rPr>
        <w:t>ing</w:t>
      </w:r>
      <w:r>
        <w:rPr>
          <w:rtl w:val="0"/>
        </w:rPr>
        <w:t xml:space="preserve"> </w:t>
      </w:r>
      <w:r>
        <w:rPr>
          <w:rtl w:val="0"/>
        </w:rPr>
        <w:t xml:space="preserve">such forestry </w:t>
      </w:r>
      <w:r>
        <w:rPr>
          <w:rtl w:val="0"/>
          <w:lang w:val="fr-FR"/>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 xml:space="preserve">Fossil fuels contribute atmospheric carbon dioxide too, of course.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rPr>
        <w:t xml:space="preserve"> [</w:t>
      </w:r>
      <w:r>
        <w:rPr>
          <w:rtl w:val="0"/>
        </w:rPr>
        <w:t>18</w:t>
      </w:r>
      <w:r>
        <w:rPr>
          <w:rtl w:val="0"/>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from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0"/>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0"/>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nl-NL"/>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rPr>
        <w:t>[</w:t>
      </w:r>
      <w:r>
        <w:rPr>
          <w:rtl w:val="0"/>
        </w:rPr>
        <w:t>40</w:t>
      </w:r>
      <w:r>
        <w:rPr>
          <w:rtl w:val="0"/>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0"/>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redeemable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this work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This work is therefore set to be of interest to a number of environmental lawsuits.  </w:t>
      </w:r>
      <w:r>
        <w:rPr>
          <w:rtl w:val="0"/>
        </w:rPr>
        <w:t>I</w:t>
      </w:r>
      <w:r>
        <w:rPr>
          <w:rtl w:val="0"/>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[42].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this work</w:t>
      </w:r>
      <w:r>
        <w:rPr>
          <w:rtl w:val="0"/>
        </w:rPr>
        <w:t xml:space="preserve"> </w:t>
      </w:r>
      <w:r>
        <w:rPr>
          <w:rtl w:val="0"/>
        </w:rPr>
        <w:t>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it-IT"/>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ve information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would-be benefits build on shaky foundations.</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0"/>
        </w:rPr>
        <w:t>’</w:t>
      </w:r>
      <w:r>
        <w:rPr>
          <w:rtl w:val="0"/>
          <w:lang w:val="it-IT"/>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[43] [44]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rPr>
        <w:t>[</w:t>
      </w:r>
      <w:r>
        <w:rPr>
          <w:rtl w:val="0"/>
        </w:rPr>
        <w:t>45</w:t>
      </w:r>
      <w:r>
        <w:rPr>
          <w:rtl w:val="0"/>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rPr>
        <w:t>[</w:t>
      </w:r>
      <w:r>
        <w:rPr>
          <w:rtl w:val="0"/>
        </w:rPr>
        <w:t>46</w:t>
      </w:r>
      <w:r>
        <w:rPr>
          <w:rtl w:val="0"/>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lang w:val="it-IT"/>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rPr>
        <w:t>[</w:t>
      </w:r>
      <w:r>
        <w:rPr>
          <w:rtl w:val="0"/>
        </w:rPr>
        <w:t>47</w:t>
      </w:r>
      <w:r>
        <w:rPr>
          <w:rtl w:val="0"/>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rPr>
        <w:t>[</w:t>
      </w:r>
      <w:r>
        <w:rPr>
          <w:rtl w:val="0"/>
        </w:rPr>
        <w:t>48</w:t>
      </w:r>
      <w:r>
        <w:rPr>
          <w:rtl w:val="0"/>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[49].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[50].</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[51]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[52]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[53].</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[54]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lang w:val="de-DE"/>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lang w:val="de-DE"/>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da-DK"/>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research and this article were funded out of pocket.</w:t>
      </w:r>
    </w:p>
    <w:p>
      <w:pPr>
        <w:pStyle w:val="Body.0"/>
        <w:bidi w:val="0"/>
      </w:pPr>
      <w:r>
        <w:rPr>
          <w:b w:val="1"/>
          <w:bCs w:val="1"/>
          <w:rtl w:val="0"/>
          <w:lang w:val="en-US"/>
        </w:rPr>
        <w:t>Support the Author</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article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0"/>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0"/>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from distributed </w:t>
      </w:r>
      <w:r>
        <w:rPr>
          <w:rtl w:val="0"/>
          <w:lang w:val="fr-FR"/>
        </w:rPr>
        <w:t>source control</w:t>
      </w:r>
      <w:r>
        <w:rPr>
          <w:rtl w:val="0"/>
        </w:rPr>
        <w:t xml:space="preserve"> </w:t>
      </w:r>
      <w:r>
        <w:rPr>
          <w:rtl w:val="0"/>
          <w:lang w:val="it-IT"/>
        </w:rPr>
        <w:t>repositor</w:t>
      </w:r>
      <w:r>
        <w:rPr>
          <w:rtl w:val="0"/>
        </w:rPr>
        <w:t>ies.</w:t>
      </w:r>
      <w:r>
        <w:rPr>
          <w:rtl w:val="0"/>
        </w:rPr>
        <w:t xml:space="preserve"> </w:t>
      </w:r>
      <w:r>
        <w:rPr>
          <w:rtl w:val="0"/>
        </w:rPr>
        <w:t xml:space="preserve"> T</w:t>
      </w:r>
      <w:r>
        <w:rPr>
          <w:rtl w:val="0"/>
        </w:rPr>
        <w:t>o help ensure that this work stays resilient</w:t>
      </w:r>
      <w:r>
        <w:rPr>
          <w:rtl w:val="0"/>
        </w:rPr>
        <w:t>, save and p</w:t>
      </w:r>
      <w:r>
        <w:rPr>
          <w:rtl w:val="0"/>
        </w:rPr>
        <w:t>rint a copy</w:t>
      </w:r>
      <w:r>
        <w:rPr>
          <w:rtl w:val="0"/>
        </w:rPr>
        <w:t xml:space="preserve">, or clone and </w:t>
      </w:r>
      <w:r>
        <w:rPr>
          <w:rtl w:val="0"/>
        </w:rPr>
        <w:t xml:space="preserve">host </w:t>
      </w:r>
      <w:r>
        <w:rPr>
          <w:rtl w:val="0"/>
          <w:lang w:val="it-IT"/>
        </w:rPr>
        <w:t xml:space="preserve">a copy </w:t>
      </w:r>
      <w:r>
        <w:rPr>
          <w:rtl w:val="0"/>
        </w:rPr>
        <w:t>of a repository.</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lang w:val="de-DE"/>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lang w:val="fr-FR"/>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lang w:val="fr-FR"/>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0"/>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0"/>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lang w:val="da-DK"/>
        </w:rPr>
        <w:t>Yang, G.-L.</w:t>
      </w:r>
      <w:r>
        <w:rPr>
          <w:rtl w:val="0"/>
        </w:rPr>
        <w:t xml:space="preserve"> </w:t>
      </w:r>
      <w:r>
        <w:rPr>
          <w:rtl w:val="0"/>
        </w:rPr>
        <w:t xml:space="preserve"> Duckweed Is a Promising Feedstock of Biofuels: Advantages and Approaches. </w:t>
      </w:r>
      <w:r>
        <w:rPr>
          <w:rtl w:val="0"/>
        </w:rPr>
        <w:t xml:space="preserve"> </w:t>
      </w:r>
      <w:r>
        <w:rPr>
          <w:rtl w:val="0"/>
          <w:lang w:val="it-IT"/>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0"/>
        </w:rPr>
        <w:t>‘</w:t>
      </w:r>
      <w:r>
        <w:rPr>
          <w:rtl w:val="0"/>
        </w:rPr>
        <w:t>Nature-Based Solution</w:t>
      </w:r>
      <w:r>
        <w:rPr>
          <w:rtl w:val="0"/>
        </w:rPr>
        <w:t>’</w:t>
      </w:r>
      <w:r>
        <w:rPr>
          <w:rtl w:val="0"/>
        </w:rPr>
        <w:t xml:space="preserve">: Total oil, 40,000 hectares of disappearing African savannah, Emmanuel Macron, Norwegian and French </w:t>
      </w:r>
      <w:r>
        <w:rPr>
          <w:rtl w:val="0"/>
        </w:rPr>
        <w:t>‘</w:t>
      </w:r>
      <w:r>
        <w:rPr>
          <w:rtl w:val="0"/>
        </w:rPr>
        <w:t>aid</w:t>
      </w:r>
      <w:r>
        <w:rPr>
          <w:rtl w:val="0"/>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lang w:val="fr-FR"/>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lang w:val="it-IT"/>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lang w:val="es-ES_tradnl"/>
        </w:rPr>
        <w:t>http://climatecasechart.com</w:t>
      </w:r>
      <w:r>
        <w:rPr/>
        <w:fldChar w:fldCharType="end" w:fldLock="0"/>
      </w:r>
      <w:r>
        <w:rPr>
          <w:rtl w:val="0"/>
        </w:rPr>
        <w:t>.</w:t>
      </w:r>
    </w:p>
    <w:p>
      <w:pPr>
        <w:pStyle w:val="Body.0"/>
        <w:bidi w:val="0"/>
      </w:pPr>
      <w:r>
        <w:rPr>
          <w:rtl w:val="0"/>
        </w:rPr>
        <w:t xml:space="preserve">[43]: </w:t>
      </w:r>
      <w:r>
        <w:rPr>
          <w:rtl w:val="0"/>
          <w:lang w:val="pt-PT"/>
        </w:rPr>
        <w:t>Ogada, Mordecai</w:t>
      </w:r>
      <w:r>
        <w:rPr>
          <w:rtl w:val="0"/>
        </w:rPr>
        <w:t xml:space="preserve">. </w:t>
      </w:r>
      <w:r>
        <w:rPr>
          <w:rtl w:val="0"/>
        </w:rPr>
        <w:t xml:space="preserve"> A Dark Truth: The racist dynamic at the heart of Kenya</w:t>
      </w:r>
      <w:r>
        <w:rPr>
          <w:rtl w:val="0"/>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[44]: </w:t>
      </w:r>
      <w:r>
        <w:rPr>
          <w:rtl w:val="0"/>
        </w:rPr>
        <w:t xml:space="preserve">The Violence of </w:t>
      </w:r>
      <w:r>
        <w:rPr>
          <w:rtl w:val="0"/>
        </w:rPr>
        <w:t>‘</w:t>
      </w:r>
      <w:r>
        <w:rPr>
          <w:rtl w:val="0"/>
          <w:lang w:val="fr-FR"/>
        </w:rPr>
        <w:t>Conservation</w:t>
      </w:r>
      <w:r>
        <w:rPr>
          <w:rtl w:val="0"/>
        </w:rPr>
        <w:t>’</w:t>
      </w:r>
      <w:r>
        <w:rPr>
          <w:rtl w:val="0"/>
        </w:rPr>
        <w:t xml:space="preserve">. </w:t>
      </w:r>
      <w:r>
        <w:rPr>
          <w:rtl w:val="0"/>
          <w:lang w:val="fr-FR"/>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[45]: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[46]: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[47]: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[48]: </w:t>
      </w:r>
      <w:r>
        <w:rPr>
          <w:rtl w:val="0"/>
        </w:rPr>
        <w:t>Blumenthal, Max</w:t>
      </w:r>
      <w:r>
        <w:rPr>
          <w:rtl w:val="0"/>
        </w:rPr>
        <w:t>.</w:t>
      </w:r>
      <w:r>
        <w:rPr>
          <w:rtl w:val="0"/>
        </w:rPr>
        <w:t xml:space="preserve"> </w:t>
      </w:r>
      <w:r>
        <w:rPr>
          <w:rtl w:val="0"/>
        </w:rPr>
        <w:t xml:space="preserve"> </w:t>
      </w:r>
      <w:r>
        <w:rPr>
          <w:rtl w:val="0"/>
        </w:rPr>
        <w:t>‘</w:t>
      </w:r>
      <w:r>
        <w:rPr>
          <w:rtl w:val="0"/>
          <w:lang w:val="nl-NL"/>
        </w:rPr>
        <w:t>Green</w:t>
      </w:r>
      <w:r>
        <w:rPr>
          <w:rtl w:val="0"/>
        </w:rPr>
        <w:t xml:space="preserve">’ </w:t>
      </w:r>
      <w:r>
        <w:rPr>
          <w:rtl w:val="0"/>
        </w:rPr>
        <w:t xml:space="preserve">billionaires behind professional activist network that led suppression of </w:t>
      </w:r>
      <w:r>
        <w:rPr>
          <w:rtl w:val="0"/>
        </w:rPr>
        <w:t>‘</w:t>
      </w:r>
      <w:r>
        <w:rPr>
          <w:rtl w:val="0"/>
        </w:rPr>
        <w:t>Planet of the Humans</w:t>
      </w:r>
      <w:r>
        <w:rPr>
          <w:rtl w:val="0"/>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[49]: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[50]: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[51]: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[52]: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[53]: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[54]: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