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48"/>
        </w:rPr>
        <w:t>HONOR CARE POLAND</w:t>
      </w:r>
    </w:p>
    <w:p>
      <w:pPr>
        <w:jc w:val="center"/>
      </w:pPr>
      <w:r>
        <w:rPr>
          <w:b/>
          <w:sz w:val="36"/>
        </w:rPr>
        <w:t>Businessplan &amp; uitvoeringsdossier</w:t>
      </w:r>
    </w:p>
    <w:p>
      <w:pPr>
        <w:jc w:val="center"/>
      </w:pPr>
      <w:r>
        <w:rPr>
          <w:i/>
          <w:sz w:val="24"/>
        </w:rPr>
        <w:t>Nederlands en Spaans</w:t>
      </w:r>
    </w:p>
    <w:p>
      <w:pPr>
        <w:jc w:val="center"/>
      </w:pPr>
      <w:r>
        <w:t>Werkdocument - laten controleren door Poolse advocaat, accountant en subsidieadviseur.</w:t>
      </w:r>
    </w:p>
    <w:p>
      <w:r>
        <w:br w:type="page"/>
      </w:r>
    </w:p>
    <w:p>
      <w:pPr>
        <w:pStyle w:val="Title"/>
      </w:pPr>
      <w:r>
        <w:t>DEEL A - NEDERLANDS</w:t>
      </w:r>
    </w:p>
    <w:p>
      <w:pPr>
        <w:pStyle w:val="Heading1"/>
      </w:pPr>
      <w:r>
        <w:t>1. Samenvatting</w:t>
      </w:r>
    </w:p>
    <w:p>
      <w:r>
        <w:t>Honor Care Poland is een sociaal-commercieel project waarmee Colombiaanse zorgprofessionals veilig, legaal en goed voorbereid naar de Poolse zorgmarkt worden begeleid. De structuur bestaat uit een stichting voor subsidies en maatschappelijke activiteiten, en een werkmaatschappij voor commerciële contracten, recruitment, huisvesting en operationeel beheer.</w:t>
      </w:r>
    </w:p>
    <w:p>
      <w:r>
        <w:t>Het project start verstandig met zorgassistenten, begeleiders en ondersteunende zorgfuncties. Voor gereguleerde beroepen zoals verpleegkundige, arts, tandarts en verloskundige komt een apart erkennings-, taal- en registratieproces.</w:t>
      </w:r>
    </w:p>
    <w:p>
      <w:pPr>
        <w:pStyle w:val="Heading1"/>
      </w:pPr>
      <w:r>
        <w:t>2. Structuur</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1E40AF"/>
          </w:tcPr>
          <w:p>
            <w:r>
              <w:rPr>
                <w:b/>
                <w:color w:val="FFFFFF"/>
                <w:sz w:val="18"/>
              </w:rPr>
              <w:t>Entiteit</w:t>
            </w:r>
          </w:p>
        </w:tc>
        <w:tc>
          <w:tcPr>
            <w:tcW w:type="dxa" w:w="3475"/>
            <w:shd w:fill="1E40AF"/>
          </w:tcPr>
          <w:p>
            <w:r>
              <w:rPr>
                <w:b/>
                <w:color w:val="FFFFFF"/>
                <w:sz w:val="18"/>
              </w:rPr>
              <w:t>Doel</w:t>
            </w:r>
          </w:p>
        </w:tc>
        <w:tc>
          <w:tcPr>
            <w:tcW w:type="dxa" w:w="3475"/>
            <w:shd w:fill="1E40AF"/>
          </w:tcPr>
          <w:p>
            <w:r>
              <w:rPr>
                <w:b/>
                <w:color w:val="FFFFFF"/>
                <w:sz w:val="18"/>
              </w:rPr>
              <w:t>Acties</w:t>
            </w:r>
          </w:p>
        </w:tc>
      </w:tr>
      <w:tr>
        <w:tc>
          <w:tcPr>
            <w:tcW w:type="dxa" w:w="3475"/>
          </w:tcPr>
          <w:p>
            <w:r>
              <w:rPr>
                <w:sz w:val="18"/>
              </w:rPr>
              <w:t>Fundacja Honor Care Poland</w:t>
            </w:r>
          </w:p>
        </w:tc>
        <w:tc>
          <w:tcPr>
            <w:tcW w:type="dxa" w:w="3475"/>
          </w:tcPr>
          <w:p>
            <w:r>
              <w:rPr>
                <w:sz w:val="18"/>
              </w:rPr>
              <w:t>Subsidies, opleiding, integratie, maatschappelijke begeleiding</w:t>
            </w:r>
          </w:p>
        </w:tc>
        <w:tc>
          <w:tcPr>
            <w:tcW w:type="dxa" w:w="3475"/>
          </w:tcPr>
          <w:p>
            <w:r>
              <w:rPr>
                <w:sz w:val="18"/>
              </w:rPr>
              <w:t>KRS, statuten, bestuur, jaarplan, subsidieaanvragen</w:t>
            </w:r>
          </w:p>
        </w:tc>
      </w:tr>
      <w:tr>
        <w:tc>
          <w:tcPr>
            <w:tcW w:type="dxa" w:w="3475"/>
          </w:tcPr>
          <w:p>
            <w:r>
              <w:rPr>
                <w:sz w:val="18"/>
              </w:rPr>
              <w:t>Honor Care International Sp. z o.o.</w:t>
            </w:r>
          </w:p>
        </w:tc>
        <w:tc>
          <w:tcPr>
            <w:tcW w:type="dxa" w:w="3475"/>
          </w:tcPr>
          <w:p>
            <w:r>
              <w:rPr>
                <w:sz w:val="18"/>
              </w:rPr>
              <w:t>Recruitment, contracten, facturatie, huisvesting, servicefees</w:t>
            </w:r>
          </w:p>
        </w:tc>
        <w:tc>
          <w:tcPr>
            <w:tcW w:type="dxa" w:w="3475"/>
          </w:tcPr>
          <w:p>
            <w:r>
              <w:rPr>
                <w:sz w:val="18"/>
              </w:rPr>
              <w:t>KRS, NIP, REGON, bank, KRAZ, contracten</w:t>
            </w:r>
          </w:p>
        </w:tc>
      </w:tr>
      <w:tr>
        <w:tc>
          <w:tcPr>
            <w:tcW w:type="dxa" w:w="3475"/>
          </w:tcPr>
          <w:p>
            <w:r>
              <w:rPr>
                <w:sz w:val="18"/>
              </w:rPr>
              <w:t>Honor Care Colombia SAS / partner</w:t>
            </w:r>
          </w:p>
        </w:tc>
        <w:tc>
          <w:tcPr>
            <w:tcW w:type="dxa" w:w="3475"/>
          </w:tcPr>
          <w:p>
            <w:r>
              <w:rPr>
                <w:sz w:val="18"/>
              </w:rPr>
              <w:t>Werving, screening, taalvoorbereiding, documentcontrole</w:t>
            </w:r>
          </w:p>
        </w:tc>
        <w:tc>
          <w:tcPr>
            <w:tcW w:type="dxa" w:w="3475"/>
          </w:tcPr>
          <w:p>
            <w:r>
              <w:rPr>
                <w:sz w:val="18"/>
              </w:rPr>
              <w:t>Lokale partner, universiteiten, taalschool, intakeproces</w:t>
            </w:r>
          </w:p>
        </w:tc>
      </w:tr>
    </w:tbl>
    <w:p/>
    <w:p>
      <w:pPr>
        <w:pStyle w:val="Heading1"/>
      </w:pPr>
      <w:r>
        <w:t>3. Markt en positionering Polen</w:t>
      </w:r>
    </w:p>
    <w:p>
      <w:r>
        <w:t>De eerste focus ligt op Mazowieckie/Warszawa, Łódzkie, Śląskie en Małopolskie. Begin bij ouderenzorg, thuiszorg, revalidatie, privéklinieken en ondersteunende zorgfuncties. Deze sectoren hebben vaak sneller behoefte aan personeel en kennen minder zware beroepsregistratie dan ziekenhuisfuncties.</w:t>
      </w:r>
    </w:p>
    <w:p>
      <w:pPr>
        <w:pStyle w:val="Heading1"/>
      </w:pPr>
      <w:r>
        <w:t>4. Verdienmodel</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1E40AF"/>
          </w:tcPr>
          <w:p>
            <w:r>
              <w:rPr>
                <w:b/>
                <w:color w:val="FFFFFF"/>
                <w:sz w:val="18"/>
              </w:rPr>
              <w:t>Inkomstenbron</w:t>
            </w:r>
          </w:p>
        </w:tc>
        <w:tc>
          <w:tcPr>
            <w:tcW w:type="dxa" w:w="3475"/>
            <w:shd w:fill="1E40AF"/>
          </w:tcPr>
          <w:p>
            <w:r>
              <w:rPr>
                <w:b/>
                <w:color w:val="FFFFFF"/>
                <w:sz w:val="18"/>
              </w:rPr>
              <w:t>Indicatie</w:t>
            </w:r>
          </w:p>
        </w:tc>
        <w:tc>
          <w:tcPr>
            <w:tcW w:type="dxa" w:w="3475"/>
            <w:shd w:fill="1E40AF"/>
          </w:tcPr>
          <w:p>
            <w:r>
              <w:rPr>
                <w:b/>
                <w:color w:val="FFFFFF"/>
                <w:sz w:val="18"/>
              </w:rPr>
              <w:t>Toelichting</w:t>
            </w:r>
          </w:p>
        </w:tc>
      </w:tr>
      <w:tr>
        <w:tc>
          <w:tcPr>
            <w:tcW w:type="dxa" w:w="3475"/>
          </w:tcPr>
          <w:p>
            <w:r>
              <w:rPr>
                <w:sz w:val="18"/>
              </w:rPr>
              <w:t>Plaatsingsfee</w:t>
            </w:r>
          </w:p>
        </w:tc>
        <w:tc>
          <w:tcPr>
            <w:tcW w:type="dxa" w:w="3475"/>
          </w:tcPr>
          <w:p>
            <w:r>
              <w:rPr>
                <w:sz w:val="18"/>
              </w:rPr>
              <w:t>€3.500 - €5.000 per kandidaat</w:t>
            </w:r>
          </w:p>
        </w:tc>
        <w:tc>
          <w:tcPr>
            <w:tcW w:type="dxa" w:w="3475"/>
          </w:tcPr>
          <w:p>
            <w:r>
              <w:rPr>
                <w:sz w:val="18"/>
              </w:rPr>
              <w:t>Betaald door zorginstelling bij succesvolle start</w:t>
            </w:r>
          </w:p>
        </w:tc>
      </w:tr>
      <w:tr>
        <w:tc>
          <w:tcPr>
            <w:tcW w:type="dxa" w:w="3475"/>
          </w:tcPr>
          <w:p>
            <w:r>
              <w:rPr>
                <w:sz w:val="18"/>
              </w:rPr>
              <w:t>Servicefee</w:t>
            </w:r>
          </w:p>
        </w:tc>
        <w:tc>
          <w:tcPr>
            <w:tcW w:type="dxa" w:w="3475"/>
          </w:tcPr>
          <w:p>
            <w:r>
              <w:rPr>
                <w:sz w:val="18"/>
              </w:rPr>
              <w:t>€150 - €250 per maand</w:t>
            </w:r>
          </w:p>
        </w:tc>
        <w:tc>
          <w:tcPr>
            <w:tcW w:type="dxa" w:w="3475"/>
          </w:tcPr>
          <w:p>
            <w:r>
              <w:rPr>
                <w:sz w:val="18"/>
              </w:rPr>
              <w:t>Nazorg, administratie, begeleiding</w:t>
            </w:r>
          </w:p>
        </w:tc>
      </w:tr>
      <w:tr>
        <w:tc>
          <w:tcPr>
            <w:tcW w:type="dxa" w:w="3475"/>
          </w:tcPr>
          <w:p>
            <w:r>
              <w:rPr>
                <w:sz w:val="18"/>
              </w:rPr>
              <w:t>Huisvestingscoördinatie</w:t>
            </w:r>
          </w:p>
        </w:tc>
        <w:tc>
          <w:tcPr>
            <w:tcW w:type="dxa" w:w="3475"/>
          </w:tcPr>
          <w:p>
            <w:r>
              <w:rPr>
                <w:sz w:val="18"/>
              </w:rPr>
              <w:t>€50 - €150 marge per maand</w:t>
            </w:r>
          </w:p>
        </w:tc>
        <w:tc>
          <w:tcPr>
            <w:tcW w:type="dxa" w:w="3475"/>
          </w:tcPr>
          <w:p>
            <w:r>
              <w:rPr>
                <w:sz w:val="18"/>
              </w:rPr>
              <w:t>Alleen transparant en contractueel vastleggen</w:t>
            </w:r>
          </w:p>
        </w:tc>
      </w:tr>
      <w:tr>
        <w:tc>
          <w:tcPr>
            <w:tcW w:type="dxa" w:w="3475"/>
          </w:tcPr>
          <w:p>
            <w:r>
              <w:rPr>
                <w:sz w:val="18"/>
              </w:rPr>
              <w:t>Subsidies</w:t>
            </w:r>
          </w:p>
        </w:tc>
        <w:tc>
          <w:tcPr>
            <w:tcW w:type="dxa" w:w="3475"/>
          </w:tcPr>
          <w:p>
            <w:r>
              <w:rPr>
                <w:sz w:val="18"/>
              </w:rPr>
              <w:t>€250.000 - €2.000.000+</w:t>
            </w:r>
          </w:p>
        </w:tc>
        <w:tc>
          <w:tcPr>
            <w:tcW w:type="dxa" w:w="3475"/>
          </w:tcPr>
          <w:p>
            <w:r>
              <w:rPr>
                <w:sz w:val="18"/>
              </w:rPr>
              <w:t>Via stichting voor opleiding/integratie</w:t>
            </w:r>
          </w:p>
        </w:tc>
      </w:tr>
      <w:tr>
        <w:tc>
          <w:tcPr>
            <w:tcW w:type="dxa" w:w="3475"/>
          </w:tcPr>
          <w:p>
            <w:r>
              <w:rPr>
                <w:sz w:val="18"/>
              </w:rPr>
              <w:t>Detachering</w:t>
            </w:r>
          </w:p>
        </w:tc>
        <w:tc>
          <w:tcPr>
            <w:tcW w:type="dxa" w:w="3475"/>
          </w:tcPr>
          <w:p>
            <w:r>
              <w:rPr>
                <w:sz w:val="18"/>
              </w:rPr>
              <w:t>Later fase 2/3</w:t>
            </w:r>
          </w:p>
        </w:tc>
        <w:tc>
          <w:tcPr>
            <w:tcW w:type="dxa" w:w="3475"/>
          </w:tcPr>
          <w:p>
            <w:r>
              <w:rPr>
                <w:sz w:val="18"/>
              </w:rPr>
              <w:t>Alleen na volledige arbeidsrechtelijke toetsing</w:t>
            </w:r>
          </w:p>
        </w:tc>
      </w:tr>
    </w:tbl>
    <w:p/>
    <w:p>
      <w:pPr>
        <w:pStyle w:val="Heading1"/>
      </w:pPr>
      <w:r>
        <w:t>5. Pilot</w:t>
      </w:r>
    </w:p>
    <w:p>
      <w:r>
        <w:t>De pilot richt zich op 25 kandidaten in jaar 1. Doel: bewijzen dat de juridische route, taaltraining, huisvesting, zorginstellingcontracten en kandidaatbegeleiding werken. Daarna opschalen naar 50 kandidaten in jaar 2 en 150 kandidaten in jaar 3.</w:t>
      </w:r>
    </w:p>
    <w:p>
      <w:pPr>
        <w:pStyle w:val="Heading1"/>
      </w:pPr>
      <w:r>
        <w:t>6. Risico en beperking</w:t>
      </w:r>
    </w:p>
    <w:tbl>
      <w:tblPr>
        <w:tblStyle w:val="TableGrid"/>
        <w:tblW w:type="auto" w:w="0"/>
        <w:jc w:val="center"/>
        <w:tblLook w:firstColumn="1" w:firstRow="1" w:lastColumn="0" w:lastRow="0" w:noHBand="0" w:noVBand="1" w:val="04A0"/>
      </w:tblPr>
      <w:tblGrid>
        <w:gridCol w:w="5213"/>
        <w:gridCol w:w="5213"/>
      </w:tblGrid>
      <w:tr>
        <w:tc>
          <w:tcPr>
            <w:tcW w:type="dxa" w:w="5213"/>
            <w:shd w:fill="1E40AF"/>
          </w:tcPr>
          <w:p>
            <w:r>
              <w:rPr>
                <w:b/>
                <w:color w:val="FFFFFF"/>
                <w:sz w:val="18"/>
              </w:rPr>
              <w:t>Risico</w:t>
            </w:r>
          </w:p>
        </w:tc>
        <w:tc>
          <w:tcPr>
            <w:tcW w:type="dxa" w:w="5213"/>
            <w:shd w:fill="1E40AF"/>
          </w:tcPr>
          <w:p>
            <w:r>
              <w:rPr>
                <w:b/>
                <w:color w:val="FFFFFF"/>
                <w:sz w:val="18"/>
              </w:rPr>
              <w:t>Beperking</w:t>
            </w:r>
          </w:p>
        </w:tc>
      </w:tr>
      <w:tr>
        <w:tc>
          <w:tcPr>
            <w:tcW w:type="dxa" w:w="5213"/>
          </w:tcPr>
          <w:p>
            <w:r>
              <w:rPr>
                <w:sz w:val="18"/>
              </w:rPr>
              <w:t>Geen KRAZ</w:t>
            </w:r>
          </w:p>
        </w:tc>
        <w:tc>
          <w:tcPr>
            <w:tcW w:type="dxa" w:w="5213"/>
          </w:tcPr>
          <w:p>
            <w:r>
              <w:rPr>
                <w:sz w:val="18"/>
              </w:rPr>
              <w:t>Niet bemiddelen voordat registratie rond is</w:t>
            </w:r>
          </w:p>
        </w:tc>
      </w:tr>
      <w:tr>
        <w:tc>
          <w:tcPr>
            <w:tcW w:type="dxa" w:w="5213"/>
          </w:tcPr>
          <w:p>
            <w:r>
              <w:rPr>
                <w:sz w:val="18"/>
              </w:rPr>
              <w:t>Diploma niet erkend</w:t>
            </w:r>
          </w:p>
        </w:tc>
        <w:tc>
          <w:tcPr>
            <w:tcW w:type="dxa" w:w="5213"/>
          </w:tcPr>
          <w:p>
            <w:r>
              <w:rPr>
                <w:sz w:val="18"/>
              </w:rPr>
              <w:t>Starten met ondersteunende functies</w:t>
            </w:r>
          </w:p>
        </w:tc>
      </w:tr>
      <w:tr>
        <w:tc>
          <w:tcPr>
            <w:tcW w:type="dxa" w:w="5213"/>
          </w:tcPr>
          <w:p>
            <w:r>
              <w:rPr>
                <w:sz w:val="18"/>
              </w:rPr>
              <w:t>Taalniveau onvoldoende</w:t>
            </w:r>
          </w:p>
        </w:tc>
        <w:tc>
          <w:tcPr>
            <w:tcW w:type="dxa" w:w="5213"/>
          </w:tcPr>
          <w:p>
            <w:r>
              <w:rPr>
                <w:sz w:val="18"/>
              </w:rPr>
              <w:t>Taaltraject in Colombia + Polen</w:t>
            </w:r>
          </w:p>
        </w:tc>
      </w:tr>
      <w:tr>
        <w:tc>
          <w:tcPr>
            <w:tcW w:type="dxa" w:w="5213"/>
          </w:tcPr>
          <w:p>
            <w:r>
              <w:rPr>
                <w:sz w:val="18"/>
              </w:rPr>
              <w:t>Huisvesting lastig</w:t>
            </w:r>
          </w:p>
        </w:tc>
        <w:tc>
          <w:tcPr>
            <w:tcW w:type="dxa" w:w="5213"/>
          </w:tcPr>
          <w:p>
            <w:r>
              <w:rPr>
                <w:sz w:val="18"/>
              </w:rPr>
              <w:t>Vooraf woonpartners contracteren</w:t>
            </w:r>
          </w:p>
        </w:tc>
      </w:tr>
      <w:tr>
        <w:tc>
          <w:tcPr>
            <w:tcW w:type="dxa" w:w="5213"/>
          </w:tcPr>
          <w:p>
            <w:r>
              <w:rPr>
                <w:sz w:val="18"/>
              </w:rPr>
              <w:t>Subsidie niet toegekend</w:t>
            </w:r>
          </w:p>
        </w:tc>
        <w:tc>
          <w:tcPr>
            <w:tcW w:type="dxa" w:w="5213"/>
          </w:tcPr>
          <w:p>
            <w:r>
              <w:rPr>
                <w:sz w:val="18"/>
              </w:rPr>
              <w:t>Privaat pilotmodel parallel opzetten</w:t>
            </w:r>
          </w:p>
        </w:tc>
      </w:tr>
      <w:tr>
        <w:tc>
          <w:tcPr>
            <w:tcW w:type="dxa" w:w="5213"/>
          </w:tcPr>
          <w:p>
            <w:r>
              <w:rPr>
                <w:sz w:val="18"/>
              </w:rPr>
              <w:t>Vermenging stichting/bedrijf</w:t>
            </w:r>
          </w:p>
        </w:tc>
        <w:tc>
          <w:tcPr>
            <w:tcW w:type="dxa" w:w="5213"/>
          </w:tcPr>
          <w:p>
            <w:r>
              <w:rPr>
                <w:sz w:val="18"/>
              </w:rPr>
              <w:t>Gescheiden administratie, contracten en bankrekeningen</w:t>
            </w:r>
          </w:p>
        </w:tc>
      </w:tr>
    </w:tbl>
    <w:p/>
    <w:p>
      <w:r>
        <w:br w:type="page"/>
      </w:r>
    </w:p>
    <w:p>
      <w:pPr>
        <w:pStyle w:val="Title"/>
      </w:pPr>
      <w:r>
        <w:t>PARTE B - ESPAÑOL</w:t>
      </w:r>
    </w:p>
    <w:p>
      <w:pPr>
        <w:pStyle w:val="Heading1"/>
      </w:pPr>
      <w:r>
        <w:t>1. Resumen ejecutivo</w:t>
      </w:r>
    </w:p>
    <w:p>
      <w:r>
        <w:t>Honor Care Poland es un proyecto social y comercial para guiar a profesionales sanitarios colombianos hacia el mercado polaco de forma segura, legal y bien preparada. La estructura combina una fundación para subvenciones e integración, y una empresa operativa para contratos comerciales, reclutamiento, alojamiento y gestión diaria.</w:t>
      </w:r>
    </w:p>
    <w:p>
      <w:pPr>
        <w:pStyle w:val="Heading1"/>
      </w:pPr>
      <w:r>
        <w:t>2. Estructura</w:t>
      </w:r>
    </w:p>
    <w:p>
      <w:r>
        <w:t>La fundación se encarga de subvenciones, formación lingüística e integración social. La empresa operativa se encarga de clientes, contratos, selección, facturación y servicios. En Colombia se trabaja con una entidad o socio local en Bogotá para reclutamiento, verificación de documentos y preparación.</w:t>
      </w:r>
    </w:p>
    <w:p>
      <w:pPr>
        <w:pStyle w:val="Heading1"/>
      </w:pPr>
      <w:r>
        <w:t>3. Estrategia</w:t>
      </w:r>
    </w:p>
    <w:p>
      <w:r>
        <w:t>La primera fase debe centrarse en residencias, atención domiciliaria, rehabilitación, clínicas privadas y funciones de apoyo sanitario. Las profesiones reguladas requieren reconocimiento de títulos, idioma y registro profesional.</w:t>
      </w:r>
    </w:p>
    <w:p>
      <w:pPr>
        <w:pStyle w:val="Heading1"/>
      </w:pPr>
      <w:r>
        <w:t>4. Modelo financiero</w:t>
      </w:r>
    </w:p>
    <w:p>
      <w:r>
        <w:t>Ingresos: fee de colocación, fee mensual de servicio, coordinación de vivienda y, en fases posteriores, posible empleo temporal. Las subvenciones se solicitan a través de la fundación y deben mantenerse separadas de las actividades comerciales.</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