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48"/>
        </w:rPr>
        <w:t>HONOR CARE POLAND</w:t>
      </w:r>
    </w:p>
    <w:p>
      <w:pPr>
        <w:jc w:val="center"/>
      </w:pPr>
      <w:r>
        <w:rPr>
          <w:b/>
          <w:sz w:val="36"/>
        </w:rPr>
        <w:t>Subsidiedossier AMIF / FERS / ESF+</w:t>
      </w:r>
    </w:p>
    <w:p>
      <w:pPr>
        <w:jc w:val="center"/>
      </w:pPr>
      <w:r>
        <w:rPr>
          <w:i/>
          <w:sz w:val="24"/>
        </w:rPr>
        <w:t>Projectformat en begroting</w:t>
      </w:r>
    </w:p>
    <w:p>
      <w:pPr>
        <w:jc w:val="center"/>
      </w:pPr>
      <w:r>
        <w:t>Werkdocument - laten controleren door Poolse advocaat, accountant en subsidieadviseur.</w:t>
      </w:r>
    </w:p>
    <w:p>
      <w:r>
        <w:br w:type="page"/>
      </w:r>
    </w:p>
    <w:p>
      <w:pPr>
        <w:pStyle w:val="Heading1"/>
      </w:pPr>
      <w:r>
        <w:t>1. Subsidiestrategie</w:t>
      </w:r>
    </w:p>
    <w:p>
      <w:r>
        <w:t>Presenteer het project niet als “goedkope arbeidsmigratie”, maar als arbeidsmarktintegratie, taalontwikkeling, veilige legale migratie en versterking van de Poolse zorgcapaciteit. De stichting is de logische aanvrager. De werkmaatschappij kan cofinanciering en uitvoering leveren, mits belangenverstrengeling wordt vermeden.</w:t>
      </w:r>
    </w:p>
    <w:p>
      <w:pPr>
        <w:pStyle w:val="Heading1"/>
      </w:pPr>
      <w:r>
        <w:t>2. Programma’s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shd w:fill="1E40AF"/>
          </w:tcPr>
          <w:p>
            <w:r>
              <w:rPr>
                <w:b/>
                <w:color w:val="FFFFFF"/>
                <w:sz w:val="18"/>
              </w:rPr>
              <w:t>Programma</w:t>
            </w:r>
          </w:p>
        </w:tc>
        <w:tc>
          <w:tcPr>
            <w:tcW w:type="dxa" w:w="2606"/>
            <w:shd w:fill="1E40AF"/>
          </w:tcPr>
          <w:p>
            <w:r>
              <w:rPr>
                <w:b/>
                <w:color w:val="FFFFFF"/>
                <w:sz w:val="18"/>
              </w:rPr>
              <w:t>Aanvrager</w:t>
            </w:r>
          </w:p>
        </w:tc>
        <w:tc>
          <w:tcPr>
            <w:tcW w:type="dxa" w:w="2606"/>
            <w:shd w:fill="1E40AF"/>
          </w:tcPr>
          <w:p>
            <w:r>
              <w:rPr>
                <w:b/>
                <w:color w:val="FFFFFF"/>
                <w:sz w:val="18"/>
              </w:rPr>
              <w:t>Waarvoor</w:t>
            </w:r>
          </w:p>
        </w:tc>
        <w:tc>
          <w:tcPr>
            <w:tcW w:type="dxa" w:w="2606"/>
            <w:shd w:fill="1E40AF"/>
          </w:tcPr>
          <w:p>
            <w:r>
              <w:rPr>
                <w:b/>
                <w:color w:val="FFFFFF"/>
                <w:sz w:val="18"/>
              </w:rPr>
              <w:t>Aanvraagroute</w:t>
            </w:r>
          </w:p>
        </w:tc>
      </w:tr>
      <w:tr>
        <w:tc>
          <w:tcPr>
            <w:tcW w:type="dxa" w:w="2606"/>
          </w:tcPr>
          <w:p>
            <w:r>
              <w:rPr>
                <w:sz w:val="18"/>
              </w:rPr>
              <w:t>AMIF Polen</w:t>
            </w:r>
          </w:p>
        </w:tc>
        <w:tc>
          <w:tcPr>
            <w:tcW w:type="dxa" w:w="2606"/>
          </w:tcPr>
          <w:p>
            <w:r>
              <w:rPr>
                <w:sz w:val="18"/>
              </w:rPr>
              <w:t>Fundacja</w:t>
            </w:r>
          </w:p>
        </w:tc>
        <w:tc>
          <w:tcPr>
            <w:tcW w:type="dxa" w:w="2606"/>
          </w:tcPr>
          <w:p>
            <w:r>
              <w:rPr>
                <w:sz w:val="18"/>
              </w:rPr>
              <w:t>Integratie derdelanders, taal, begeleiding, legale migratie</w:t>
            </w:r>
          </w:p>
        </w:tc>
        <w:tc>
          <w:tcPr>
            <w:tcW w:type="dxa" w:w="2606"/>
          </w:tcPr>
          <w:p>
            <w:r>
              <w:rPr>
                <w:sz w:val="18"/>
              </w:rPr>
              <w:t>Poolse AMIF calls / ministerie</w:t>
            </w:r>
          </w:p>
        </w:tc>
      </w:tr>
      <w:tr>
        <w:tc>
          <w:tcPr>
            <w:tcW w:type="dxa" w:w="2606"/>
          </w:tcPr>
          <w:p>
            <w:r>
              <w:rPr>
                <w:sz w:val="18"/>
              </w:rPr>
              <w:t>FERS</w:t>
            </w:r>
          </w:p>
        </w:tc>
        <w:tc>
          <w:tcPr>
            <w:tcW w:type="dxa" w:w="2606"/>
          </w:tcPr>
          <w:p>
            <w:r>
              <w:rPr>
                <w:sz w:val="18"/>
              </w:rPr>
              <w:t>Fundacja of consortium</w:t>
            </w:r>
          </w:p>
        </w:tc>
        <w:tc>
          <w:tcPr>
            <w:tcW w:type="dxa" w:w="2606"/>
          </w:tcPr>
          <w:p>
            <w:r>
              <w:rPr>
                <w:sz w:val="18"/>
              </w:rPr>
              <w:t>Skills, werk, sociale inclusie, gezondheid</w:t>
            </w:r>
          </w:p>
        </w:tc>
        <w:tc>
          <w:tcPr>
            <w:tcW w:type="dxa" w:w="2606"/>
          </w:tcPr>
          <w:p>
            <w:r>
              <w:rPr>
                <w:sz w:val="18"/>
              </w:rPr>
              <w:t>Fundusze Europejskie</w:t>
            </w:r>
          </w:p>
        </w:tc>
      </w:tr>
      <w:tr>
        <w:tc>
          <w:tcPr>
            <w:tcW w:type="dxa" w:w="2606"/>
          </w:tcPr>
          <w:p>
            <w:r>
              <w:rPr>
                <w:sz w:val="18"/>
              </w:rPr>
              <w:t>Regionale ESF+</w:t>
            </w:r>
          </w:p>
        </w:tc>
        <w:tc>
          <w:tcPr>
            <w:tcW w:type="dxa" w:w="2606"/>
          </w:tcPr>
          <w:p>
            <w:r>
              <w:rPr>
                <w:sz w:val="18"/>
              </w:rPr>
              <w:t>Fundacja + regionale partners</w:t>
            </w:r>
          </w:p>
        </w:tc>
        <w:tc>
          <w:tcPr>
            <w:tcW w:type="dxa" w:w="2606"/>
          </w:tcPr>
          <w:p>
            <w:r>
              <w:rPr>
                <w:sz w:val="18"/>
              </w:rPr>
              <w:t>Opleiding, zorgdiensten, arbeidsmarkt</w:t>
            </w:r>
          </w:p>
        </w:tc>
        <w:tc>
          <w:tcPr>
            <w:tcW w:type="dxa" w:w="2606"/>
          </w:tcPr>
          <w:p>
            <w:r>
              <w:rPr>
                <w:sz w:val="18"/>
              </w:rPr>
              <w:t>Województwo-programma</w:t>
            </w:r>
          </w:p>
        </w:tc>
      </w:tr>
      <w:tr>
        <w:tc>
          <w:tcPr>
            <w:tcW w:type="dxa" w:w="2606"/>
          </w:tcPr>
          <w:p>
            <w:r>
              <w:rPr>
                <w:sz w:val="18"/>
              </w:rPr>
              <w:t>EU Funding &amp; Tenders</w:t>
            </w:r>
          </w:p>
        </w:tc>
        <w:tc>
          <w:tcPr>
            <w:tcW w:type="dxa" w:w="2606"/>
          </w:tcPr>
          <w:p>
            <w:r>
              <w:rPr>
                <w:sz w:val="18"/>
              </w:rPr>
              <w:t>Consortium</w:t>
            </w:r>
          </w:p>
        </w:tc>
        <w:tc>
          <w:tcPr>
            <w:tcW w:type="dxa" w:w="2606"/>
          </w:tcPr>
          <w:p>
            <w:r>
              <w:rPr>
                <w:sz w:val="18"/>
              </w:rPr>
              <w:t>Transnationale projecten</w:t>
            </w:r>
          </w:p>
        </w:tc>
        <w:tc>
          <w:tcPr>
            <w:tcW w:type="dxa" w:w="2606"/>
          </w:tcPr>
          <w:p>
            <w:r>
              <w:rPr>
                <w:sz w:val="18"/>
              </w:rPr>
              <w:t>EU portaal</w:t>
            </w:r>
          </w:p>
        </w:tc>
      </w:tr>
    </w:tbl>
    <w:p/>
    <w:p>
      <w:pPr>
        <w:pStyle w:val="Heading1"/>
      </w:pPr>
      <w:r>
        <w:t>3. Pilotbegroting</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E40AF"/>
          </w:tcPr>
          <w:p>
            <w:r>
              <w:rPr>
                <w:b/>
                <w:color w:val="FFFFFF"/>
                <w:sz w:val="18"/>
              </w:rPr>
              <w:t>Kostenpost</w:t>
            </w:r>
          </w:p>
        </w:tc>
        <w:tc>
          <w:tcPr>
            <w:tcW w:type="dxa" w:w="3475"/>
            <w:shd w:fill="1E40AF"/>
          </w:tcPr>
          <w:p>
            <w:r>
              <w:rPr>
                <w:b/>
                <w:color w:val="FFFFFF"/>
                <w:sz w:val="18"/>
              </w:rPr>
              <w:t>Bedrag</w:t>
            </w:r>
          </w:p>
        </w:tc>
        <w:tc>
          <w:tcPr>
            <w:tcW w:type="dxa" w:w="3475"/>
            <w:shd w:fill="1E40AF"/>
          </w:tcPr>
          <w:p>
            <w:r>
              <w:rPr>
                <w:b/>
                <w:color w:val="FFFFFF"/>
                <w:sz w:val="18"/>
              </w:rPr>
              <w:t>Financiering</w:t>
            </w:r>
          </w:p>
        </w:tc>
      </w:tr>
      <w:tr>
        <w:tc>
          <w:tcPr>
            <w:tcW w:type="dxa" w:w="3475"/>
          </w:tcPr>
          <w:p>
            <w:r>
              <w:rPr>
                <w:sz w:val="18"/>
              </w:rPr>
              <w:t>Projectmanagement</w:t>
            </w:r>
          </w:p>
        </w:tc>
        <w:tc>
          <w:tcPr>
            <w:tcW w:type="dxa" w:w="3475"/>
          </w:tcPr>
          <w:p>
            <w:r>
              <w:rPr>
                <w:sz w:val="18"/>
              </w:rPr>
              <w:t>€75.000</w:t>
            </w:r>
          </w:p>
        </w:tc>
        <w:tc>
          <w:tcPr>
            <w:tcW w:type="dxa" w:w="3475"/>
          </w:tcPr>
          <w:p>
            <w:r>
              <w:rPr>
                <w:sz w:val="18"/>
              </w:rPr>
              <w:t>Subsidie/cofinanciering</w:t>
            </w:r>
          </w:p>
        </w:tc>
      </w:tr>
      <w:tr>
        <w:tc>
          <w:tcPr>
            <w:tcW w:type="dxa" w:w="3475"/>
          </w:tcPr>
          <w:p>
            <w:r>
              <w:rPr>
                <w:sz w:val="18"/>
              </w:rPr>
              <w:t>Taalopleiding Pools</w:t>
            </w:r>
          </w:p>
        </w:tc>
        <w:tc>
          <w:tcPr>
            <w:tcW w:type="dxa" w:w="3475"/>
          </w:tcPr>
          <w:p>
            <w:r>
              <w:rPr>
                <w:sz w:val="18"/>
              </w:rPr>
              <w:t>€150.000</w:t>
            </w:r>
          </w:p>
        </w:tc>
        <w:tc>
          <w:tcPr>
            <w:tcW w:type="dxa" w:w="3475"/>
          </w:tcPr>
          <w:p>
            <w:r>
              <w:rPr>
                <w:sz w:val="18"/>
              </w:rPr>
              <w:t>Subsidie</w:t>
            </w:r>
          </w:p>
        </w:tc>
      </w:tr>
      <w:tr>
        <w:tc>
          <w:tcPr>
            <w:tcW w:type="dxa" w:w="3475"/>
          </w:tcPr>
          <w:p>
            <w:r>
              <w:rPr>
                <w:sz w:val="18"/>
              </w:rPr>
              <w:t>Integratiebegeleiding</w:t>
            </w:r>
          </w:p>
        </w:tc>
        <w:tc>
          <w:tcPr>
            <w:tcW w:type="dxa" w:w="3475"/>
          </w:tcPr>
          <w:p>
            <w:r>
              <w:rPr>
                <w:sz w:val="18"/>
              </w:rPr>
              <w:t>€65.000</w:t>
            </w:r>
          </w:p>
        </w:tc>
        <w:tc>
          <w:tcPr>
            <w:tcW w:type="dxa" w:w="3475"/>
          </w:tcPr>
          <w:p>
            <w:r>
              <w:rPr>
                <w:sz w:val="18"/>
              </w:rPr>
              <w:t>Subsidie</w:t>
            </w:r>
          </w:p>
        </w:tc>
      </w:tr>
      <w:tr>
        <w:tc>
          <w:tcPr>
            <w:tcW w:type="dxa" w:w="3475"/>
          </w:tcPr>
          <w:p>
            <w:r>
              <w:rPr>
                <w:sz w:val="18"/>
              </w:rPr>
              <w:t>Juridische/migratiebegeleiding</w:t>
            </w:r>
          </w:p>
        </w:tc>
        <w:tc>
          <w:tcPr>
            <w:tcW w:type="dxa" w:w="3475"/>
          </w:tcPr>
          <w:p>
            <w:r>
              <w:rPr>
                <w:sz w:val="18"/>
              </w:rPr>
              <w:t>€45.000</w:t>
            </w:r>
          </w:p>
        </w:tc>
        <w:tc>
          <w:tcPr>
            <w:tcW w:type="dxa" w:w="3475"/>
          </w:tcPr>
          <w:p>
            <w:r>
              <w:rPr>
                <w:sz w:val="18"/>
              </w:rPr>
              <w:t>Subsidie/privaat</w:t>
            </w:r>
          </w:p>
        </w:tc>
      </w:tr>
      <w:tr>
        <w:tc>
          <w:tcPr>
            <w:tcW w:type="dxa" w:w="3475"/>
          </w:tcPr>
          <w:p>
            <w:r>
              <w:rPr>
                <w:sz w:val="18"/>
              </w:rPr>
              <w:t>Screening Colombia</w:t>
            </w:r>
          </w:p>
        </w:tc>
        <w:tc>
          <w:tcPr>
            <w:tcW w:type="dxa" w:w="3475"/>
          </w:tcPr>
          <w:p>
            <w:r>
              <w:rPr>
                <w:sz w:val="18"/>
              </w:rPr>
              <w:t>€50.000</w:t>
            </w:r>
          </w:p>
        </w:tc>
        <w:tc>
          <w:tcPr>
            <w:tcW w:type="dxa" w:w="3475"/>
          </w:tcPr>
          <w:p>
            <w:r>
              <w:rPr>
                <w:sz w:val="18"/>
              </w:rPr>
              <w:t>Privaat/deels subsidie</w:t>
            </w:r>
          </w:p>
        </w:tc>
      </w:tr>
      <w:tr>
        <w:tc>
          <w:tcPr>
            <w:tcW w:type="dxa" w:w="3475"/>
          </w:tcPr>
          <w:p>
            <w:r>
              <w:rPr>
                <w:sz w:val="18"/>
              </w:rPr>
              <w:t>Huisvesting startfase</w:t>
            </w:r>
          </w:p>
        </w:tc>
        <w:tc>
          <w:tcPr>
            <w:tcW w:type="dxa" w:w="3475"/>
          </w:tcPr>
          <w:p>
            <w:r>
              <w:rPr>
                <w:sz w:val="18"/>
              </w:rPr>
              <w:t>€120.000</w:t>
            </w:r>
          </w:p>
        </w:tc>
        <w:tc>
          <w:tcPr>
            <w:tcW w:type="dxa" w:w="3475"/>
          </w:tcPr>
          <w:p>
            <w:r>
              <w:rPr>
                <w:sz w:val="18"/>
              </w:rPr>
              <w:t>Privaat/deels subsidie</w:t>
            </w:r>
          </w:p>
        </w:tc>
      </w:tr>
      <w:tr>
        <w:tc>
          <w:tcPr>
            <w:tcW w:type="dxa" w:w="3475"/>
          </w:tcPr>
          <w:p>
            <w:r>
              <w:rPr>
                <w:sz w:val="18"/>
              </w:rPr>
              <w:t>Monitoring</w:t>
            </w:r>
          </w:p>
        </w:tc>
        <w:tc>
          <w:tcPr>
            <w:tcW w:type="dxa" w:w="3475"/>
          </w:tcPr>
          <w:p>
            <w:r>
              <w:rPr>
                <w:sz w:val="18"/>
              </w:rPr>
              <w:t>€35.000</w:t>
            </w:r>
          </w:p>
        </w:tc>
        <w:tc>
          <w:tcPr>
            <w:tcW w:type="dxa" w:w="3475"/>
          </w:tcPr>
          <w:p>
            <w:r>
              <w:rPr>
                <w:sz w:val="18"/>
              </w:rPr>
              <w:t>Subsidie</w:t>
            </w:r>
          </w:p>
        </w:tc>
      </w:tr>
      <w:tr>
        <w:tc>
          <w:tcPr>
            <w:tcW w:type="dxa" w:w="3475"/>
          </w:tcPr>
          <w:p>
            <w:r>
              <w:rPr>
                <w:sz w:val="18"/>
              </w:rPr>
              <w:t>Totaal</w:t>
            </w:r>
          </w:p>
        </w:tc>
        <w:tc>
          <w:tcPr>
            <w:tcW w:type="dxa" w:w="3475"/>
          </w:tcPr>
          <w:p>
            <w:r>
              <w:rPr>
                <w:sz w:val="18"/>
              </w:rPr>
              <w:t>€540.000</w:t>
            </w:r>
          </w:p>
        </w:tc>
        <w:tc>
          <w:tcPr>
            <w:tcW w:type="dxa" w:w="3475"/>
          </w:tcPr>
          <w:p>
            <w:r>
              <w:rPr>
                <w:sz w:val="18"/>
              </w:rPr>
              <w:t>Mix</w:t>
            </w:r>
          </w:p>
        </w:tc>
      </w:tr>
    </w:tbl>
    <w:p/>
    <w:p>
      <w:pPr>
        <w:pStyle w:val="Heading1"/>
      </w:pPr>
      <w:r>
        <w:t>4. Bijlagen subsidieaanvraag</w:t>
      </w:r>
    </w:p>
    <w:p>
      <w:r>
        <w:t>KRS-uittreksel stichting, statuten, bestuursbesluit, projectplan, begroting, cashflow, partnerschapsbrieven, CV projectteam, privacybeleid, risicoanalyse, communicatieplan, bewijs cofinanciering, offertes taaltraining en integratiebegeleiding.</w:t>
      </w:r>
    </w:p>
    <w:p>
      <w:pPr>
        <w:pStyle w:val="Heading1"/>
      </w:pPr>
      <w:r>
        <w:t>Resumen español</w:t>
      </w:r>
    </w:p>
    <w:p>
      <w:r>
        <w:t>La solicitud debe presentarse como integración laboral, formación lingüística y fortalecimiento del sector sanitario polaco. La fundación solicita subvenciones y la empresa aporta ejecución o cofinanciación con separación contable.</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