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8"/>
        </w:rPr>
        <w:t>HONOR CARE POLAND</w:t>
      </w:r>
    </w:p>
    <w:p>
      <w:pPr>
        <w:jc w:val="center"/>
      </w:pPr>
      <w:r>
        <w:rPr>
          <w:b/>
          <w:sz w:val="36"/>
        </w:rPr>
        <w:t>Conceptcontracten &amp; templates</w:t>
      </w:r>
    </w:p>
    <w:p>
      <w:pPr>
        <w:jc w:val="center"/>
      </w:pPr>
      <w:r>
        <w:rPr>
          <w:i/>
          <w:sz w:val="24"/>
        </w:rPr>
        <w:t>Laten controleren door Poolse advocaat</w:t>
      </w:r>
    </w:p>
    <w:p>
      <w:pPr>
        <w:jc w:val="center"/>
      </w:pPr>
      <w:r>
        <w:t>Werkdocument - laten controleren door Poolse advocaat, accountant en subsidieadviseur.</w:t>
      </w:r>
    </w:p>
    <w:p>
      <w:r>
        <w:br w:type="page"/>
      </w:r>
    </w:p>
    <w:p>
      <w:pPr>
        <w:pStyle w:val="Heading1"/>
      </w:pPr>
      <w:r>
        <w:t>1. LOI zorginstelling</w:t>
      </w:r>
    </w:p>
    <w:p>
      <w:r>
        <w:t>Concept: De zorginstelling verklaart interesse in samenwerking voor de voorbereiding en plaatsing van internationale zorgmedewerkers. De zorginstelling noemt functies, aantallen, taalniveau, salarisindicatie, onboarding, contactpersoon en gewenste startdatum.</w:t>
      </w:r>
    </w:p>
    <w:p>
      <w:pPr>
        <w:pStyle w:val="Heading1"/>
      </w:pPr>
      <w:r>
        <w:t>2. Kandidatenovereenkomst</w:t>
      </w:r>
    </w:p>
    <w:p>
      <w:r>
        <w:t>Concept: Kandidaat neemt deel aan selectie, taalprogramma en documentcontrole. Er is geen garantie op werk voordat werkgever en vergunningen rond zijn. Kosten, privacy, beëindiging en klachtenprocedure worden helder vastgelegd.</w:t>
      </w:r>
    </w:p>
    <w:p>
      <w:pPr>
        <w:pStyle w:val="Heading1"/>
      </w:pPr>
      <w:r>
        <w:t>3. Partnerovereenkomst Colombia</w:t>
      </w:r>
    </w:p>
    <w:p>
      <w:r>
        <w:t>Concept: Partner voert werving, intake en documentverzameling uit. Verboden zijn misleidende beloftes, ongeautoriseerde kandidaatkosten en advertenties zonder goedkeuring.</w:t>
      </w:r>
    </w:p>
    <w:p>
      <w:pPr>
        <w:pStyle w:val="Heading1"/>
      </w:pPr>
      <w:r>
        <w:t>4. Commerciële voorwaarden zorginstelling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1E40AF"/>
          </w:tcPr>
          <w:p>
            <w:r>
              <w:rPr>
                <w:b/>
                <w:color w:val="FFFFFF"/>
                <w:sz w:val="18"/>
              </w:rPr>
              <w:t>Onderdeel</w:t>
            </w:r>
          </w:p>
        </w:tc>
        <w:tc>
          <w:tcPr>
            <w:tcW w:type="dxa" w:w="5213"/>
            <w:shd w:fill="1E40AF"/>
          </w:tcPr>
          <w:p>
            <w:r>
              <w:rPr>
                <w:b/>
                <w:color w:val="FFFFFF"/>
                <w:sz w:val="18"/>
              </w:rPr>
              <w:t>Afspraak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Plaatsingsfee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€3.500 - €5.000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Servicefee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€150 - €250 per maand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Garantieperiode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60-90 dagen afhankelijk oorzaak vertrek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Werkgever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Contract, werkplek, onboarding, medische keuring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Honor Care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Selectie, begeleiding, documentflow, nazorg</w:t>
            </w:r>
          </w:p>
        </w:tc>
      </w:tr>
    </w:tbl>
    <w:p/>
    <w:p>
      <w:pPr>
        <w:pStyle w:val="Heading1"/>
      </w:pPr>
      <w:r>
        <w:t>Cláusulas resumen español</w:t>
      </w:r>
    </w:p>
    <w:p>
      <w:r>
        <w:t>Los contratos deben separar selección, formación, colocación, vivienda, protección de datos y responsabilidad migratoria. Todos los documentos finales deben ser revisados por un abogado polaco.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