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jc w:val="center"/>
      </w:pPr>
      <w:r>
        <w:rPr>
          <w:rFonts w:ascii="Arial" w:cs="Arial" w:eastAsia="Arial" w:hAnsi="Arial"/>
          <w:b/>
          <w:bCs/>
          <w:color w:val="1F3864"/>
          <w:sz w:val="40"/>
          <w:szCs w:val="40"/>
        </w:rPr>
        <w:t xml:space="preserve">RISK ANALYSIS AND ASSESSMENT</w:t>
      </w:r>
    </w:p>
    <w:p>
      <w:pPr>
        <w:spacing w:after="80"/>
        <w:jc w:val="center"/>
      </w:pPr>
      <w:r>
        <w:rPr>
          <w:rFonts w:ascii="Arial" w:cs="Arial" w:eastAsia="Arial" w:hAnsi="Arial"/>
          <w:i/>
          <w:iCs/>
          <w:color w:val="2E75B6"/>
          <w:sz w:val="28"/>
          <w:szCs w:val="28"/>
        </w:rPr>
        <w:t xml:space="preserve">Third Edition</w:t>
      </w:r>
    </w:p>
    <w:p>
      <w:pPr>
        <w:spacing w:after="400"/>
      </w:pPr>
      <w:r>
        <w:t xml:space="preserve"/>
      </w:r>
    </w:p>
    <w:p>
      <w:pPr>
        <w:spacing w:after="80"/>
        <w:jc w:val="center"/>
      </w:pPr>
      <w:r>
        <w:rPr>
          <w:rFonts w:ascii="Arial" w:cs="Arial" w:eastAsia="Arial" w:hAnsi="Arial"/>
          <w:b/>
          <w:bCs/>
          <w:color w:val="2E75B6"/>
          <w:sz w:val="24"/>
          <w:szCs w:val="24"/>
        </w:rPr>
        <w:t xml:space="preserve">PART III: CSMS IMPLEMENTATION AND MONITORING</w:t>
      </w:r>
    </w:p>
    <w:p>
      <w:pPr>
        <w:spacing w:after="800"/>
      </w:pPr>
      <w:r>
        <w:t xml:space="preserve"/>
      </w:r>
    </w:p>
    <w:p>
      <w:pPr>
        <w:spacing w:after="80"/>
        <w:jc w:val="center"/>
      </w:pPr>
      <w:r>
        <w:rPr>
          <w:rFonts w:ascii="Arial" w:cs="Arial" w:eastAsia="Arial" w:hAnsi="Arial"/>
          <w:b/>
          <w:bCs/>
          <w:color w:val="1F3864"/>
          <w:sz w:val="48"/>
          <w:szCs w:val="48"/>
        </w:rPr>
        <w:t xml:space="preserve">CHAPTER 12</w:t>
      </w:r>
    </w:p>
    <w:p>
      <w:pPr>
        <w:spacing w:after="80"/>
        <w:jc w:val="center"/>
      </w:pPr>
      <w:r>
        <w:rPr>
          <w:rFonts w:ascii="Arial" w:cs="Arial" w:eastAsia="Arial" w:hAnsi="Arial"/>
          <w:b/>
          <w:bCs/>
          <w:color w:val="1F3864"/>
          <w:sz w:val="36"/>
          <w:szCs w:val="36"/>
        </w:rPr>
        <w:t xml:space="preserve">Countermeasure Implementation:</w:t>
      </w:r>
    </w:p>
    <w:p>
      <w:pPr>
        <w:spacing w:after="160"/>
        <w:jc w:val="center"/>
      </w:pPr>
      <w:r>
        <w:rPr>
          <w:rFonts w:ascii="Arial" w:cs="Arial" w:eastAsia="Arial" w:hAnsi="Arial"/>
          <w:b/>
          <w:bCs/>
          <w:color w:val="1F3864"/>
          <w:sz w:val="36"/>
          <w:szCs w:val="36"/>
        </w:rPr>
        <w:t xml:space="preserve">Technical Controls for OT Security</w:t>
      </w:r>
    </w:p>
    <w:p>
      <w:pPr>
        <w:spacing w:after="80"/>
        <w:jc w:val="center"/>
      </w:pPr>
      <w:r>
        <w:rPr>
          <w:rFonts w:ascii="Arial" w:cs="Arial" w:eastAsia="Arial" w:hAnsi="Arial"/>
          <w:i/>
          <w:iCs/>
          <w:color w:val="2E75B6"/>
          <w:sz w:val="22"/>
          <w:szCs w:val="22"/>
        </w:rPr>
        <w:t xml:space="preserve">Implementing the Countermeasure Architecture — From Security Level Targets to Deployed Controls</w:t>
      </w:r>
    </w:p>
    <w:p>
      <w:r>
        <w:br w:type="page"/>
      </w:r>
    </w:p>
    <w:p>
      <w:pPr>
        <w:spacing w:after="160" w:before="200"/>
      </w:pPr>
      <w:r>
        <w:rPr>
          <w:rFonts w:ascii="Arial" w:cs="Arial" w:eastAsia="Arial" w:hAnsi="Arial"/>
          <w:b/>
          <w:bCs/>
          <w:color w:val="1F3864"/>
          <w:sz w:val="28"/>
          <w:szCs w:val="28"/>
        </w:rPr>
        <w:t xml:space="preserve">Learning Outcomes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On completion of this chapter, the student will be able to:</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1.  Explain the relationship between Security Level Targets (SL-T) determined in the risk assessment and the specific technical countermeasures required to achieve those targets under IEC 62443-3-3, mapping Foundational Requirements (FRs) to System Requirements (SRs) at each security level.</w:t>
            </w:r>
          </w:p>
        </w:tc>
      </w:tr>
      <w:tr>
        <w:tc>
          <w:tcPr>
            <w:tcW w:type="dxa" w:w="9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60"/>
            </w:pPr>
            <w:r>
              <w:rPr>
                <w:rFonts w:ascii="Arial" w:cs="Arial" w:eastAsia="Arial" w:hAnsi="Arial"/>
                <w:sz w:val="20"/>
                <w:szCs w:val="20"/>
              </w:rPr>
              <w:t xml:space="preserve">2.  Design a zone and conduit architecture for an OT environment using the IEC 62443-3-2 methodology, applying the principles of defence-in-depth, least privilege, and network segmentation to a realistic industrial facility.</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3.  Specify and evaluate identity and access management (IAM) controls for OT systems, addressing the specific constraints of OT environments — shared accounts, legacy authentication, engineering workstation access, and remote access — and designing compensating controls where modern IAM cannot be directly applied.</w:t>
            </w:r>
          </w:p>
        </w:tc>
      </w:tr>
      <w:tr>
        <w:tc>
          <w:tcPr>
            <w:tcW w:type="dxa" w:w="9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60"/>
            </w:pPr>
            <w:r>
              <w:rPr>
                <w:rFonts w:ascii="Arial" w:cs="Arial" w:eastAsia="Arial" w:hAnsi="Arial"/>
                <w:sz w:val="20"/>
                <w:szCs w:val="20"/>
              </w:rPr>
              <w:t xml:space="preserve">4.  Explain the architecture and operational requirements of OT-specific intrusion detection and security monitoring solutions, distinguishing between passive network monitoring, active detection, and behavioural analytics approaches, and evaluating the trade-offs relevant to OT deployment.</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5.  Design a risk-based OT patch management programme that addresses the specific constraints of OT patching — vendor approval requirements, test environment limitations, production window constraints, and compensating controls for unpatchable systems.</w:t>
            </w:r>
          </w:p>
        </w:tc>
      </w:tr>
      <w:tr>
        <w:tc>
          <w:tcPr>
            <w:tcW w:type="dxa" w:w="9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60"/>
            </w:pPr>
            <w:r>
              <w:rPr>
                <w:rFonts w:ascii="Arial" w:cs="Arial" w:eastAsia="Arial" w:hAnsi="Arial"/>
                <w:sz w:val="20"/>
                <w:szCs w:val="20"/>
              </w:rPr>
              <w:t xml:space="preserve">6.  Evaluate the security implications of OT remote access architectures, specifying a technically sound remote access solution that addresses multi-factor authentication, privileged access management, session monitoring, and vendor access control requirements.</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7.  Explain the security requirements for OT data flows across zone boundaries — historian data, engineering access, IT/OT integration — and specify the technical controls (unidirectional gateways, application-layer firewalls, industrial DMZ) that implement these requirements.</w:t>
            </w:r>
          </w:p>
        </w:tc>
      </w:tr>
      <w:tr>
        <w:tc>
          <w:tcPr>
            <w:tcW w:type="dxa" w:w="9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spacing w:after="60"/>
            </w:pPr>
            <w:r>
              <w:rPr>
                <w:rFonts w:ascii="Arial" w:cs="Arial" w:eastAsia="Arial" w:hAnsi="Arial"/>
                <w:sz w:val="20"/>
                <w:szCs w:val="20"/>
              </w:rPr>
              <w:t xml:space="preserve">8.  Apply the IEC 62443-3-3 System Requirements to a realistic OT environment, mapping specific SRs to deployed or planned controls, identifying gaps, and developing a prioritised remediation roadmap aligned to the risk register.</w:t>
            </w:r>
          </w:p>
        </w:tc>
      </w:tr>
      <w:tr>
        <w:tc>
          <w:tcPr>
            <w:tcW w:type="dxa" w:w="9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60"/>
            </w:pPr>
            <w:r>
              <w:rPr>
                <w:rFonts w:ascii="Arial" w:cs="Arial" w:eastAsia="Arial" w:hAnsi="Arial"/>
                <w:sz w:val="20"/>
                <w:szCs w:val="20"/>
              </w:rPr>
              <w:t xml:space="preserve">9.  Critically evaluate the limitations of technical controls in OT environments — the constraints that make OT security fundamentally different from IT security — and design compensating control strategies that achieve risk reduction within those constraints.</w:t>
            </w:r>
          </w:p>
        </w:tc>
      </w:tr>
    </w:tbl>
    <w:p>
      <w:pPr>
        <w:spacing w:after="400"/>
      </w:pPr>
      <w:r>
        <w:t xml:space="preserve"/>
      </w:r>
    </w:p>
    <w:p>
      <w:pPr>
        <w:pStyle w:val="Heading1"/>
        <w:spacing w:after="200" w:before="360"/>
      </w:pPr>
      <w:r>
        <w:rPr>
          <w:rFonts w:ascii="Arial" w:cs="Arial" w:eastAsia="Arial" w:hAnsi="Arial"/>
          <w:b/>
          <w:bCs/>
          <w:color w:val="1F3864"/>
          <w:sz w:val="32"/>
          <w:szCs w:val="32"/>
        </w:rPr>
        <w:t xml:space="preserve">12.1  Introduction: From Governance to Technical Implementation</w:t>
      </w:r>
    </w:p>
    <w:p>
      <w:pPr>
        <w:spacing w:after="160" w:line="276"/>
        <w:jc w:val="both"/>
      </w:pPr>
      <w:r>
        <w:rPr>
          <w:rFonts w:ascii="Arial" w:cs="Arial" w:eastAsia="Arial" w:hAnsi="Arial"/>
          <w:b w:val="false"/>
          <w:bCs w:val="false"/>
          <w:color w:val="000000"/>
          <w:sz w:val="22"/>
          <w:szCs w:val="22"/>
        </w:rPr>
        <w:t xml:space="preserve">Chapter 11 established the governance architecture of the Cyber Security Management System — the policies, organisational structures, roles, and cultural foundations that create the management framework within which OT security operates. That governance framework, however impressive in its rigour, is not itself a security control. A policy that mandates network segmentation does not segment a network. A role that assigns responsibility for patch management does not apply a patch. The governance framework defines what must be done and who is accountable for doing it; this chapter addresses how it is done — the technical controls that implement the countermeasure strategy developed in the risk assessment and authorised by the governance framework.</w:t>
      </w:r>
    </w:p>
    <w:p>
      <w:pPr>
        <w:spacing w:after="160" w:line="276"/>
        <w:jc w:val="both"/>
      </w:pPr>
      <w:r>
        <w:rPr>
          <w:rFonts w:ascii="Arial" w:cs="Arial" w:eastAsia="Arial" w:hAnsi="Arial"/>
          <w:b w:val="false"/>
          <w:bCs w:val="false"/>
          <w:color w:val="000000"/>
          <w:sz w:val="22"/>
          <w:szCs w:val="22"/>
        </w:rPr>
        <w:t xml:space="preserve">The relationship between the risk assessment outputs (Parts I and II), the governance framework (Chapter 11), and the technical controls of this chapter is the relationship between diagnosis, commitment, and treatment. The risk assessment diagnoses the security condition of the OT environment — its vulnerabilities, threats, and residual risks. The governance framework establishes the organisational commitment to address those findings and the accountability structures within which remediation is managed. The technical controls are the treatment — the specific, deployable mechanisms by which vulnerabilities are reduced, attack surfaces are constrained, threats are detected, and consequences are mitigated.</w:t>
      </w:r>
    </w:p>
    <w:p>
      <w:pPr>
        <w:spacing w:after="160" w:line="276"/>
        <w:jc w:val="both"/>
      </w:pPr>
      <w:r>
        <w:rPr>
          <w:rFonts w:ascii="Arial" w:cs="Arial" w:eastAsia="Arial" w:hAnsi="Arial"/>
          <w:b w:val="false"/>
          <w:bCs w:val="false"/>
          <w:color w:val="000000"/>
          <w:sz w:val="22"/>
          <w:szCs w:val="22"/>
        </w:rPr>
        <w:t xml:space="preserve">This chapter is organised around the five technical control domains that, in the author's experience of implementing OT security programmes across refinery, terminal, pipeline, water treatment, and manufacturing environments, most consistently determine the security posture of an OT environment: Network Architecture and Segmentation (Section 12.3); Identity and Access Management (Section 12.4); Security Monitoring and Intrusion Detection (Section 12.5); Patch and Vulnerability Management (Section 12.6); and Remote Access Security (Section 12.7). A sixth domain — Data Flow Controls and IT/OT Integration Security (Section 12.8) — addresses the boundary between OT and IT systems that is increasingly a primary attack vector as industrial digitalisation progresses.</w:t>
      </w:r>
    </w:p>
    <w:p>
      <w:pPr>
        <w:spacing w:after="160" w:line="276"/>
        <w:jc w:val="both"/>
      </w:pPr>
      <w:r>
        <w:rPr>
          <w:rFonts w:ascii="Arial" w:cs="Arial" w:eastAsia="Arial" w:hAnsi="Arial"/>
          <w:b w:val="false"/>
          <w:bCs w:val="false"/>
          <w:color w:val="000000"/>
          <w:sz w:val="22"/>
          <w:szCs w:val="22"/>
        </w:rPr>
        <w:t xml:space="preserve">Throughout this chapter, technical controls are specified in terms of their IEC 62443-3-3 System Requirements (SRs) and mapped to the Foundational Requirements (FRs) that they address. This mapping provides the explicit connection between the SL-T determinations of the risk assessment and the specific technical controls that implement them — the traceability that regulators, auditors, and senior management require to demonstrate that the CSMS is producing genuine risk reduction rather than compliance documentation.</w:t>
      </w:r>
    </w:p>
    <w:p>
      <w:pPr>
        <w:spacing w:after="160" w:line="276"/>
        <w:jc w:val="both"/>
      </w:pPr>
      <w:r>
        <w:rPr>
          <w:rFonts w:ascii="Arial" w:cs="Arial" w:eastAsia="Arial" w:hAnsi="Arial"/>
          <w:b w:val="false"/>
          <w:bCs w:val="false"/>
          <w:color w:val="000000"/>
          <w:sz w:val="22"/>
          <w:szCs w:val="22"/>
        </w:rPr>
        <w:t xml:space="preserve">The Sunrise Refinery case study, developed through Parts I and II and continued in Chapter 11, is used throughout this chapter to illustrate technical control design in a realistic industrial context. The worked example in Section 12.9 shows the complete technical control architecture for the Sunrise Refinery at Month 12 — twelve months after the governance framework was established and the risk assessment was completed.</w:t>
      </w:r>
    </w:p>
    <w:p>
      <w:pPr>
        <w:pStyle w:val="Heading1"/>
        <w:spacing w:after="200" w:before="360"/>
      </w:pPr>
      <w:r>
        <w:rPr>
          <w:rFonts w:ascii="Arial" w:cs="Arial" w:eastAsia="Arial" w:hAnsi="Arial"/>
          <w:b/>
          <w:bCs/>
          <w:color w:val="1F3864"/>
          <w:sz w:val="32"/>
          <w:szCs w:val="32"/>
        </w:rPr>
        <w:t xml:space="preserve">12.2  The IEC 62443-3-3 Framework: System Requirements and Security Levels</w:t>
      </w:r>
    </w:p>
    <w:p>
      <w:pPr>
        <w:spacing w:after="160" w:line="276"/>
        <w:jc w:val="both"/>
      </w:pPr>
      <w:r>
        <w:rPr>
          <w:rFonts w:ascii="Arial" w:cs="Arial" w:eastAsia="Arial" w:hAnsi="Arial"/>
          <w:b w:val="false"/>
          <w:bCs w:val="false"/>
          <w:color w:val="000000"/>
          <w:sz w:val="22"/>
          <w:szCs w:val="22"/>
        </w:rPr>
        <w:t xml:space="preserve">IEC 62443-3-3:2013 (Security for Industrial Automation and Control Systems — System Security Requirements and Security Levels) is the technical companion to IEC 62443-2-1:2010. Where 62443-2-1 specifies the management system requirements for establishing and operating a CSMS, 62443-3-3 specifies the technical system requirements that the CSMS must implement to achieve specified security levels. Understanding the structure of 62443-3-3 is essential for the practitioner specifying OT technical controls — it provides the authoritative vocabulary and framework within which control requirements are defined, prioritised, and demonstrated.</w:t>
      </w:r>
    </w:p>
    <w:p>
      <w:pPr>
        <w:pStyle w:val="Heading2"/>
        <w:spacing w:after="160" w:before="280"/>
      </w:pPr>
      <w:r>
        <w:rPr>
          <w:rFonts w:ascii="Arial" w:cs="Arial" w:eastAsia="Arial" w:hAnsi="Arial"/>
          <w:b/>
          <w:bCs/>
          <w:color w:val="2E75B6"/>
          <w:sz w:val="26"/>
          <w:szCs w:val="26"/>
        </w:rPr>
        <w:t xml:space="preserve">12.2.1  Foundational Requirements and System Requirements</w:t>
      </w:r>
    </w:p>
    <w:p>
      <w:pPr>
        <w:spacing w:after="160" w:line="276"/>
        <w:jc w:val="both"/>
      </w:pPr>
      <w:r>
        <w:rPr>
          <w:rFonts w:ascii="Arial" w:cs="Arial" w:eastAsia="Arial" w:hAnsi="Arial"/>
          <w:b w:val="false"/>
          <w:bCs w:val="false"/>
          <w:color w:val="000000"/>
          <w:sz w:val="22"/>
          <w:szCs w:val="22"/>
        </w:rPr>
        <w:t xml:space="preserve">IEC 62443-3-3 organises its technical requirements into seven Foundational Requirements (FRs), each of which is decomposed into specific System Requirements (SRs) that define how the Foundational Requirement is implemented at each security level. The seven Foundational Requirements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500"/>
        <w:gridCol w:w="4960"/>
      </w:tblGrid>
      <w:tr>
        <w:tc>
          <w:tcPr>
            <w:tcW w:type="dxa" w:w="9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FR</w:t>
            </w:r>
          </w:p>
        </w:tc>
        <w:tc>
          <w:tcPr>
            <w:tcW w:type="dxa" w:w="35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Foundational Requirement</w:t>
            </w:r>
          </w:p>
        </w:tc>
        <w:tc>
          <w:tcPr>
            <w:tcW w:type="dxa" w:w="496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Description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FR 1</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Identification and Authentication Control (IAC)</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Ensure that all users (human or software), processes, and devices attempting to access the control system are identified and authenticated prior to being granted access. Addresses both human user authentication and machine-to-machine authentication.</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FR 2</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Use Control (UC)</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Ensure that all users with access to the control system are authorised to use it in the manner they attempt, and that the system enforces those authorisations. Addresses authorisation, least privilege, and audit of privileged actions.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FR 3</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System Integrity (SI)</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Ensure the integrity of the control system hardware, software, and communications. Addresses protection against unauthorised modification of system components, malicious code introduction, and supply chain integrity.</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FR 4</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Data Confidentiality (DC)</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Ensure the confidentiality of information that passes across networks in a way that would be sensitive or restricted under defined security policy. Note: in OT environments, DC is typically lower priority than availability and integrity.</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FR 5</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Restricted Data Flow (RDF)</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Segment the control system from other systems using physically or logically separated networks and limit data flows to only those that are required for normal and emergency operations.</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FR 6</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Timely Response to Events (TRE)</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Respond to security violations, provide evidence of such violations, report violations to the appropriate authority, and take timely corrective action when incidents are detected.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FR 7</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Resource Availability (RA)</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Ensure the availability of the control system against degradation or denial of service attacks and manage the control system in such a way that recovery from a cyber incident is timely and effective.</w:t>
            </w:r>
          </w:p>
        </w:tc>
      </w:tr>
    </w:tbl>
    <w:p>
      <w:pPr>
        <w:spacing w:after="200" w:before="80"/>
        <w:jc w:val="center"/>
      </w:pPr>
      <w:r>
        <w:rPr>
          <w:rFonts w:ascii="Arial" w:cs="Arial" w:eastAsia="Arial" w:hAnsi="Arial"/>
          <w:b/>
          <w:bCs/>
          <w:i/>
          <w:iCs/>
          <w:color w:val="1F3864"/>
          <w:sz w:val="20"/>
          <w:szCs w:val="20"/>
        </w:rPr>
        <w:t xml:space="preserve">Table 12.1: IEC 62443-3-3 Foundational Requirements (FRs)</w:t>
      </w:r>
    </w:p>
    <w:p>
      <w:pPr>
        <w:spacing w:after="200"/>
      </w:pPr>
      <w:r>
        <w:t xml:space="preserve"/>
      </w:r>
    </w:p>
    <w:p>
      <w:pPr>
        <w:pStyle w:val="Heading2"/>
        <w:spacing w:after="160" w:before="280"/>
      </w:pPr>
      <w:r>
        <w:rPr>
          <w:rFonts w:ascii="Arial" w:cs="Arial" w:eastAsia="Arial" w:hAnsi="Arial"/>
          <w:b/>
          <w:bCs/>
          <w:color w:val="2E75B6"/>
          <w:sz w:val="26"/>
          <w:szCs w:val="26"/>
        </w:rPr>
        <w:t xml:space="preserve">12.2.2  Security Levels and Control Scaling</w:t>
      </w:r>
    </w:p>
    <w:p>
      <w:pPr>
        <w:spacing w:after="160" w:line="276"/>
        <w:jc w:val="both"/>
      </w:pPr>
      <w:r>
        <w:rPr>
          <w:rFonts w:ascii="Arial" w:cs="Arial" w:eastAsia="Arial" w:hAnsi="Arial"/>
          <w:b w:val="false"/>
          <w:bCs w:val="false"/>
          <w:color w:val="000000"/>
          <w:sz w:val="22"/>
          <w:szCs w:val="22"/>
        </w:rPr>
        <w:t xml:space="preserve">IEC 62443 defines four Security Levels (SL 1–4) that specify the rigour with which each Foundational Requirement is implemented. Security Levels are defined in terms of the threat actor capability they are designed to resist: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2500"/>
        <w:gridCol w:w="3760"/>
      </w:tblGrid>
      <w:tr>
        <w:tc>
          <w:tcPr>
            <w:tcW w:type="dxa" w:w="6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SL</w:t>
            </w:r>
          </w:p>
        </w:tc>
        <w:tc>
          <w:tcPr>
            <w:tcW w:type="dxa" w:w="25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Definition</w:t>
            </w:r>
          </w:p>
        </w:tc>
        <w:tc>
          <w:tcPr>
            <w:tcW w:type="dxa" w:w="25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Threat Actor</w:t>
            </w:r>
          </w:p>
        </w:tc>
        <w:tc>
          <w:tcPr>
            <w:tcW w:type="dxa" w:w="376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OT Context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18"/>
                <w:szCs w:val="18"/>
              </w:rPr>
              <w:t xml:space="preserve">SL 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Protection against casual or unintentional violation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Unskilled opportunist; insider through error rather than intent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Minimum baseline for all OT systems. Addresses unintentional misuse and basic exploitation of exposed services. Appropriate for systems with no safety or critical availability consequences.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sz w:val="18"/>
                <w:szCs w:val="18"/>
              </w:rPr>
              <w:t xml:space="preserve">SL 2</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Protection against intentional violation using simple means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Skilled individual using available tools and resources with motivation</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Standard requirement for most process control networks. Addresses motivated external attackers and insider threat. The realistic minimum for systems supporting process operations at facilities with significant hazard potential.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18"/>
                <w:szCs w:val="18"/>
              </w:rPr>
              <w:t xml:space="preserve">SL 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Protection against sophisticated attack using moderate resources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Organised group with moderate resources and sector-specific knowledge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Required for safety-critical systems (SIS, ESD) and systems where compromise could cause major accident hazards. Addresses nation-state-affiliated groups and sophisticated criminal organisations targeting critical infrastructure.</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sz w:val="18"/>
                <w:szCs w:val="18"/>
              </w:rPr>
              <w:t xml:space="preserve">SL 4</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Protection against attack with sophisticated means and substantial resources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Nation-state with extensive resources and coordination</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Reserved for the most critical national infrastructure. Rarely achievable or necessary for private sector OT environments without government-level resourcing. Addressed primarily through defence-in-depth at SL 3.</w:t>
            </w:r>
          </w:p>
        </w:tc>
      </w:tr>
    </w:tbl>
    <w:p>
      <w:pPr>
        <w:spacing w:after="200" w:before="80"/>
        <w:jc w:val="center"/>
      </w:pPr>
      <w:r>
        <w:rPr>
          <w:rFonts w:ascii="Arial" w:cs="Arial" w:eastAsia="Arial" w:hAnsi="Arial"/>
          <w:b/>
          <w:bCs/>
          <w:i/>
          <w:iCs/>
          <w:color w:val="1F3864"/>
          <w:sz w:val="20"/>
          <w:szCs w:val="20"/>
        </w:rPr>
        <w:t xml:space="preserve">Table 12.2: IEC 62443 Security Level Definitions</w:t>
      </w:r>
    </w:p>
    <w:p>
      <w:pPr>
        <w:spacing w:after="200"/>
      </w:pPr>
      <w:r>
        <w:t xml:space="preserve"/>
      </w:r>
    </w:p>
    <w:p>
      <w:pPr>
        <w:spacing w:after="160" w:line="276"/>
        <w:jc w:val="both"/>
      </w:pPr>
      <w:r>
        <w:rPr>
          <w:rFonts w:ascii="Arial" w:cs="Arial" w:eastAsia="Arial" w:hAnsi="Arial"/>
          <w:b w:val="false"/>
          <w:bCs w:val="false"/>
          <w:color w:val="000000"/>
          <w:sz w:val="22"/>
          <w:szCs w:val="22"/>
        </w:rPr>
        <w:t xml:space="preserve">The critical principle is that Security Levels are zone-specific, not system-wide. The SL-T for a Safety Instrumented System (SIS) may be SL 3, while the SL-T for a general-purpose historian workstation in the same facility may be SL 2. The zone and conduit architecture (Section 12.3) is the mechanism by which these differential requirements are implemented — it creates the boundaries within which different security levels can be maintained simultaneously without requiring every system in the facility to meet the highest security level.</w:t>
      </w:r>
    </w:p>
    <w:p>
      <w:pPr>
        <w:spacing w:after="160" w:line="276"/>
        <w:jc w:val="both"/>
      </w:pPr>
      <w:r>
        <w:rPr>
          <w:rFonts w:ascii="Arial" w:cs="Arial" w:eastAsia="Arial" w:hAnsi="Arial"/>
          <w:b w:val="false"/>
          <w:bCs w:val="false"/>
          <w:color w:val="000000"/>
          <w:sz w:val="22"/>
          <w:szCs w:val="22"/>
        </w:rPr>
        <w:t xml:space="preserve">Each System Requirement in 62443-3-3 is specified at one or more security levels. A requirement that appears at SL 1 is mandatory for all zones. A requirement that appears only at SL 3 is mandatory only for zones with SL-T ≥ 3. This scaling mechanism allows the practitioner to identify the specific SRs applicable to each zone and derive a zone-specific technical control specification directly from the standard — a capability that will be used throughout this chapter.</w:t>
      </w:r>
    </w:p>
    <w:p>
      <w:r>
        <w:br w:type="page"/>
      </w:r>
    </w:p>
    <w:p>
      <w:pPr>
        <w:pStyle w:val="Heading1"/>
        <w:spacing w:after="200" w:before="360"/>
      </w:pPr>
      <w:r>
        <w:rPr>
          <w:rFonts w:ascii="Arial" w:cs="Arial" w:eastAsia="Arial" w:hAnsi="Arial"/>
          <w:b/>
          <w:bCs/>
          <w:color w:val="1F3864"/>
          <w:sz w:val="32"/>
          <w:szCs w:val="32"/>
        </w:rPr>
        <w:t xml:space="preserve">12.3  Network Architecture and Segmentation</w:t>
      </w:r>
    </w:p>
    <w:p>
      <w:pPr>
        <w:spacing w:after="160" w:line="276"/>
        <w:jc w:val="both"/>
      </w:pPr>
      <w:r>
        <w:rPr>
          <w:rFonts w:ascii="Arial" w:cs="Arial" w:eastAsia="Arial" w:hAnsi="Arial"/>
          <w:b w:val="false"/>
          <w:bCs w:val="false"/>
          <w:color w:val="000000"/>
          <w:sz w:val="22"/>
          <w:szCs w:val="22"/>
        </w:rPr>
        <w:t xml:space="preserve">Network segmentation is the foundational technical control in OT security. It is the mechanism by which the zone and conduit model of IEC 62443-3-2 is physically or logically implemented — creating security boundaries that constrain the lateral movement of an attacker who has achieved initial access, limit the attack surface available from any single compromise point, and enable differential security levels to be maintained across systems with different criticality and consequence profiles.</w:t>
      </w:r>
    </w:p>
    <w:p>
      <w:pPr>
        <w:spacing w:after="160" w:line="276"/>
        <w:jc w:val="both"/>
      </w:pPr>
      <w:r>
        <w:rPr>
          <w:rFonts w:ascii="Arial" w:cs="Arial" w:eastAsia="Arial" w:hAnsi="Arial"/>
          <w:b w:val="false"/>
          <w:bCs w:val="false"/>
          <w:color w:val="000000"/>
          <w:sz w:val="22"/>
          <w:szCs w:val="22"/>
        </w:rPr>
        <w:t xml:space="preserve">The primacy of network segmentation in OT security reflects a fundamental characteristic of the OT threat landscape: OT systems are typically difficult to patch, difficult to equip with host-based security controls, and difficult to monitor with traditional endpoint security tools. The network is often the last coherent layer at which security controls can be reliably applied. Getting the network architecture right is therefore the highest-leverage technical decision in an OT security programme — and getting it wrong creates vulnerabilities that no amount of subsequent control investment can fully remediate.</w:t>
      </w:r>
    </w:p>
    <w:p>
      <w:pPr>
        <w:pStyle w:val="Heading2"/>
        <w:spacing w:after="160" w:before="280"/>
      </w:pPr>
      <w:r>
        <w:rPr>
          <w:rFonts w:ascii="Arial" w:cs="Arial" w:eastAsia="Arial" w:hAnsi="Arial"/>
          <w:b/>
          <w:bCs/>
          <w:color w:val="2E75B6"/>
          <w:sz w:val="26"/>
          <w:szCs w:val="26"/>
        </w:rPr>
        <w:t xml:space="preserve">12.3.1  The Purdue Model and Its Limitations</w:t>
      </w:r>
    </w:p>
    <w:p>
      <w:pPr>
        <w:spacing w:after="160" w:line="276"/>
        <w:jc w:val="both"/>
      </w:pPr>
      <w:r>
        <w:rPr>
          <w:rFonts w:ascii="Arial" w:cs="Arial" w:eastAsia="Arial" w:hAnsi="Arial"/>
          <w:b w:val="false"/>
          <w:bCs w:val="false"/>
          <w:color w:val="000000"/>
          <w:sz w:val="22"/>
          <w:szCs w:val="22"/>
        </w:rPr>
        <w:t xml:space="preserve">The Purdue Enterprise Reference Architecture (PERA), developed by Theodore Williams at Purdue University in the 1990s and subsequently adopted as the reference model by ISA-95 and the broader OT security community, provides the conceptual framework within which most OT network segmentation discussions are conducted. The Purdue Model organises OT systems into a hierarchical set of levels (Level 0 through Level 4), each representing a different functional layer of the industrial automation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3000"/>
        <w:gridCol w:w="3160"/>
      </w:tblGrid>
      <w:tr>
        <w:tc>
          <w:tcPr>
            <w:tcW w:type="dxa" w:w="8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Level</w:t>
            </w:r>
          </w:p>
        </w:tc>
        <w:tc>
          <w:tcPr>
            <w:tcW w:type="dxa" w:w="24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Name</w:t>
            </w:r>
          </w:p>
        </w:tc>
        <w:tc>
          <w:tcPr>
            <w:tcW w:type="dxa" w:w="30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Typical Systems</w:t>
            </w:r>
          </w:p>
        </w:tc>
        <w:tc>
          <w:tcPr>
            <w:tcW w:type="dxa" w:w="316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Security Implications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Level 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Physical Process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Sensors, actuators, field instruments, motors, valves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Direct interface with physical process. Typically serial or 4-20mA — no IP connectivity. Security focus: physical access control and protection of field device integrity.</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Level 1</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Basic Control</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PLCs, RTUs, DCS controllers, safety logic solvers (SIS)</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Engineering workstation access for programming and configuration. Primary target for control system manipulation. SL-T typically SL 2–3 for process-critical; SL 3 for SIS.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Level 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Supervisory Control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DCS HMI, SCADA servers, historian, operator workstations, engineering workstations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Highest-traffic OT zone. Greatest exposure to operator error and engineering change risk. SL-T typically SL 2. Primary zone for OT-IDS deployment.</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Level 3</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Operations Management</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Production scheduling, batch management, laboratory information management (LIMS), operational historian, MES</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Increasing connectivity upward and downward. Often the zone where IT/OT boundary pressure is greatest. SL-T typically SL 2 with industrial DMZ separation from Level 4.</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Level 3.5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Industrial DMZ (IDMZ)</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Data diodes, application-layer firewalls, historian replication servers, jump servers, patch management servers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Purpose-built security zone between OT and IT. Not in original Purdue Model — added by security practitioners. The critical boundary control. SL-T determined by data flow requirements.</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Level 4</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Business Planning</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ERP, MES integration, business reporting, IT network</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Corporate IT systems. Fully managed under IT security programme and ISO 27001 ISMS. Connection to OT only through controlled IDMZ boundary.</w:t>
            </w:r>
          </w:p>
        </w:tc>
      </w:tr>
    </w:tbl>
    <w:p>
      <w:pPr>
        <w:spacing w:after="200" w:before="80"/>
        <w:jc w:val="center"/>
      </w:pPr>
      <w:r>
        <w:rPr>
          <w:rFonts w:ascii="Arial" w:cs="Arial" w:eastAsia="Arial" w:hAnsi="Arial"/>
          <w:b/>
          <w:bCs/>
          <w:i/>
          <w:iCs/>
          <w:color w:val="1F3864"/>
          <w:sz w:val="20"/>
          <w:szCs w:val="20"/>
        </w:rPr>
        <w:t xml:space="preserve">Table 12.3: Purdue Model Levels and OT Security Implications</w:t>
      </w:r>
    </w:p>
    <w:p>
      <w:pPr>
        <w:spacing w:after="200"/>
      </w:pPr>
      <w:r>
        <w:t xml:space="preserve"/>
      </w:r>
    </w:p>
    <w:p>
      <w:pPr>
        <w:spacing w:after="160" w:line="276"/>
        <w:jc w:val="both"/>
      </w:pPr>
      <w:r>
        <w:rPr>
          <w:rFonts w:ascii="Arial" w:cs="Arial" w:eastAsia="Arial" w:hAnsi="Arial"/>
          <w:b w:val="false"/>
          <w:bCs w:val="false"/>
          <w:color w:val="000000"/>
          <w:sz w:val="22"/>
          <w:szCs w:val="22"/>
        </w:rPr>
        <w:t xml:space="preserve">The Purdue Model provides valuable conceptual clarity but has significant limitations as a security architecture framework. It was designed as a functional architecture, not a security architecture — its levels reflect information flow patterns rather than security requirements. It does not address cloud connectivity, remote access, or the growing integration between OT and enterprise IT systems. It does not provide guidance on how to handle systems that span multiple levels (such as operational historians that aggregate data from Level 1 and expose it to Level 4). And it has been widely misapplied to imply that physical network separation between all levels is required — an impossibility in most operational environments where legitimate data flows cross level boundaries constantly.</w:t>
      </w:r>
    </w:p>
    <w:p>
      <w:pPr>
        <w:spacing w:after="160" w:line="276"/>
        <w:jc w:val="both"/>
      </w:pPr>
      <w:r>
        <w:rPr>
          <w:rFonts w:ascii="Arial" w:cs="Arial" w:eastAsia="Arial" w:hAnsi="Arial"/>
          <w:b w:val="false"/>
          <w:bCs w:val="false"/>
          <w:color w:val="000000"/>
          <w:sz w:val="22"/>
          <w:szCs w:val="22"/>
        </w:rPr>
        <w:t xml:space="preserve">The IEC 62443-3-2 zone and conduit model addresses these limitations by replacing the Purdue level concept with a more flexible, security-requirements-driven approach. Zones are defined by security requirements, not by functional level — a set of assets that share a common security requirement and a common security level target. Conduits are defined by data flows, not by hierarchical position — a logical or physical channel through which communication between zones is permitted, subject to specified controls. This approach enables the practitioner to design a segmentation architecture that reflects the actual security requirements of the facility, not a notional hierarchy.</w:t>
      </w:r>
    </w:p>
    <w:p>
      <w:pPr>
        <w:pStyle w:val="Heading2"/>
        <w:spacing w:after="160" w:before="280"/>
      </w:pPr>
      <w:r>
        <w:rPr>
          <w:rFonts w:ascii="Arial" w:cs="Arial" w:eastAsia="Arial" w:hAnsi="Arial"/>
          <w:b/>
          <w:bCs/>
          <w:color w:val="2E75B6"/>
          <w:sz w:val="26"/>
          <w:szCs w:val="26"/>
        </w:rPr>
        <w:t xml:space="preserve">12.3.2  Zone and Conduit Design Methodology</w:t>
      </w:r>
    </w:p>
    <w:p>
      <w:pPr>
        <w:spacing w:after="160" w:line="276"/>
        <w:jc w:val="both"/>
      </w:pPr>
      <w:r>
        <w:rPr>
          <w:rFonts w:ascii="Arial" w:cs="Arial" w:eastAsia="Arial" w:hAnsi="Arial"/>
          <w:b w:val="false"/>
          <w:bCs w:val="false"/>
          <w:color w:val="000000"/>
          <w:sz w:val="22"/>
          <w:szCs w:val="22"/>
        </w:rPr>
        <w:t xml:space="preserve">The zone and conduit architecture design process follows the IEC 62443-3-2 methodology, which consists of six steps applied iteratively until a stable architecture that meets SL-T requirements is achieved:</w:t>
      </w:r>
    </w:p>
    <w:p>
      <w:pPr>
        <w:pStyle w:val="ListParagraph"/>
        <w:numPr>
          <w:ilvl w:val="0"/>
          <w:numId w:val="2"/>
        </w:numPr>
        <w:spacing w:after="100" w:line="276"/>
      </w:pPr>
      <w:r>
        <w:rPr>
          <w:rFonts w:ascii="Arial" w:cs="Arial" w:eastAsia="Arial" w:hAnsi="Arial"/>
          <w:sz w:val="22"/>
          <w:szCs w:val="22"/>
        </w:rPr>
        <w:t xml:space="preserve">Identify all IACS assets within scope (from the asset register developed in the risk assessment).</w:t>
      </w:r>
    </w:p>
    <w:p>
      <w:pPr>
        <w:pStyle w:val="ListParagraph"/>
        <w:numPr>
          <w:ilvl w:val="0"/>
          <w:numId w:val="2"/>
        </w:numPr>
        <w:spacing w:after="100" w:line="276"/>
      </w:pPr>
      <w:r>
        <w:rPr>
          <w:rFonts w:ascii="Arial" w:cs="Arial" w:eastAsia="Arial" w:hAnsi="Arial"/>
          <w:sz w:val="22"/>
          <w:szCs w:val="22"/>
        </w:rPr>
        <w:t xml:space="preserve">Group assets into candidate zones based on shared security requirements, shared function, and operational relationship. Initial grouping should be conservative — when in doubt, separate rather than combine.</w:t>
      </w:r>
    </w:p>
    <w:p>
      <w:pPr>
        <w:pStyle w:val="ListParagraph"/>
        <w:numPr>
          <w:ilvl w:val="0"/>
          <w:numId w:val="2"/>
        </w:numPr>
        <w:spacing w:after="100" w:line="276"/>
      </w:pPr>
      <w:r>
        <w:rPr>
          <w:rFonts w:ascii="Arial" w:cs="Arial" w:eastAsia="Arial" w:hAnsi="Arial"/>
          <w:sz w:val="22"/>
          <w:szCs w:val="22"/>
        </w:rPr>
        <w:t xml:space="preserve">Assign a preliminary SL-T to each candidate zone based on the risk assessment findings — using the consequence analysis (Chapter 3), threat analysis (Chapter 4), and risk matrix results (Chapter 6) to justify the SL-T assignment.</w:t>
      </w:r>
    </w:p>
    <w:p>
      <w:pPr>
        <w:pStyle w:val="ListParagraph"/>
        <w:numPr>
          <w:ilvl w:val="0"/>
          <w:numId w:val="2"/>
        </w:numPr>
        <w:spacing w:after="100" w:line="276"/>
      </w:pPr>
      <w:r>
        <w:rPr>
          <w:rFonts w:ascii="Arial" w:cs="Arial" w:eastAsia="Arial" w:hAnsi="Arial"/>
          <w:sz w:val="22"/>
          <w:szCs w:val="22"/>
        </w:rPr>
        <w:t xml:space="preserve">Identify all required data flows between zones and define candidate conduits for each inter-zone data flow. For each conduit, document: the source zone; the destination zone; the protocol(s) used; the directionality (unidirectional or bidirectional); and the business justification for the data flow.</w:t>
      </w:r>
    </w:p>
    <w:p>
      <w:pPr>
        <w:pStyle w:val="ListParagraph"/>
        <w:numPr>
          <w:ilvl w:val="0"/>
          <w:numId w:val="2"/>
        </w:numPr>
        <w:spacing w:after="100" w:line="276"/>
      </w:pPr>
      <w:r>
        <w:rPr>
          <w:rFonts w:ascii="Arial" w:cs="Arial" w:eastAsia="Arial" w:hAnsi="Arial"/>
          <w:sz w:val="22"/>
          <w:szCs w:val="22"/>
        </w:rPr>
        <w:t xml:space="preserve">Specify the technical controls required for each conduit based on the SL-T of the zones it connects. Conduit controls must be sufficient to prevent a compromise in the lower-security zone from propagating to the higher-security zone.</w:t>
      </w:r>
    </w:p>
    <w:p>
      <w:pPr>
        <w:pStyle w:val="ListParagraph"/>
        <w:numPr>
          <w:ilvl w:val="0"/>
          <w:numId w:val="2"/>
        </w:numPr>
        <w:spacing w:after="100" w:line="276"/>
      </w:pPr>
      <w:r>
        <w:rPr>
          <w:rFonts w:ascii="Arial" w:cs="Arial" w:eastAsia="Arial" w:hAnsi="Arial"/>
          <w:sz w:val="22"/>
          <w:szCs w:val="22"/>
        </w:rPr>
        <w:t xml:space="preserve">Review the architecture against the SL-T requirements and the risk register. Where the architecture does not achieve the required SL-T, either strengthen conduit controls, further subdivide zones, or document risk acceptance for residual gaps.</w:t>
      </w:r>
    </w:p>
    <w:p>
      <w:pPr>
        <w:spacing w:after="200"/>
      </w:pPr>
      <w:r>
        <w:t xml:space="preserve"/>
      </w:r>
    </w:p>
    <w:p>
      <w:pPr>
        <w:spacing w:after="160" w:line="276"/>
        <w:jc w:val="both"/>
      </w:pPr>
      <w:r>
        <w:rPr>
          <w:rFonts w:ascii="Arial" w:cs="Arial" w:eastAsia="Arial" w:hAnsi="Arial"/>
          <w:b w:val="false"/>
          <w:bCs w:val="false"/>
          <w:color w:val="000000"/>
          <w:sz w:val="22"/>
          <w:szCs w:val="22"/>
        </w:rPr>
        <w:t xml:space="preserve">The following principles should govern zone and conduit design in OT environments:</w:t>
      </w:r>
    </w:p>
    <w:p>
      <w:pPr>
        <w:pStyle w:val="ListParagraph"/>
        <w:numPr>
          <w:ilvl w:val="0"/>
          <w:numId w:val="3"/>
        </w:numPr>
        <w:spacing w:after="100" w:line="276"/>
      </w:pPr>
      <w:r>
        <w:rPr>
          <w:rFonts w:ascii="Arial" w:cs="Arial" w:eastAsia="Arial" w:hAnsi="Arial"/>
          <w:sz w:val="22"/>
          <w:szCs w:val="22"/>
        </w:rPr>
        <w:t xml:space="preserve">Least privilege by design: Design zones so that each zone contains only the assets that need to communicate with each other. Do not group assets into a zone merely because they are co-located or because they were historically on the same network segment.</w:t>
      </w:r>
    </w:p>
    <w:p>
      <w:pPr>
        <w:pStyle w:val="ListParagraph"/>
        <w:numPr>
          <w:ilvl w:val="0"/>
          <w:numId w:val="3"/>
        </w:numPr>
        <w:spacing w:after="100" w:line="276"/>
      </w:pPr>
      <w:r>
        <w:rPr>
          <w:rFonts w:ascii="Arial" w:cs="Arial" w:eastAsia="Arial" w:hAnsi="Arial"/>
          <w:sz w:val="22"/>
          <w:szCs w:val="22"/>
        </w:rPr>
        <w:t xml:space="preserve">Defence in depth: No single zone boundary should be the only protection for a critical asset. Critical assets (SIS, Level 1 process controllers) should be protected by multiple successive zone boundaries, each providing independent security controls.</w:t>
      </w:r>
    </w:p>
    <w:p>
      <w:pPr>
        <w:pStyle w:val="ListParagraph"/>
        <w:numPr>
          <w:ilvl w:val="0"/>
          <w:numId w:val="3"/>
        </w:numPr>
        <w:spacing w:after="100" w:line="276"/>
      </w:pPr>
      <w:r>
        <w:rPr>
          <w:rFonts w:ascii="Arial" w:cs="Arial" w:eastAsia="Arial" w:hAnsi="Arial"/>
          <w:sz w:val="22"/>
          <w:szCs w:val="22"/>
        </w:rPr>
        <w:t xml:space="preserve">Unidirectional flows where operationally possible: Many OT data flows are genuinely unidirectional in operational requirement — historian data flows from OT to IT; OT systems do not need to receive data from IT. Enforce unidirectionality at the conduit level using unidirectional security gateways (data diodes) where operationally feasible.</w:t>
      </w:r>
    </w:p>
    <w:p>
      <w:pPr>
        <w:pStyle w:val="ListParagraph"/>
        <w:numPr>
          <w:ilvl w:val="0"/>
          <w:numId w:val="3"/>
        </w:numPr>
        <w:spacing w:after="100" w:line="276"/>
      </w:pPr>
      <w:r>
        <w:rPr>
          <w:rFonts w:ascii="Arial" w:cs="Arial" w:eastAsia="Arial" w:hAnsi="Arial"/>
          <w:sz w:val="22"/>
          <w:szCs w:val="22"/>
        </w:rPr>
        <w:t xml:space="preserve">Minimise conduits: Every conduit is an attack vector. Design the architecture to minimise the number of inter-zone connections. Resist the operational pressure to create 'exceptions' to zone boundaries for specific applications — each exception is a vulnerability.</w:t>
      </w:r>
    </w:p>
    <w:p>
      <w:pPr>
        <w:pStyle w:val="ListParagraph"/>
        <w:numPr>
          <w:ilvl w:val="0"/>
          <w:numId w:val="3"/>
        </w:numPr>
        <w:spacing w:after="100" w:line="276"/>
      </w:pPr>
      <w:r>
        <w:rPr>
          <w:rFonts w:ascii="Arial" w:cs="Arial" w:eastAsia="Arial" w:hAnsi="Arial"/>
          <w:sz w:val="22"/>
          <w:szCs w:val="22"/>
        </w:rPr>
        <w:t xml:space="preserve">Explicit conduit authorisation: Every conduit must be explicitly authorised. The default posture is that inter-zone communication is prohibited unless specifically authorised. This is the inverse of the typical enterprise IT posture and must be explicitly enforced in firewall rule sets.</w:t>
      </w:r>
    </w:p>
    <w:p>
      <w:pPr>
        <w:spacing w:after="200"/>
      </w:pPr>
      <w:r>
        <w:t xml:space="preserve"/>
      </w:r>
    </w:p>
    <w:p>
      <w:pPr>
        <w:pStyle w:val="Heading2"/>
        <w:spacing w:after="160" w:before="280"/>
      </w:pPr>
      <w:r>
        <w:rPr>
          <w:rFonts w:ascii="Arial" w:cs="Arial" w:eastAsia="Arial" w:hAnsi="Arial"/>
          <w:b/>
          <w:bCs/>
          <w:color w:val="2E75B6"/>
          <w:sz w:val="26"/>
          <w:szCs w:val="26"/>
        </w:rPr>
        <w:t xml:space="preserve">12.3.3  Firewall Architecture for OT</w:t>
      </w:r>
    </w:p>
    <w:p>
      <w:pPr>
        <w:spacing w:after="160" w:line="276"/>
        <w:jc w:val="both"/>
      </w:pPr>
      <w:r>
        <w:rPr>
          <w:rFonts w:ascii="Arial" w:cs="Arial" w:eastAsia="Arial" w:hAnsi="Arial"/>
          <w:b w:val="false"/>
          <w:bCs w:val="false"/>
          <w:color w:val="000000"/>
          <w:sz w:val="22"/>
          <w:szCs w:val="22"/>
        </w:rPr>
        <w:t xml:space="preserve">Industrial firewalls are the primary conduit control mechanism. They differ from enterprise IT firewalls in several important respects that the OT security practitioner must understand: OT firewalls must support industrial protocols (Modbus, DNP3, EtherNet/IP, Profinet, OPC-UA) at the application layer; OT firewalls must handle high-reliability, low-latency requirements that differ from enterprise IT; and OT firewalls must be managed in ways that do not disrupt operational continuity.</w:t>
      </w:r>
    </w:p>
    <w:p>
      <w:pPr>
        <w:spacing w:after="160" w:line="276"/>
        <w:jc w:val="both"/>
      </w:pPr>
      <w:r>
        <w:rPr>
          <w:rFonts w:ascii="Arial" w:cs="Arial" w:eastAsia="Arial" w:hAnsi="Arial"/>
          <w:b w:val="false"/>
          <w:bCs w:val="false"/>
          <w:color w:val="000000"/>
          <w:sz w:val="22"/>
          <w:szCs w:val="22"/>
        </w:rPr>
        <w:t xml:space="preserve">The specification of OT firewall rule sets requires a different approach from enterprise IT firewall management. In enterprise IT, the default practice is often to start with a permissive rule set and restrict as issues are identified. In OT, the appropriate practice is the inverse: start with a deny-all rule set and add only those permit rules that are explicitly justified by documented operational requirements. Each permit rule must be associated with a specific, documented business requirement — not 'it was like that before' or 'the vendor said it was needed.'</w:t>
      </w:r>
    </w:p>
    <w:p>
      <w:pPr>
        <w:spacing w:after="160" w:line="276"/>
        <w:jc w:val="both"/>
      </w:pPr>
      <w:r>
        <w:rPr>
          <w:rFonts w:ascii="Arial" w:cs="Arial" w:eastAsia="Arial" w:hAnsi="Arial"/>
          <w:b w:val="false"/>
          <w:bCs w:val="false"/>
          <w:color w:val="000000"/>
          <w:sz w:val="22"/>
          <w:szCs w:val="22"/>
        </w:rPr>
        <w:t xml:space="preserve">The following table provides a reference framework for conduit control specification, mapping zone boundary types to the minimum required firewall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Conduit Type</w:t>
            </w:r>
          </w:p>
        </w:tc>
        <w:tc>
          <w:tcPr>
            <w:tcW w:type="dxa" w:w="348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Min. Control (SL 2)</w:t>
            </w:r>
          </w:p>
        </w:tc>
        <w:tc>
          <w:tcPr>
            <w:tcW w:type="dxa" w:w="348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Additional Control (SL 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Level 4 (IT) → IDMZ</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Stateful application-layer firewall; deny-all default; only permitted inbound flows explicitly allowed; IPS on inbound traffic; full logging of all permitted and denied connections.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Network access control (NAC) on IT-side IDMZ ports; encrypted channels only (TLS 1.2+); mutual certificate authentication for service accounts; anomaly detection on IDMZ traffic.</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IDMZ → Level 3 (OT Operations)</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Stateful OT-aware firewall with industrial protocol inspection; permit only specific source/destination pairs and protocols; no general internet access from IDMZ to Level 3; session logging.</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Unidirectional security gateway (data diode) for data flows that are operationally unidirectional (e.g., historian replication from Level 3 to IDMZ); application-layer proxy for bidirectional flows.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Level 3 → Level 2 (Supervisory)</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Stateful firewall; strict source/destination/protocol whitelisting; OT protocol deep packet inspection where supported; deny all traffic not matching approved rule set.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Hardware-enforced unidirectional gateway for data flows from Level 2 to Level 3 that are operationally one-way; separate firewall instances for each major process unit.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Level 2 → Level 1 (Control)</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Managed Layer 2 switch with VLAN segmentation and port-based access control; OT protocol filtering at switch level; no direct routing between Level 2 and Level 1 without controlled access point.</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Dedicated firewall between Level 2 and Level 1 for SL 3 zones (SIS, critical process controllers); strict whitelisting of engineering workstation access to Level 1 assets.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Remote Access → OT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Dedicated VPN termination point (not shared with IT VPN); MFA required; session recording mandatory; connection limited to specific destination hosts only; time-limited sessions.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Privileged Access Management (PAM) solution with session brokering; just-in-time access provisioning; real-time monitoring of active sessions; automatic session termination on anomaly detection.</w:t>
            </w:r>
          </w:p>
        </w:tc>
      </w:tr>
    </w:tbl>
    <w:p>
      <w:pPr>
        <w:spacing w:after="200" w:before="80"/>
        <w:jc w:val="center"/>
      </w:pPr>
      <w:r>
        <w:rPr>
          <w:rFonts w:ascii="Arial" w:cs="Arial" w:eastAsia="Arial" w:hAnsi="Arial"/>
          <w:b/>
          <w:bCs/>
          <w:i/>
          <w:iCs/>
          <w:color w:val="1F3864"/>
          <w:sz w:val="20"/>
          <w:szCs w:val="20"/>
        </w:rPr>
        <w:t xml:space="preserve">Table 12.4: Conduit Control Requirements by Zone Boundary Type</w:t>
      </w:r>
    </w:p>
    <w:p>
      <w:pPr>
        <w:spacing w:after="200"/>
      </w:pPr>
      <w:r>
        <w:t xml:space="preserve"/>
      </w:r>
    </w:p>
    <w:p>
      <w:pPr>
        <w:pStyle w:val="Heading2"/>
        <w:spacing w:after="160" w:before="280"/>
      </w:pPr>
      <w:r>
        <w:rPr>
          <w:rFonts w:ascii="Arial" w:cs="Arial" w:eastAsia="Arial" w:hAnsi="Arial"/>
          <w:b/>
          <w:bCs/>
          <w:color w:val="2E75B6"/>
          <w:sz w:val="26"/>
          <w:szCs w:val="26"/>
        </w:rPr>
        <w:t xml:space="preserve">12.3.4  The Industrial DMZ Architecture</w:t>
      </w:r>
    </w:p>
    <w:p>
      <w:pPr>
        <w:spacing w:after="160" w:line="276"/>
        <w:jc w:val="both"/>
      </w:pPr>
      <w:r>
        <w:rPr>
          <w:rFonts w:ascii="Arial" w:cs="Arial" w:eastAsia="Arial" w:hAnsi="Arial"/>
          <w:b w:val="false"/>
          <w:bCs w:val="false"/>
          <w:color w:val="000000"/>
          <w:sz w:val="22"/>
          <w:szCs w:val="22"/>
        </w:rPr>
        <w:t xml:space="preserve">The Industrial DMZ (IDMZ) is perhaps the most important single architectural element in OT security. It is the purpose-built security zone that sits between the OT network and the corporate IT network — a controlled buffer zone through which all IT/OT data flows are mediated, and through which no direct connection between the IT and OT networks is permitted.</w:t>
      </w:r>
    </w:p>
    <w:p>
      <w:pPr>
        <w:spacing w:after="160" w:line="276"/>
        <w:jc w:val="both"/>
      </w:pPr>
      <w:r>
        <w:rPr>
          <w:rFonts w:ascii="Arial" w:cs="Arial" w:eastAsia="Arial" w:hAnsi="Arial"/>
          <w:b w:val="false"/>
          <w:bCs w:val="false"/>
          <w:color w:val="000000"/>
          <w:sz w:val="22"/>
          <w:szCs w:val="22"/>
        </w:rPr>
        <w:t xml:space="preserve">The IDMZ concept addresses a fundamental security challenge: modern industrial operations require data exchange between OT and IT systems — production data must flow to ERP, engineering documentation must flow from IT to OT workstations, patch files must be delivered to OT systems. But direct connectivity between IT and OT networks creates an attack path that is among the most frequently exploited in OT security incidents. The IDMZ resolves this tension by providing controlled, mediated data exchange that preserves the integrity of the OT network boundary.</w:t>
      </w:r>
    </w:p>
    <w:p>
      <w:pPr>
        <w:spacing w:after="160" w:line="276"/>
        <w:jc w:val="both"/>
      </w:pPr>
      <w:r>
        <w:rPr>
          <w:rFonts w:ascii="Arial" w:cs="Arial" w:eastAsia="Arial" w:hAnsi="Arial"/>
          <w:b w:val="false"/>
          <w:bCs w:val="false"/>
          <w:color w:val="000000"/>
          <w:sz w:val="22"/>
          <w:szCs w:val="22"/>
        </w:rPr>
        <w:t xml:space="preserve">A properly designed IDMZ contains: data replication services (historian mirror, data aggregation servers) that receive OT data and expose it to IT systems without creating a direct connection; file transfer services that permit controlled, scanned file movement in both directions; jump servers or remote desktop infrastructure for managed OT access from corporate IT; and patch staging services that receive, scan, and stage approved patches before delivery to OT systems. Each of these services must be specifically designed to prevent the IDMZ from becoming a pass-through rather than a true boundary.</w:t>
      </w:r>
    </w:p>
    <w:p>
      <w:pPr>
        <w:pStyle w:val="Heading2"/>
        <w:spacing w:after="160" w:before="280"/>
      </w:pPr>
      <w:r>
        <w:rPr>
          <w:rFonts w:ascii="Arial" w:cs="Arial" w:eastAsia="Arial" w:hAnsi="Arial"/>
          <w:b/>
          <w:bCs/>
          <w:color w:val="2E75B6"/>
          <w:sz w:val="26"/>
          <w:szCs w:val="26"/>
        </w:rPr>
        <w:t xml:space="preserve">12.3.5  Common Segmentation Failure Modes</w:t>
      </w:r>
    </w:p>
    <w:p>
      <w:pPr>
        <w:spacing w:after="160" w:line="276"/>
        <w:jc w:val="both"/>
      </w:pPr>
      <w:r>
        <w:rPr>
          <w:rFonts w:ascii="Arial" w:cs="Arial" w:eastAsia="Arial" w:hAnsi="Arial"/>
          <w:b w:val="false"/>
          <w:bCs w:val="false"/>
          <w:color w:val="000000"/>
          <w:sz w:val="22"/>
          <w:szCs w:val="22"/>
        </w:rPr>
        <w:t xml:space="preserve">The author's experience across multiple OT security assessments consistently identifies the same segmentation failure modes. Understanding these failure modes is as important as understanding correct segmentation design — because they reveal how segmentation intentions are undermined in practice:</w:t>
      </w:r>
    </w:p>
    <w:p>
      <w:pPr>
        <w:pStyle w:val="ListParagraph"/>
        <w:numPr>
          <w:ilvl w:val="0"/>
          <w:numId w:val="3"/>
        </w:numPr>
        <w:spacing w:after="100" w:line="276"/>
      </w:pPr>
      <w:r>
        <w:rPr>
          <w:rFonts w:ascii="Arial" w:cs="Arial" w:eastAsia="Arial" w:hAnsi="Arial"/>
          <w:sz w:val="22"/>
          <w:szCs w:val="22"/>
        </w:rPr>
        <w:t xml:space="preserve">The flat OT network: The most common finding in OT security assessments is an OT network that is nominally 'separate' from IT but is, in practice, a flat Layer 2 network in which all OT systems communicate freely with each other and with a small number of IT-connected systems. The absence of internal segmentation means that a single compromised OT workstation has unrestricted access to every PLC, DCS controller, and engineering workstation in the facility.</w:t>
      </w:r>
    </w:p>
    <w:p>
      <w:pPr>
        <w:pStyle w:val="ListParagraph"/>
        <w:numPr>
          <w:ilvl w:val="0"/>
          <w:numId w:val="3"/>
        </w:numPr>
        <w:spacing w:after="100" w:line="276"/>
      </w:pPr>
      <w:r>
        <w:rPr>
          <w:rFonts w:ascii="Arial" w:cs="Arial" w:eastAsia="Arial" w:hAnsi="Arial"/>
          <w:sz w:val="22"/>
          <w:szCs w:val="22"/>
        </w:rPr>
        <w:t xml:space="preserve">The IT/OT bridge: A workstation or server that has network interfaces on both the IT network and the OT network — often a historian server or an engineering workstation that was connected to IT for software updates. This creates a direct bypass of all OT perimeter controls. Every IT/OT bridge identified in an assessment should be treated as a critical finding regardless of other compensating controls.</w:t>
      </w:r>
    </w:p>
    <w:p>
      <w:pPr>
        <w:pStyle w:val="ListParagraph"/>
        <w:numPr>
          <w:ilvl w:val="0"/>
          <w:numId w:val="3"/>
        </w:numPr>
        <w:spacing w:after="100" w:line="276"/>
      </w:pPr>
      <w:r>
        <w:rPr>
          <w:rFonts w:ascii="Arial" w:cs="Arial" w:eastAsia="Arial" w:hAnsi="Arial"/>
          <w:sz w:val="22"/>
          <w:szCs w:val="22"/>
        </w:rPr>
        <w:t xml:space="preserve">The rogue Wi-Fi access point: Wireless access points connected to the OT network — often installed by operations or engineering staff for operational convenience without security review. Wireless introduces an attack surface that is inherently difficult to control and monitor. All OT wireless connections must be identified and brought under the change management process.</w:t>
      </w:r>
    </w:p>
    <w:p>
      <w:pPr>
        <w:pStyle w:val="ListParagraph"/>
        <w:numPr>
          <w:ilvl w:val="0"/>
          <w:numId w:val="3"/>
        </w:numPr>
        <w:spacing w:after="100" w:line="276"/>
      </w:pPr>
      <w:r>
        <w:rPr>
          <w:rFonts w:ascii="Arial" w:cs="Arial" w:eastAsia="Arial" w:hAnsi="Arial"/>
          <w:sz w:val="22"/>
          <w:szCs w:val="22"/>
        </w:rPr>
        <w:t xml:space="preserve">The exception that became permanent: A temporary network connection created for a maintenance activity, a project, or a one-time data transfer that was never removed. OT networks often contain legacy connections that predate the current security posture and that no one is certain whether they are still needed. The change management process (Chapter 11) must include a periodic conduit review to identify and remove these remnant connections.</w:t>
      </w:r>
    </w:p>
    <w:p>
      <w:pPr>
        <w:pStyle w:val="ListParagraph"/>
        <w:numPr>
          <w:ilvl w:val="0"/>
          <w:numId w:val="3"/>
        </w:numPr>
        <w:spacing w:after="100" w:line="276"/>
      </w:pPr>
      <w:r>
        <w:rPr>
          <w:rFonts w:ascii="Arial" w:cs="Arial" w:eastAsia="Arial" w:hAnsi="Arial"/>
          <w:sz w:val="22"/>
          <w:szCs w:val="22"/>
        </w:rPr>
        <w:t xml:space="preserve">The vendor support connection: A direct internet connection to an OT system created by a vendor for remote diagnostics — often through a cellular modem or a vendor-supplied router. These connections are frequently undocumented, are typically not subject to the organisation's security controls, and represent some of the highest-risk entry points in OT environments.</w:t>
      </w:r>
    </w:p>
    <w:p>
      <w:r>
        <w:br w:type="page"/>
      </w:r>
    </w:p>
    <w:p>
      <w:pPr>
        <w:pStyle w:val="Heading1"/>
        <w:spacing w:after="200" w:before="360"/>
      </w:pPr>
      <w:r>
        <w:rPr>
          <w:rFonts w:ascii="Arial" w:cs="Arial" w:eastAsia="Arial" w:hAnsi="Arial"/>
          <w:b/>
          <w:bCs/>
          <w:color w:val="1F3864"/>
          <w:sz w:val="32"/>
          <w:szCs w:val="32"/>
        </w:rPr>
        <w:t xml:space="preserve">12.4  Identity and Access Management for OT</w:t>
      </w:r>
    </w:p>
    <w:p>
      <w:pPr>
        <w:spacing w:after="160" w:line="276"/>
        <w:jc w:val="both"/>
      </w:pPr>
      <w:r>
        <w:rPr>
          <w:rFonts w:ascii="Arial" w:cs="Arial" w:eastAsia="Arial" w:hAnsi="Arial"/>
          <w:b w:val="false"/>
          <w:bCs w:val="false"/>
          <w:color w:val="000000"/>
          <w:sz w:val="22"/>
          <w:szCs w:val="22"/>
        </w:rPr>
        <w:t xml:space="preserve">Identity and Access Management (IAM) addresses IEC 62443-3-3 FR 1 (Identification and Authentication Control) and FR 2 (Use Control). Together, these Foundational Requirements establish that every access to an OT system must be traceable to an identified, authenticated individual or process, and that access must be limited to what is necessary for that individual's or process's legitimate function. These requirements appear straightforward but present significant implementation challenges in OT environments that were designed and built before modern IAM concepts existed.</w:t>
      </w:r>
    </w:p>
    <w:p>
      <w:pPr>
        <w:spacing w:after="160" w:line="276"/>
        <w:jc w:val="both"/>
      </w:pPr>
      <w:r>
        <w:rPr>
          <w:rFonts w:ascii="Arial" w:cs="Arial" w:eastAsia="Arial" w:hAnsi="Arial"/>
          <w:b w:val="false"/>
          <w:bCs w:val="false"/>
          <w:color w:val="000000"/>
          <w:sz w:val="22"/>
          <w:szCs w:val="22"/>
        </w:rPr>
        <w:t xml:space="preserve">The history of OT system authentication is a history of convenience and operational necessity overriding security requirements. Shared accounts (one account used by all operators on a shift), default vendor credentials (unchanged from factory configuration), no authentication (direct access to PLC programming interfaces without logon), and vendor backdoor accounts (hardcoded credentials installed by vendors for maintenance access) are endemic in legacy OT environments. The OT IAM programme must address this legacy while working within the constraints of systems that cannot be patched, cannot support modern authentication protocols, and cannot tolerate authentication-induced delays.</w:t>
      </w:r>
    </w:p>
    <w:p>
      <w:pPr>
        <w:pStyle w:val="Heading2"/>
        <w:spacing w:after="160" w:before="280"/>
      </w:pPr>
      <w:r>
        <w:rPr>
          <w:rFonts w:ascii="Arial" w:cs="Arial" w:eastAsia="Arial" w:hAnsi="Arial"/>
          <w:b/>
          <w:bCs/>
          <w:color w:val="2E75B6"/>
          <w:sz w:val="26"/>
          <w:szCs w:val="26"/>
        </w:rPr>
        <w:t xml:space="preserve">12.4.1  OT-Specific IAM Constraints</w:t>
      </w:r>
    </w:p>
    <w:p>
      <w:pPr>
        <w:spacing w:after="160" w:line="276"/>
        <w:jc w:val="both"/>
      </w:pPr>
      <w:r>
        <w:rPr>
          <w:rFonts w:ascii="Arial" w:cs="Arial" w:eastAsia="Arial" w:hAnsi="Arial"/>
          <w:b w:val="false"/>
          <w:bCs w:val="false"/>
          <w:color w:val="000000"/>
          <w:sz w:val="22"/>
          <w:szCs w:val="22"/>
        </w:rPr>
        <w:t xml:space="preserve">Before specifying OT IAM controls, the practitioner must understand the specific constraints that distinguish OT IAM from enterprise IT IAM:</w:t>
      </w:r>
    </w:p>
    <w:p>
      <w:pPr>
        <w:pStyle w:val="ListParagraph"/>
        <w:numPr>
          <w:ilvl w:val="0"/>
          <w:numId w:val="3"/>
        </w:numPr>
        <w:spacing w:after="100" w:line="276"/>
      </w:pPr>
      <w:r>
        <w:rPr>
          <w:rFonts w:ascii="Arial" w:cs="Arial" w:eastAsia="Arial" w:hAnsi="Arial"/>
          <w:sz w:val="22"/>
          <w:szCs w:val="22"/>
        </w:rPr>
        <w:t xml:space="preserve">Legacy system authentication limitations: Many OT systems — particularly PLCs and DCS controllers deployed more than five years ago — do not support individual user authentication at the controller level. Authentication occurs at the engineering workstation or HMI that connects to the controller, not at the controller itself. IAM controls must therefore focus on the workstation layer, with compensating controls at the network layer for controller access.</w:t>
      </w:r>
    </w:p>
    <w:p>
      <w:pPr>
        <w:pStyle w:val="ListParagraph"/>
        <w:numPr>
          <w:ilvl w:val="0"/>
          <w:numId w:val="3"/>
        </w:numPr>
        <w:spacing w:after="100" w:line="276"/>
      </w:pPr>
      <w:r>
        <w:rPr>
          <w:rFonts w:ascii="Arial" w:cs="Arial" w:eastAsia="Arial" w:hAnsi="Arial"/>
          <w:sz w:val="22"/>
          <w:szCs w:val="22"/>
        </w:rPr>
        <w:t xml:space="preserve">Shared account operational requirements: In shift-based operations, operators may legitimately need to access an HMI workstation that was last used by the previous shift without a full logon procedure. The operational argument for shared accounts is strongest in emergency situations — when a process upset occurs, the seconds required to complete an individual logon sequence can have operational consequences. IAM design must address this constraint with solutions that provide individual accountability without unacceptable operational impact (such as smart card authentication that enables rapid session transition without full re-authentication).</w:t>
      </w:r>
    </w:p>
    <w:p>
      <w:pPr>
        <w:pStyle w:val="ListParagraph"/>
        <w:numPr>
          <w:ilvl w:val="0"/>
          <w:numId w:val="3"/>
        </w:numPr>
        <w:spacing w:after="100" w:line="276"/>
      </w:pPr>
      <w:r>
        <w:rPr>
          <w:rFonts w:ascii="Arial" w:cs="Arial" w:eastAsia="Arial" w:hAnsi="Arial"/>
          <w:sz w:val="22"/>
          <w:szCs w:val="22"/>
        </w:rPr>
        <w:t xml:space="preserve">Password rotation constraints: Standard enterprise IAM practice mandates regular password rotation — typically every 90 days. For OT systems, password rotation requires a change management process that involves vendor coordination, testing in a representative environment, and coordinated deployment during a maintenance window. Forcing 90-day rotation on OT systems without these constraints will produce insecure compensating behaviours (written passwords, simple predictable patterns) rather than improved security.</w:t>
      </w:r>
    </w:p>
    <w:p>
      <w:pPr>
        <w:pStyle w:val="ListParagraph"/>
        <w:numPr>
          <w:ilvl w:val="0"/>
          <w:numId w:val="3"/>
        </w:numPr>
        <w:spacing w:after="100" w:line="276"/>
      </w:pPr>
      <w:r>
        <w:rPr>
          <w:rFonts w:ascii="Arial" w:cs="Arial" w:eastAsia="Arial" w:hAnsi="Arial"/>
          <w:sz w:val="22"/>
          <w:szCs w:val="22"/>
        </w:rPr>
        <w:t xml:space="preserve">Real-time availability requirements: OT authentication mechanisms must not introduce latency that affects process control performance. Active Directory authentication for a control room HMI must not be dependent on a domain controller that is subject to IT maintenance windows or network outages. OT authentication infrastructure must be designed for high availability with local authentication fallback.</w:t>
      </w:r>
    </w:p>
    <w:p>
      <w:pPr>
        <w:pStyle w:val="ListParagraph"/>
        <w:numPr>
          <w:ilvl w:val="0"/>
          <w:numId w:val="3"/>
        </w:numPr>
        <w:spacing w:after="100" w:line="276"/>
      </w:pPr>
      <w:r>
        <w:rPr>
          <w:rFonts w:ascii="Arial" w:cs="Arial" w:eastAsia="Arial" w:hAnsi="Arial"/>
          <w:sz w:val="22"/>
          <w:szCs w:val="22"/>
        </w:rPr>
        <w:t xml:space="preserve">Emergency access requirements: OT systems must always be accessible by authorised personnel in an emergency — including when normal authentication infrastructure is unavailable. Emergency access procedures (break-glass accounts, hardware key access) must be designed, documented, and periodically tested. Emergency access use must be logged and reviewed without exception.</w:t>
      </w:r>
    </w:p>
    <w:p>
      <w:pPr>
        <w:pStyle w:val="Heading2"/>
        <w:spacing w:after="160" w:before="280"/>
      </w:pPr>
      <w:r>
        <w:rPr>
          <w:rFonts w:ascii="Arial" w:cs="Arial" w:eastAsia="Arial" w:hAnsi="Arial"/>
          <w:b/>
          <w:bCs/>
          <w:color w:val="2E75B6"/>
          <w:sz w:val="26"/>
          <w:szCs w:val="26"/>
        </w:rPr>
        <w:t xml:space="preserve">12.4.2  Identity Architecture for OT</w:t>
      </w:r>
    </w:p>
    <w:p>
      <w:pPr>
        <w:spacing w:after="160" w:line="276"/>
        <w:jc w:val="both"/>
      </w:pPr>
      <w:r>
        <w:rPr>
          <w:rFonts w:ascii="Arial" w:cs="Arial" w:eastAsia="Arial" w:hAnsi="Arial"/>
          <w:b w:val="false"/>
          <w:bCs w:val="false"/>
          <w:color w:val="000000"/>
          <w:sz w:val="22"/>
          <w:szCs w:val="22"/>
        </w:rPr>
        <w:t xml:space="preserve">The recommended identity architecture for OT environments uses a layered approach that maximises accountability at each layer while respecting the constraints of OT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760"/>
      </w:tblGrid>
      <w:tr>
        <w:tc>
          <w:tcPr>
            <w:tcW w:type="dxa" w:w="18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Layer</w:t>
            </w:r>
          </w:p>
        </w:tc>
        <w:tc>
          <w:tcPr>
            <w:tcW w:type="dxa" w:w="24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Systems</w:t>
            </w:r>
          </w:p>
        </w:tc>
        <w:tc>
          <w:tcPr>
            <w:tcW w:type="dxa" w:w="24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IAM Approach</w:t>
            </w:r>
          </w:p>
        </w:tc>
        <w:tc>
          <w:tcPr>
            <w:tcW w:type="dxa" w:w="276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Compensating Controls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Engineering Workstations and HMI</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DCS engineering workstations, SCADA server consoles, HMI terminals, historian clients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Individual accounts on a dedicated OT Active Directory domain (separate from corporate IT AD); MFA for remote access; smart card for on-site engineering workstations at SL 3 zones.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Console session recording; automatic screen lock (5 min); USB port control; application whitelisting.</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OT Servers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Historian servers, SCADA servers, OT application servers, data diode servers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Individual service accounts with minimum required privileges; no shared accounts; privileged access only through PAM solution; local admin accounts disabled or managed through PAM.</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Privileged access workstation (PAW) requirement for server administration; all privileged sessions recorded; quarterly access review.</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Control System Level (PLC/DCS/SIS)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PLCs, DCS controllers, RTUs, safety logic solvers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Vendor-specific authentication where available; where not available, access controls implemented at workstation layer (above) and network layer (firewall/VLAN). Vendor default credentials changed on commissioning and at regular intervals.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Network-level access control (only engineering workstations can connect to controller programming ports); physical access control to controller cabinets; all controller connection attempts logged at network level.</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Remote Access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VPN, jump server, vendor access portals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Individual accounts with MFA mandatory (no exceptions); privileged access management solution for all vendor and contractor remote sessions; just-in-time access provisioning.</w:t>
            </w:r>
          </w:p>
        </w:tc>
        <w:tc>
          <w:tcPr>
            <w:tcW w:type="dxa" w:w="2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Session recording for all remote sessions; time-limited sessions (max 8 hours, then re-authentication); scope-limited connections (vendor can only reach specific authorised systems).</w:t>
            </w:r>
          </w:p>
        </w:tc>
      </w:tr>
    </w:tbl>
    <w:p>
      <w:pPr>
        <w:spacing w:after="200" w:before="80"/>
        <w:jc w:val="center"/>
      </w:pPr>
      <w:r>
        <w:rPr>
          <w:rFonts w:ascii="Arial" w:cs="Arial" w:eastAsia="Arial" w:hAnsi="Arial"/>
          <w:b/>
          <w:bCs/>
          <w:i/>
          <w:iCs/>
          <w:color w:val="1F3864"/>
          <w:sz w:val="20"/>
          <w:szCs w:val="20"/>
        </w:rPr>
        <w:t xml:space="preserve">Table 12.5: OT Identity Architecture by System Layer</w:t>
      </w:r>
    </w:p>
    <w:p>
      <w:pPr>
        <w:spacing w:after="200"/>
      </w:pPr>
      <w:r>
        <w:t xml:space="preserve"/>
      </w:r>
    </w:p>
    <w:p>
      <w:pPr>
        <w:pStyle w:val="Heading2"/>
        <w:spacing w:after="160" w:before="280"/>
      </w:pPr>
      <w:r>
        <w:rPr>
          <w:rFonts w:ascii="Arial" w:cs="Arial" w:eastAsia="Arial" w:hAnsi="Arial"/>
          <w:b/>
          <w:bCs/>
          <w:color w:val="2E75B6"/>
          <w:sz w:val="26"/>
          <w:szCs w:val="26"/>
        </w:rPr>
        <w:t xml:space="preserve">12.4.3  Role-Based Access Control in OT</w:t>
      </w:r>
    </w:p>
    <w:p>
      <w:pPr>
        <w:spacing w:after="160" w:line="276"/>
        <w:jc w:val="both"/>
      </w:pPr>
      <w:r>
        <w:rPr>
          <w:rFonts w:ascii="Arial" w:cs="Arial" w:eastAsia="Arial" w:hAnsi="Arial"/>
          <w:b w:val="false"/>
          <w:bCs w:val="false"/>
          <w:color w:val="000000"/>
          <w:sz w:val="22"/>
          <w:szCs w:val="22"/>
        </w:rPr>
        <w:t xml:space="preserve">FR 2 (Use Control) requires that access to OT systems be restricted to what each user legitimately needs for their role — the principle of least privilege. In OT environments, this is implemented through role-based access control (RBAC) schemes that define what each role can do within the OT system, aligned to operational function and security level requirements. The following roles are typical in a process industry OT environment:</w:t>
      </w:r>
    </w:p>
    <w:p>
      <w:pPr>
        <w:pStyle w:val="ListParagraph"/>
        <w:numPr>
          <w:ilvl w:val="0"/>
          <w:numId w:val="3"/>
        </w:numPr>
        <w:spacing w:after="100" w:line="276"/>
      </w:pPr>
      <w:r>
        <w:rPr>
          <w:rFonts w:ascii="Arial" w:cs="Arial" w:eastAsia="Arial" w:hAnsi="Arial"/>
          <w:sz w:val="22"/>
          <w:szCs w:val="22"/>
        </w:rPr>
        <w:t xml:space="preserve">Operator: Read access to all process data in their operating area; write access to setpoints and manual overrides within defined ranges; no access to control logic, configuration, or engineering functions. No remote access.</w:t>
      </w:r>
    </w:p>
    <w:p>
      <w:pPr>
        <w:pStyle w:val="ListParagraph"/>
        <w:numPr>
          <w:ilvl w:val="0"/>
          <w:numId w:val="3"/>
        </w:numPr>
        <w:spacing w:after="100" w:line="276"/>
      </w:pPr>
      <w:r>
        <w:rPr>
          <w:rFonts w:ascii="Arial" w:cs="Arial" w:eastAsia="Arial" w:hAnsi="Arial"/>
          <w:sz w:val="22"/>
          <w:szCs w:val="22"/>
        </w:rPr>
        <w:t xml:space="preserve">Senior Operator / Control Room Supervisor: All Operator permissions; plus access to alarm management functions and operating limits adjustment within pre-defined ranges.</w:t>
      </w:r>
    </w:p>
    <w:p>
      <w:pPr>
        <w:pStyle w:val="ListParagraph"/>
        <w:numPr>
          <w:ilvl w:val="0"/>
          <w:numId w:val="3"/>
        </w:numPr>
        <w:spacing w:after="100" w:line="276"/>
      </w:pPr>
      <w:r>
        <w:rPr>
          <w:rFonts w:ascii="Arial" w:cs="Arial" w:eastAsia="Arial" w:hAnsi="Arial"/>
          <w:sz w:val="22"/>
          <w:szCs w:val="22"/>
        </w:rPr>
        <w:t xml:space="preserve">Instrument/Control Engineer: Read/write access to engineering functions (PLC programming, DCS configuration, loop tuning) for systems within their scope; no access to safety system logic without additional approval; must follow change management procedure for all configuration changes.</w:t>
      </w:r>
    </w:p>
    <w:p>
      <w:pPr>
        <w:pStyle w:val="ListParagraph"/>
        <w:numPr>
          <w:ilvl w:val="0"/>
          <w:numId w:val="3"/>
        </w:numPr>
        <w:spacing w:after="100" w:line="276"/>
      </w:pPr>
      <w:r>
        <w:rPr>
          <w:rFonts w:ascii="Arial" w:cs="Arial" w:eastAsia="Arial" w:hAnsi="Arial"/>
          <w:sz w:val="22"/>
          <w:szCs w:val="22"/>
        </w:rPr>
        <w:t xml:space="preserve">OT Security Analyst: Read-only access to OT network monitoring infrastructure and logging systems; no access to control system configuration; access to security scanning tools within approved scope.</w:t>
      </w:r>
    </w:p>
    <w:p>
      <w:pPr>
        <w:pStyle w:val="ListParagraph"/>
        <w:numPr>
          <w:ilvl w:val="0"/>
          <w:numId w:val="3"/>
        </w:numPr>
        <w:spacing w:after="100" w:line="276"/>
      </w:pPr>
      <w:r>
        <w:rPr>
          <w:rFonts w:ascii="Arial" w:cs="Arial" w:eastAsia="Arial" w:hAnsi="Arial"/>
          <w:sz w:val="22"/>
          <w:szCs w:val="22"/>
        </w:rPr>
        <w:t xml:space="preserve">Vendor / Third-Party Technician: Scope-limited access to the specific systems covered by their maintenance scope, for the duration of authorised maintenance activities only; no standing access; all sessions supervised or recorded; access provisioned through PAM solution.</w:t>
      </w:r>
    </w:p>
    <w:p>
      <w:pPr>
        <w:pStyle w:val="ListParagraph"/>
        <w:numPr>
          <w:ilvl w:val="0"/>
          <w:numId w:val="3"/>
        </w:numPr>
        <w:spacing w:after="100" w:line="276"/>
      </w:pPr>
      <w:r>
        <w:rPr>
          <w:rFonts w:ascii="Arial" w:cs="Arial" w:eastAsia="Arial" w:hAnsi="Arial"/>
          <w:sz w:val="22"/>
          <w:szCs w:val="22"/>
        </w:rPr>
        <w:t xml:space="preserve">Emergency Break-Glass: Pre-provisioned accounts for emergency scenarios where normal authentication infrastructure is unavailable; use triggers immediate alert to OT Security Manager; usage logged and reviewed within 24 hours; password changed immediately after use.</w:t>
      </w:r>
    </w:p>
    <w:p>
      <w:pPr>
        <w:pStyle w:val="Heading2"/>
        <w:spacing w:after="160" w:before="280"/>
      </w:pPr>
      <w:r>
        <w:rPr>
          <w:rFonts w:ascii="Arial" w:cs="Arial" w:eastAsia="Arial" w:hAnsi="Arial"/>
          <w:b/>
          <w:bCs/>
          <w:color w:val="2E75B6"/>
          <w:sz w:val="26"/>
          <w:szCs w:val="26"/>
        </w:rPr>
        <w:t xml:space="preserve">12.4.4  Privileged Access Management</w:t>
      </w:r>
    </w:p>
    <w:p>
      <w:pPr>
        <w:spacing w:after="160" w:line="276"/>
        <w:jc w:val="both"/>
      </w:pPr>
      <w:r>
        <w:rPr>
          <w:rFonts w:ascii="Arial" w:cs="Arial" w:eastAsia="Arial" w:hAnsi="Arial"/>
          <w:b w:val="false"/>
          <w:bCs w:val="false"/>
          <w:color w:val="000000"/>
          <w:sz w:val="22"/>
          <w:szCs w:val="22"/>
        </w:rPr>
        <w:t xml:space="preserve">Privileged Access Management (PAM) solutions provide the technical infrastructure for managing, monitoring, and controlling privileged access to OT systems — particularly for remote vendor access and high-privilege engineering account management. PAM solutions provide a centralised access gateway through which all privileged sessions are brokered, recorded, and monitored in real time.</w:t>
      </w:r>
    </w:p>
    <w:p>
      <w:pPr>
        <w:spacing w:after="160" w:line="276"/>
        <w:jc w:val="both"/>
      </w:pPr>
      <w:r>
        <w:rPr>
          <w:rFonts w:ascii="Arial" w:cs="Arial" w:eastAsia="Arial" w:hAnsi="Arial"/>
          <w:b w:val="false"/>
          <w:bCs w:val="false"/>
          <w:color w:val="000000"/>
          <w:sz w:val="22"/>
          <w:szCs w:val="22"/>
        </w:rPr>
        <w:t xml:space="preserve">The deployment of a PAM solution in an OT environment requires careful planning to address OT-specific requirements. The PAM solution must support OT protocols (RDP for HMI remote access, SSH for server management, proprietary vendor protocols where required). It must be available independently of corporate IT infrastructure (dedicated OT PAM instance or high-availability deployment). And it must be integrated with the OT incident response process so that active sessions can be terminated immediately when a security incident is detected.</w:t>
      </w:r>
    </w:p>
    <w:p>
      <w:pPr>
        <w:spacing w:after="160" w:line="276"/>
        <w:jc w:val="both"/>
      </w:pPr>
      <w:r>
        <w:rPr>
          <w:rFonts w:ascii="Arial" w:cs="Arial" w:eastAsia="Arial" w:hAnsi="Arial"/>
          <w:b w:val="false"/>
          <w:bCs w:val="false"/>
          <w:color w:val="000000"/>
          <w:sz w:val="22"/>
          <w:szCs w:val="22"/>
        </w:rPr>
        <w:t xml:space="preserve">The IEC 62443-3-3 SR 1.3 requirement (Account Management) at SL 2 mandates that all accounts be uniquely identified and that account use be monitored. At SL 3, SR 1.1 extends this to require that all use of privileged accounts be specifically identified and the use of generic or shared accounts be prevented or mitigated with compensating controls. PAM solutions directly address these requirements by providing individual accountability for all privileged sessions regardless of the underlying system's native authentication capability.</w:t>
      </w:r>
    </w:p>
    <w:p>
      <w:r>
        <w:br w:type="page"/>
      </w:r>
    </w:p>
    <w:p>
      <w:pPr>
        <w:pStyle w:val="Heading1"/>
        <w:spacing w:after="200" w:before="360"/>
      </w:pPr>
      <w:r>
        <w:rPr>
          <w:rFonts w:ascii="Arial" w:cs="Arial" w:eastAsia="Arial" w:hAnsi="Arial"/>
          <w:b/>
          <w:bCs/>
          <w:color w:val="1F3864"/>
          <w:sz w:val="32"/>
          <w:szCs w:val="32"/>
        </w:rPr>
        <w:t xml:space="preserve">12.5  Security Monitoring and Intrusion Detection in OT Environments</w:t>
      </w:r>
    </w:p>
    <w:p>
      <w:pPr>
        <w:spacing w:after="160" w:line="276"/>
        <w:jc w:val="both"/>
      </w:pPr>
      <w:r>
        <w:rPr>
          <w:rFonts w:ascii="Arial" w:cs="Arial" w:eastAsia="Arial" w:hAnsi="Arial"/>
          <w:b w:val="false"/>
          <w:bCs w:val="false"/>
          <w:color w:val="000000"/>
          <w:sz w:val="22"/>
          <w:szCs w:val="22"/>
        </w:rPr>
        <w:t xml:space="preserve">Security monitoring addresses IEC 62443-3-3 FR 6 (Timely Response to Events) — the requirement that security violations be detected, reported to appropriate authority, and acted upon. In OT environments, the ability to detect anomalous activity — whether indicating an external attack, insider threat, or unintended configuration change — is particularly challenging because: OT protocols were not designed to support security logging; OT systems have limited processing capacity for security monitoring functions; and the 'normal' behaviour of OT networks is highly regular and repetitive, creating both an opportunity for anomaly detection and a risk of alert fatigue from false positives.</w:t>
      </w:r>
    </w:p>
    <w:p>
      <w:pPr>
        <w:spacing w:after="160" w:line="276"/>
        <w:jc w:val="both"/>
      </w:pPr>
      <w:r>
        <w:rPr>
          <w:rFonts w:ascii="Arial" w:cs="Arial" w:eastAsia="Arial" w:hAnsi="Arial"/>
          <w:b w:val="false"/>
          <w:bCs w:val="false"/>
          <w:color w:val="000000"/>
          <w:sz w:val="22"/>
          <w:szCs w:val="22"/>
        </w:rPr>
        <w:t xml:space="preserve">The distinction between IT security monitoring and OT security monitoring is fundamental. IT security monitoring focuses on the detection of anomalous user behaviour, malware activity, and data exfiltration across systems where the normal traffic pattern is complex and variable. OT security monitoring focuses on the detection of changes to a highly predictable network and process environment — where the appearance of a new device, an unexpected protocol, or an unusual process value is a significant indicator of potential compromise or misconfiguration. The deterministic nature of OT communication is the key enabling characteristic of effective OT security monitoring.</w:t>
      </w:r>
    </w:p>
    <w:p>
      <w:pPr>
        <w:pStyle w:val="Heading2"/>
        <w:spacing w:after="160" w:before="280"/>
      </w:pPr>
      <w:r>
        <w:rPr>
          <w:rFonts w:ascii="Arial" w:cs="Arial" w:eastAsia="Arial" w:hAnsi="Arial"/>
          <w:b/>
          <w:bCs/>
          <w:color w:val="2E75B6"/>
          <w:sz w:val="26"/>
          <w:szCs w:val="26"/>
        </w:rPr>
        <w:t xml:space="preserve">12.5.1  OT-Specific Intrusion Detection Architecture</w:t>
      </w:r>
    </w:p>
    <w:p>
      <w:pPr>
        <w:spacing w:after="160" w:line="276"/>
        <w:jc w:val="both"/>
      </w:pPr>
      <w:r>
        <w:rPr>
          <w:rFonts w:ascii="Arial" w:cs="Arial" w:eastAsia="Arial" w:hAnsi="Arial"/>
          <w:b w:val="false"/>
          <w:bCs w:val="false"/>
          <w:color w:val="000000"/>
          <w:sz w:val="22"/>
          <w:szCs w:val="22"/>
        </w:rPr>
        <w:t xml:space="preserve">OT intrusion detection systems (OT-IDS) are fundamentally different from enterprise IT IDS/IPS solutions. The critical differences that determine OT-IDS design are:</w:t>
      </w:r>
    </w:p>
    <w:p>
      <w:pPr>
        <w:pStyle w:val="ListParagraph"/>
        <w:numPr>
          <w:ilvl w:val="0"/>
          <w:numId w:val="3"/>
        </w:numPr>
        <w:spacing w:after="100" w:line="276"/>
      </w:pPr>
      <w:r>
        <w:rPr>
          <w:rFonts w:ascii="Arial" w:cs="Arial" w:eastAsia="Arial" w:hAnsi="Arial"/>
          <w:sz w:val="22"/>
          <w:szCs w:val="22"/>
        </w:rPr>
        <w:t xml:space="preserve">Passive monitoring only: OT-IDS must not inject traffic into the OT network. Active scanning approaches standard in IT security (vulnerability scanners, active probes) can disrupt OT communications and cause process upsets. All OT-IDS monitoring must be passive — achieved through network SPAN ports, network taps, or passive monitoring infrastructure.</w:t>
      </w:r>
    </w:p>
    <w:p>
      <w:pPr>
        <w:pStyle w:val="ListParagraph"/>
        <w:numPr>
          <w:ilvl w:val="0"/>
          <w:numId w:val="3"/>
        </w:numPr>
        <w:spacing w:after="100" w:line="276"/>
      </w:pPr>
      <w:r>
        <w:rPr>
          <w:rFonts w:ascii="Arial" w:cs="Arial" w:eastAsia="Arial" w:hAnsi="Arial"/>
          <w:sz w:val="22"/>
          <w:szCs w:val="22"/>
        </w:rPr>
        <w:t xml:space="preserve">Protocol decoding: OT networks carry industrial protocols (Modbus TCP, DNP3, EtherNet/IP, Profinet, OPC-UA, IEC 61850) that standard IT security tools cannot decode. Effective OT-IDS must be capable of parsing these protocols to extract meaningful indicators — such as detecting a Modbus 'Force Single Coil' command that could indicate an attempt to force a process output.</w:t>
      </w:r>
    </w:p>
    <w:p>
      <w:pPr>
        <w:pStyle w:val="ListParagraph"/>
        <w:numPr>
          <w:ilvl w:val="0"/>
          <w:numId w:val="3"/>
        </w:numPr>
        <w:spacing w:after="100" w:line="276"/>
      </w:pPr>
      <w:r>
        <w:rPr>
          <w:rFonts w:ascii="Arial" w:cs="Arial" w:eastAsia="Arial" w:hAnsi="Arial"/>
          <w:sz w:val="22"/>
          <w:szCs w:val="22"/>
        </w:rPr>
        <w:t xml:space="preserve">Baseline and anomaly detection: The most effective OT-IDS approach is to establish a comprehensive baseline of normal OT network behaviour — which devices communicate with which other devices, using which protocols, at what frequency — and alert on deviations from that baseline. This approach is highly effective in OT environments precisely because OT communication is deterministic and the baseline is stable.</w:t>
      </w:r>
    </w:p>
    <w:p>
      <w:pPr>
        <w:pStyle w:val="ListParagraph"/>
        <w:numPr>
          <w:ilvl w:val="0"/>
          <w:numId w:val="3"/>
        </w:numPr>
        <w:spacing w:after="100" w:line="276"/>
      </w:pPr>
      <w:r>
        <w:rPr>
          <w:rFonts w:ascii="Arial" w:cs="Arial" w:eastAsia="Arial" w:hAnsi="Arial"/>
          <w:sz w:val="22"/>
          <w:szCs w:val="22"/>
        </w:rPr>
        <w:t xml:space="preserve">Zero-day threat detection: Because OT systems are rarely patched, OT-IDS cannot rely on signature-based detection of known vulnerabilities. Behavioural anomaly detection is more relevant than signature matching for OT environments with high unpatched vulnerability density.</w:t>
      </w:r>
    </w:p>
    <w:p>
      <w:pPr>
        <w:pStyle w:val="Heading2"/>
        <w:spacing w:after="160" w:before="280"/>
      </w:pPr>
      <w:r>
        <w:rPr>
          <w:rFonts w:ascii="Arial" w:cs="Arial" w:eastAsia="Arial" w:hAnsi="Arial"/>
          <w:b/>
          <w:bCs/>
          <w:color w:val="2E75B6"/>
          <w:sz w:val="26"/>
          <w:szCs w:val="26"/>
        </w:rPr>
        <w:t xml:space="preserve">12.5.2  OT Security Monitoring Platforms</w:t>
      </w:r>
    </w:p>
    <w:p>
      <w:pPr>
        <w:spacing w:after="160" w:line="276"/>
        <w:jc w:val="both"/>
      </w:pPr>
      <w:r>
        <w:rPr>
          <w:rFonts w:ascii="Arial" w:cs="Arial" w:eastAsia="Arial" w:hAnsi="Arial"/>
          <w:b w:val="false"/>
          <w:bCs w:val="false"/>
          <w:color w:val="000000"/>
          <w:sz w:val="22"/>
          <w:szCs w:val="22"/>
        </w:rPr>
        <w:t xml:space="preserve">The market for OT security monitoring platforms has matured significantly since the Stuxnet discovery in 2010. The leading platforms (Dragos Platform, Claroty Continuous Threat Detection, Nozomi Networks Guardian, Armis Centrix for OT) share a common architecture: passive network monitoring through SPAN ports or network taps; industrial protocol decoding for asset discovery and baseline establishment; anomaly detection algorithms tuored to OT network behaviour; and integration with SIEM and SOC platforms for alert management and incident response. Each platform has sector-specific strengths — Dragos, for example, has particular depth in the oil and gas and electric utility sectors; Claroty has strong coverage of manufacturing protocols.</w:t>
      </w:r>
    </w:p>
    <w:p>
      <w:pPr>
        <w:spacing w:after="160" w:line="276"/>
        <w:jc w:val="both"/>
      </w:pPr>
      <w:r>
        <w:rPr>
          <w:rFonts w:ascii="Arial" w:cs="Arial" w:eastAsia="Arial" w:hAnsi="Arial"/>
          <w:b w:val="false"/>
          <w:bCs w:val="false"/>
          <w:color w:val="000000"/>
          <w:sz w:val="22"/>
          <w:szCs w:val="22"/>
        </w:rPr>
        <w:t xml:space="preserve">The deployment of an OT security monitoring platform follows a structured implementation process:</w:t>
      </w:r>
    </w:p>
    <w:p>
      <w:pPr>
        <w:pStyle w:val="ListParagraph"/>
        <w:numPr>
          <w:ilvl w:val="0"/>
          <w:numId w:val="2"/>
        </w:numPr>
        <w:spacing w:after="100" w:line="276"/>
      </w:pPr>
      <w:r>
        <w:rPr>
          <w:rFonts w:ascii="Arial" w:cs="Arial" w:eastAsia="Arial" w:hAnsi="Arial"/>
          <w:sz w:val="22"/>
          <w:szCs w:val="22"/>
        </w:rPr>
        <w:t xml:space="preserve">Sensor placement planning: Identify the network points at which SPAN ports or taps will be deployed to achieve comprehensive visibility of OT network traffic. For a Purdue-model network, sensors are typically deployed at: the Level 2/Level 3 boundary; the IDMZ/OT boundary; and within each major process unit network at Level 2.</w:t>
      </w:r>
    </w:p>
    <w:p>
      <w:pPr>
        <w:pStyle w:val="ListParagraph"/>
        <w:numPr>
          <w:ilvl w:val="0"/>
          <w:numId w:val="2"/>
        </w:numPr>
        <w:spacing w:after="100" w:line="276"/>
      </w:pPr>
      <w:r>
        <w:rPr>
          <w:rFonts w:ascii="Arial" w:cs="Arial" w:eastAsia="Arial" w:hAnsi="Arial"/>
          <w:sz w:val="22"/>
          <w:szCs w:val="22"/>
        </w:rPr>
        <w:t xml:space="preserve">Passive baseline collection: Deploy sensors in passive monitoring mode for 2–4 weeks before activating alerting. During this period, the platform builds an asset inventory (identifying all devices on the OT network), a communication baseline (all normal inter-device communication flows), and a protocol baseline (all protocols and their normal parameters).</w:t>
      </w:r>
    </w:p>
    <w:p>
      <w:pPr>
        <w:pStyle w:val="ListParagraph"/>
        <w:numPr>
          <w:ilvl w:val="0"/>
          <w:numId w:val="2"/>
        </w:numPr>
        <w:spacing w:after="100" w:line="276"/>
      </w:pPr>
      <w:r>
        <w:rPr>
          <w:rFonts w:ascii="Arial" w:cs="Arial" w:eastAsia="Arial" w:hAnsi="Arial"/>
          <w:sz w:val="22"/>
          <w:szCs w:val="22"/>
        </w:rPr>
        <w:t xml:space="preserve">Alert policy configuration: Configure alert policies based on the specific risk profile of the facility. Alert policies should be tuned to reduce false positives — a high false positive rate leads to alert fatigue and the disabling of alerts, which is a worse security outcome than no alerting at all.</w:t>
      </w:r>
    </w:p>
    <w:p>
      <w:pPr>
        <w:pStyle w:val="ListParagraph"/>
        <w:numPr>
          <w:ilvl w:val="0"/>
          <w:numId w:val="2"/>
        </w:numPr>
        <w:spacing w:after="100" w:line="276"/>
      </w:pPr>
      <w:r>
        <w:rPr>
          <w:rFonts w:ascii="Arial" w:cs="Arial" w:eastAsia="Arial" w:hAnsi="Arial"/>
          <w:sz w:val="22"/>
          <w:szCs w:val="22"/>
        </w:rPr>
        <w:t xml:space="preserve">SOC integration: Integrate the OT-IDS platform with the security operations centre (SOC) or, for smaller organisations, the OT Security Analyst's monitoring workflow. All critical alerts must trigger a defined response process.</w:t>
      </w:r>
    </w:p>
    <w:p>
      <w:pPr>
        <w:pStyle w:val="ListParagraph"/>
        <w:numPr>
          <w:ilvl w:val="0"/>
          <w:numId w:val="2"/>
        </w:numPr>
        <w:spacing w:after="100" w:line="276"/>
      </w:pPr>
      <w:r>
        <w:rPr>
          <w:rFonts w:ascii="Arial" w:cs="Arial" w:eastAsia="Arial" w:hAnsi="Arial"/>
          <w:sz w:val="22"/>
          <w:szCs w:val="22"/>
        </w:rPr>
        <w:t xml:space="preserve">Continuous tuning: Alert policies must be continuously tuned as the OT network changes — new devices, protocol changes, process modifications — to maintain relevance and minimise false positives.</w:t>
      </w:r>
    </w:p>
    <w:p>
      <w:pPr>
        <w:pStyle w:val="Heading2"/>
        <w:spacing w:after="160" w:before="280"/>
      </w:pPr>
      <w:r>
        <w:rPr>
          <w:rFonts w:ascii="Arial" w:cs="Arial" w:eastAsia="Arial" w:hAnsi="Arial"/>
          <w:b/>
          <w:bCs/>
          <w:color w:val="2E75B6"/>
          <w:sz w:val="26"/>
          <w:szCs w:val="26"/>
        </w:rPr>
        <w:t xml:space="preserve">12.5.3  Security Information and Event Management (SIEM) for OT</w:t>
      </w:r>
    </w:p>
    <w:p>
      <w:pPr>
        <w:spacing w:after="160" w:line="276"/>
        <w:jc w:val="both"/>
      </w:pPr>
      <w:r>
        <w:rPr>
          <w:rFonts w:ascii="Arial" w:cs="Arial" w:eastAsia="Arial" w:hAnsi="Arial"/>
          <w:b w:val="false"/>
          <w:bCs w:val="false"/>
          <w:color w:val="000000"/>
          <w:sz w:val="22"/>
          <w:szCs w:val="22"/>
        </w:rPr>
        <w:t xml:space="preserve">A Security Information and Event Management (SIEM) system provides centralised collection, correlation, and analysis of security events from across the OT and IT environment. The integration of OT security events into a SIEM enables the detection of attack patterns that span multiple systems and time periods — the kind of complex, multi-stage attacks that characterise sophisticated OT threat actors.</w:t>
      </w:r>
    </w:p>
    <w:p>
      <w:pPr>
        <w:spacing w:after="160" w:line="276"/>
        <w:jc w:val="both"/>
      </w:pPr>
      <w:r>
        <w:rPr>
          <w:rFonts w:ascii="Arial" w:cs="Arial" w:eastAsia="Arial" w:hAnsi="Arial"/>
          <w:b w:val="false"/>
          <w:bCs w:val="false"/>
          <w:color w:val="000000"/>
          <w:sz w:val="22"/>
          <w:szCs w:val="22"/>
        </w:rPr>
        <w:t xml:space="preserve">OT SIEM integration presents specific challenges. OT systems generate security events in formats that standard SIEM parsers cannot process — Modbus transactions, PLC audit logs, historian access events. OT-specific SIEM content packages (available for Splunk, Microsoft Sentinel, IBM QRadar, and other leading SIEM platforms) provide the parsers and correlation rules needed to make OT event data useful in a SIEM context.</w:t>
      </w:r>
    </w:p>
    <w:p>
      <w:pPr>
        <w:spacing w:after="160" w:line="276"/>
        <w:jc w:val="both"/>
      </w:pPr>
      <w:r>
        <w:rPr>
          <w:rFonts w:ascii="Arial" w:cs="Arial" w:eastAsia="Arial" w:hAnsi="Arial"/>
          <w:b w:val="false"/>
          <w:bCs w:val="false"/>
          <w:color w:val="000000"/>
          <w:sz w:val="22"/>
          <w:szCs w:val="22"/>
        </w:rPr>
        <w:t xml:space="preserve">The OT SIEM architecture must address the data sovereignty challenge: OT event data — process values, control commands, alarm histories — is operationally sensitive and must not be transmitted to cloud-based SIEM infrastructure without explicit security assessment and data classification review. For many OT environments, an on-premise SIEM or a hybrid architecture (OT events processed locally, aggregated alerts forwarded to cloud SIEM) is the appropriate solution.</w:t>
      </w:r>
    </w:p>
    <w:p>
      <w:pPr>
        <w:pStyle w:val="Heading2"/>
        <w:spacing w:after="160" w:before="280"/>
      </w:pPr>
      <w:r>
        <w:rPr>
          <w:rFonts w:ascii="Arial" w:cs="Arial" w:eastAsia="Arial" w:hAnsi="Arial"/>
          <w:b/>
          <w:bCs/>
          <w:color w:val="2E75B6"/>
          <w:sz w:val="26"/>
          <w:szCs w:val="26"/>
        </w:rPr>
        <w:t xml:space="preserve">12.5.4  The OT Security Operations Function</w:t>
      </w:r>
    </w:p>
    <w:p>
      <w:pPr>
        <w:spacing w:after="160" w:line="276"/>
        <w:jc w:val="both"/>
      </w:pPr>
      <w:r>
        <w:rPr>
          <w:rFonts w:ascii="Arial" w:cs="Arial" w:eastAsia="Arial" w:hAnsi="Arial"/>
          <w:b w:val="false"/>
          <w:bCs w:val="false"/>
          <w:color w:val="000000"/>
          <w:sz w:val="22"/>
          <w:szCs w:val="22"/>
        </w:rPr>
        <w:t xml:space="preserve">The technical capability to detect OT security events is only valuable if there is an operational function capable of acting on those events. The OT Security Operations function — whether a dedicated OT SOC, an IT SOC with OT training, or an OT Security Analyst — must have the following capabilities to fulfil the FR 6 Timely Response requirement:</w:t>
      </w:r>
    </w:p>
    <w:p>
      <w:pPr>
        <w:pStyle w:val="ListParagraph"/>
        <w:numPr>
          <w:ilvl w:val="0"/>
          <w:numId w:val="3"/>
        </w:numPr>
        <w:spacing w:after="100" w:line="276"/>
      </w:pPr>
      <w:r>
        <w:rPr>
          <w:rFonts w:ascii="Arial" w:cs="Arial" w:eastAsia="Arial" w:hAnsi="Arial"/>
          <w:sz w:val="22"/>
          <w:szCs w:val="22"/>
        </w:rPr>
        <w:t xml:space="preserve">24/7 alert monitoring (or defined escalation for out-of-hours alerts): OT attacks do not observe business hours. The response capability must be available continuously or the alert escalation process must ensure that critical alerts reach a capable responder within a defined timeframe.</w:t>
      </w:r>
    </w:p>
    <w:p>
      <w:pPr>
        <w:pStyle w:val="ListParagraph"/>
        <w:numPr>
          <w:ilvl w:val="0"/>
          <w:numId w:val="3"/>
        </w:numPr>
        <w:spacing w:after="100" w:line="276"/>
      </w:pPr>
      <w:r>
        <w:rPr>
          <w:rFonts w:ascii="Arial" w:cs="Arial" w:eastAsia="Arial" w:hAnsi="Arial"/>
          <w:sz w:val="22"/>
          <w:szCs w:val="22"/>
        </w:rPr>
        <w:t xml:space="preserve">OT-specific triage procedures: The SOC analyst receiving an OT alert must be able to determine, quickly, whether the alert represents a genuine threat requiring escalation or a false positive requiring tuning. This requires OT-specific training — an IT SOC analyst without OT training will not understand the significance of a Modbus 'Write Single Register' command to a specific PLC address.</w:t>
      </w:r>
    </w:p>
    <w:p>
      <w:pPr>
        <w:pStyle w:val="ListParagraph"/>
        <w:numPr>
          <w:ilvl w:val="0"/>
          <w:numId w:val="3"/>
        </w:numPr>
        <w:spacing w:after="100" w:line="276"/>
      </w:pPr>
      <w:r>
        <w:rPr>
          <w:rFonts w:ascii="Arial" w:cs="Arial" w:eastAsia="Arial" w:hAnsi="Arial"/>
          <w:sz w:val="22"/>
          <w:szCs w:val="22"/>
        </w:rPr>
        <w:t xml:space="preserve">Escalation procedures with OT engineering: When a security alert indicates potential process impact, the OT Security function must be able to escalate immediately to OT engineering and operations for assessment of physical consequences. The incident response process must define this escalation path explicitly.</w:t>
      </w:r>
    </w:p>
    <w:p>
      <w:pPr>
        <w:pStyle w:val="ListParagraph"/>
        <w:numPr>
          <w:ilvl w:val="0"/>
          <w:numId w:val="3"/>
        </w:numPr>
        <w:spacing w:after="100" w:line="276"/>
      </w:pPr>
      <w:r>
        <w:rPr>
          <w:rFonts w:ascii="Arial" w:cs="Arial" w:eastAsia="Arial" w:hAnsi="Arial"/>
          <w:sz w:val="22"/>
          <w:szCs w:val="22"/>
        </w:rPr>
        <w:t xml:space="preserve">Forensic capability: The ability to capture, preserve, and analyse OT network traffic and system logs following a security event. OT forensics is specialised — standard digital forensics tools are not designed for OT protocol analysis — and requires either in-house capability or a pre-arranged OT forensics service provider relationship.</w:t>
      </w:r>
    </w:p>
    <w:p>
      <w:r>
        <w:br w:type="page"/>
      </w:r>
    </w:p>
    <w:p>
      <w:pPr>
        <w:pStyle w:val="Heading1"/>
        <w:spacing w:after="200" w:before="360"/>
      </w:pPr>
      <w:r>
        <w:rPr>
          <w:rFonts w:ascii="Arial" w:cs="Arial" w:eastAsia="Arial" w:hAnsi="Arial"/>
          <w:b/>
          <w:bCs/>
          <w:color w:val="1F3864"/>
          <w:sz w:val="32"/>
          <w:szCs w:val="32"/>
        </w:rPr>
        <w:t xml:space="preserve">12.6  Patch and Vulnerability Management in OT Environments</w:t>
      </w:r>
    </w:p>
    <w:p>
      <w:pPr>
        <w:spacing w:after="160" w:line="276"/>
        <w:jc w:val="both"/>
      </w:pPr>
      <w:r>
        <w:rPr>
          <w:rFonts w:ascii="Arial" w:cs="Arial" w:eastAsia="Arial" w:hAnsi="Arial"/>
          <w:b w:val="false"/>
          <w:bCs w:val="false"/>
          <w:color w:val="000000"/>
          <w:sz w:val="22"/>
          <w:szCs w:val="22"/>
        </w:rPr>
        <w:t xml:space="preserve">Patch and vulnerability management in OT environments is one of the most operationally challenging aspects of OT security implementation. The challenges are well documented and genuine: OT systems run 24/7 with limited planned maintenance windows; vendor patch approval processes can extend timelines by months; test environments that accurately represent production configurations are rarely available; and the act of patching an OT system can introduce instability that causes process upsets. These are real constraints, not excuses — and they require a structured, risk-based approach that is fundamentally different from enterprise IT patching.</w:t>
      </w:r>
    </w:p>
    <w:p>
      <w:pPr>
        <w:spacing w:after="160" w:line="276"/>
        <w:jc w:val="both"/>
      </w:pPr>
      <w:r>
        <w:rPr>
          <w:rFonts w:ascii="Arial" w:cs="Arial" w:eastAsia="Arial" w:hAnsi="Arial"/>
          <w:b w:val="false"/>
          <w:bCs w:val="false"/>
          <w:color w:val="000000"/>
          <w:sz w:val="22"/>
          <w:szCs w:val="22"/>
        </w:rPr>
        <w:t xml:space="preserve">The key insight that must underpin the OT patch management programme is that the inability to patch does not make a system safe — it makes the system dependent on compensating controls to manage the risk of the unpatched vulnerability. Acknowledging that a system cannot be patched is the beginning of the risk management conversation, not the end of it. Every unpatched system requires a documented compensating control strategy that addresses the specific attack vector the missing patch would close.</w:t>
      </w:r>
    </w:p>
    <w:p>
      <w:pPr>
        <w:pStyle w:val="Heading2"/>
        <w:spacing w:after="160" w:before="280"/>
      </w:pPr>
      <w:r>
        <w:rPr>
          <w:rFonts w:ascii="Arial" w:cs="Arial" w:eastAsia="Arial" w:hAnsi="Arial"/>
          <w:b/>
          <w:bCs/>
          <w:color w:val="2E75B6"/>
          <w:sz w:val="26"/>
          <w:szCs w:val="26"/>
        </w:rPr>
        <w:t xml:space="preserve">12.6.1  Vulnerability Identification and Assessment</w:t>
      </w:r>
    </w:p>
    <w:p>
      <w:pPr>
        <w:spacing w:after="160" w:line="276"/>
        <w:jc w:val="both"/>
      </w:pPr>
      <w:r>
        <w:rPr>
          <w:rFonts w:ascii="Arial" w:cs="Arial" w:eastAsia="Arial" w:hAnsi="Arial"/>
          <w:b w:val="false"/>
          <w:bCs w:val="false"/>
          <w:color w:val="000000"/>
          <w:sz w:val="22"/>
          <w:szCs w:val="22"/>
        </w:rPr>
        <w:t xml:space="preserve">The first step in OT patch management is identifying which vulnerabilities exist in deployed OT system versions. This is more complex than the analogous IT task for several reasons: OT asset inventories are frequently incomplete or inaccurate; OT vendor vulnerability disclosure practices vary widely in quality and timeliness; and OT systems often run operating system versions (Windows XP, Windows Server 2008) that are no longer supported by mainstream vulnerability intelligence feeds.</w:t>
      </w:r>
    </w:p>
    <w:p>
      <w:pPr>
        <w:spacing w:after="160" w:line="276"/>
        <w:jc w:val="both"/>
      </w:pPr>
      <w:r>
        <w:rPr>
          <w:rFonts w:ascii="Arial" w:cs="Arial" w:eastAsia="Arial" w:hAnsi="Arial"/>
          <w:b w:val="false"/>
          <w:bCs w:val="false"/>
          <w:color w:val="000000"/>
          <w:sz w:val="22"/>
          <w:szCs w:val="22"/>
        </w:rPr>
        <w:t xml:space="preserve">The recommended vulnerability identification approach for OT environments combines four sources:</w:t>
      </w:r>
    </w:p>
    <w:p>
      <w:pPr>
        <w:pStyle w:val="ListParagraph"/>
        <w:numPr>
          <w:ilvl w:val="0"/>
          <w:numId w:val="3"/>
        </w:numPr>
        <w:spacing w:after="100" w:line="276"/>
      </w:pPr>
      <w:r>
        <w:rPr>
          <w:rFonts w:ascii="Arial" w:cs="Arial" w:eastAsia="Arial" w:hAnsi="Arial"/>
          <w:sz w:val="22"/>
          <w:szCs w:val="22"/>
        </w:rPr>
        <w:t xml:space="preserve">ICS-CERT and sector CERT advisories: The Cybersecurity and Infrastructure Security Agency (CISA) publishes ICS-CERT advisories for vulnerabilities in OT products. These are the primary source of OT vulnerability intelligence and must be reviewed regularly — weekly as a minimum. CISA publishes approximately 2–3 ICS-CERT advisories per week covering a wide range of OT products.</w:t>
      </w:r>
    </w:p>
    <w:p>
      <w:pPr>
        <w:pStyle w:val="ListParagraph"/>
        <w:numPr>
          <w:ilvl w:val="0"/>
          <w:numId w:val="3"/>
        </w:numPr>
        <w:spacing w:after="100" w:line="276"/>
      </w:pPr>
      <w:r>
        <w:rPr>
          <w:rFonts w:ascii="Arial" w:cs="Arial" w:eastAsia="Arial" w:hAnsi="Arial"/>
          <w:sz w:val="22"/>
          <w:szCs w:val="22"/>
        </w:rPr>
        <w:t xml:space="preserve">Vendor security notifications: OT vendors publish security notifications through their own channels — vendor portals, mailing lists, and direct customer communications. The OT patch management programme must maintain active relationships with vendors of all deployed OT products and must be subscribed to vendor security notification channels for each.</w:t>
      </w:r>
    </w:p>
    <w:p>
      <w:pPr>
        <w:pStyle w:val="ListParagraph"/>
        <w:numPr>
          <w:ilvl w:val="0"/>
          <w:numId w:val="3"/>
        </w:numPr>
        <w:spacing w:after="100" w:line="276"/>
      </w:pPr>
      <w:r>
        <w:rPr>
          <w:rFonts w:ascii="Arial" w:cs="Arial" w:eastAsia="Arial" w:hAnsi="Arial"/>
          <w:sz w:val="22"/>
          <w:szCs w:val="22"/>
        </w:rPr>
        <w:t xml:space="preserve">Passive vulnerability assessment: OT-IDS platforms perform passive vulnerability assessment as a side effect of asset discovery — by identifying device types and software versions, they can cross-reference against known vulnerability databases without generating active scanning traffic.</w:t>
      </w:r>
    </w:p>
    <w:p>
      <w:pPr>
        <w:pStyle w:val="ListParagraph"/>
        <w:numPr>
          <w:ilvl w:val="0"/>
          <w:numId w:val="3"/>
        </w:numPr>
        <w:spacing w:after="100" w:line="276"/>
      </w:pPr>
      <w:r>
        <w:rPr>
          <w:rFonts w:ascii="Arial" w:cs="Arial" w:eastAsia="Arial" w:hAnsi="Arial"/>
          <w:sz w:val="22"/>
          <w:szCs w:val="22"/>
        </w:rPr>
        <w:t xml:space="preserve">Active vulnerability scanning (with constraints): Active vulnerability scanning of OT systems — using tools like Tenable OT Security (formerly Tenable.ot) or Claroty's vulnerability assessment functionality — must be performed with extreme caution. OT systems can be destabilised by scanning traffic. Active scanning should only be performed after explicit vendor approval, in a test environment where possible, and in production only during planned maintenance windows with operations personnel on standby.</w:t>
      </w:r>
    </w:p>
    <w:p>
      <w:pPr>
        <w:pStyle w:val="Heading2"/>
        <w:spacing w:after="160" w:before="280"/>
      </w:pPr>
      <w:r>
        <w:rPr>
          <w:rFonts w:ascii="Arial" w:cs="Arial" w:eastAsia="Arial" w:hAnsi="Arial"/>
          <w:b/>
          <w:bCs/>
          <w:color w:val="2E75B6"/>
          <w:sz w:val="26"/>
          <w:szCs w:val="26"/>
        </w:rPr>
        <w:t xml:space="preserve">12.6.2  Risk-Based Patch Prioritisation</w:t>
      </w:r>
    </w:p>
    <w:p>
      <w:pPr>
        <w:spacing w:after="160" w:line="276"/>
        <w:jc w:val="both"/>
      </w:pPr>
      <w:r>
        <w:rPr>
          <w:rFonts w:ascii="Arial" w:cs="Arial" w:eastAsia="Arial" w:hAnsi="Arial"/>
          <w:b w:val="false"/>
          <w:bCs w:val="false"/>
          <w:color w:val="000000"/>
          <w:sz w:val="22"/>
          <w:szCs w:val="22"/>
        </w:rPr>
        <w:t xml:space="preserve">The OT patch management programme must prioritise patches based on risk — the combination of the severity of the vulnerability and the criticality of the affected system — not on patch release date or CVSS score alone. A CVSS 9.8 vulnerability in a non-critical historian workstation may represent lower OT risk than a CVSS 6.5 vulnerability in a safety system engineering workstation, depending on the specific attack vector and the consequence of compromise.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80"/>
        <w:gridCol w:w="1400"/>
        <w:gridCol w:w="3480"/>
      </w:tblGrid>
      <w:tr>
        <w:tc>
          <w:tcPr>
            <w:tcW w:type="dxa" w:w="16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Classification</w:t>
            </w:r>
          </w:p>
        </w:tc>
        <w:tc>
          <w:tcPr>
            <w:tcW w:type="dxa" w:w="288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Criteria</w:t>
            </w:r>
          </w:p>
        </w:tc>
        <w:tc>
          <w:tcPr>
            <w:tcW w:type="dxa" w:w="14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Max Time-to-Patch</w:t>
            </w:r>
          </w:p>
        </w:tc>
        <w:tc>
          <w:tcPr>
            <w:tcW w:type="dxa" w:w="348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Process Requirements</w:t>
            </w:r>
          </w:p>
        </w:tc>
      </w:tr>
      <w:tr>
        <w:tc>
          <w:tcPr>
            <w:tcW w:type="dxa" w:w="16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pPr>
              <w:jc w:val="center"/>
            </w:pPr>
            <w:r>
              <w:rPr>
                <w:rFonts w:ascii="Arial" w:cs="Arial" w:eastAsia="Arial" w:hAnsi="Arial"/>
                <w:b/>
                <w:bCs/>
                <w:sz w:val="18"/>
                <w:szCs w:val="18"/>
              </w:rPr>
              <w:t xml:space="preserve">EMERGENCY</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CVSS ≥ 9.0 AND active exploitation in the wild confirmed by ICS-CERT or vendor; OR vulnerability directly affecting SIS or ESD with publicly available proof-of-concept; OR vulnerability used in a confirmed OT attack on a comparable facility.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18"/>
                <w:szCs w:val="18"/>
              </w:rPr>
              <w:t xml:space="preserve">72 hours (with executive authorisation for production impact)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Immediate escalation to OT Security Manager and Executive Sponsor; emergency change management process invoked; compensating controls (network isolation of affected systems) applied immediately pending patch; operations informed; direct vendor contact for patch availability.</w:t>
            </w:r>
          </w:p>
        </w:tc>
      </w:tr>
      <w:tr>
        <w:tc>
          <w:tcPr>
            <w:tcW w:type="dxa" w:w="160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tcPr>
          <w:p>
            <w:pPr>
              <w:jc w:val="center"/>
            </w:pPr>
            <w:r>
              <w:rPr>
                <w:rFonts w:ascii="Arial" w:cs="Arial" w:eastAsia="Arial" w:hAnsi="Arial"/>
                <w:b/>
                <w:bCs/>
                <w:sz w:val="18"/>
                <w:szCs w:val="18"/>
              </w:rPr>
              <w:t xml:space="preserve">CRITICAL</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CVSS ≥ 7.0 AND attack vector is network-accessible; OR vulnerability affects authentication or access control on OT systems; OR vulnerability enables remote code execution on Level 1 or Level 2 systems.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sz w:val="18"/>
                <w:szCs w:val="18"/>
              </w:rPr>
              <w:t xml:space="preserve">30 days</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Expedited change management process; vendor coordination for patch testing guidance; test environment validation before production deployment; operations scheduling for maintenance window; compensating controls if 30-day target cannot be met.</w:t>
            </w:r>
          </w:p>
        </w:tc>
      </w:tr>
      <w:tr>
        <w:tc>
          <w:tcPr>
            <w:tcW w:type="dxa" w:w="1600"/>
            <w:tcBorders>
              <w:top w:val="single" w:color="CCCCCC" w:sz="1"/>
              <w:left w:val="single" w:color="CCCCCC" w:sz="1"/>
              <w:bottom w:val="single" w:color="CCCCCC" w:sz="1"/>
              <w:right w:val="single" w:color="CCCCCC" w:sz="1"/>
            </w:tcBorders>
            <w:shd w:fill="FFFBE0" w:val="clear"/>
            <w:tcMar>
              <w:top w:type="dxa" w:w="80"/>
              <w:left w:type="dxa" w:w="120"/>
              <w:bottom w:type="dxa" w:w="80"/>
              <w:right w:type="dxa" w:w="120"/>
            </w:tcMar>
          </w:tcPr>
          <w:p>
            <w:pPr>
              <w:jc w:val="center"/>
            </w:pPr>
            <w:r>
              <w:rPr>
                <w:rFonts w:ascii="Arial" w:cs="Arial" w:eastAsia="Arial" w:hAnsi="Arial"/>
                <w:b/>
                <w:bCs/>
                <w:sz w:val="18"/>
                <w:szCs w:val="18"/>
              </w:rPr>
              <w:t xml:space="preserve">HIGH</w:t>
            </w:r>
          </w:p>
        </w:tc>
        <w:tc>
          <w:tcPr>
            <w:tcW w:type="dxa" w:w="28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CVSS 4.0–6.9 AND network-accessible; OR higher CVSS but limited to local access only; OR affects non-critical OT systems.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18"/>
                <w:szCs w:val="18"/>
              </w:rPr>
              <w:t xml:space="preserve">90 days</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Standard change management process; vendor-approved patch testing; test environment validation; scheduled deployment in next planned maintenance window within 90-day window.</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18"/>
                <w:szCs w:val="18"/>
              </w:rPr>
              <w:t xml:space="preserve">STANDARD</w:t>
            </w:r>
          </w:p>
        </w:tc>
        <w:tc>
          <w:tcPr>
            <w:tcW w:type="dxa" w:w="28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CVSS &lt; 4.0; OR local access only with limited consequence; OR affects systems with strong compensating controls already in place.</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sz w:val="18"/>
                <w:szCs w:val="18"/>
              </w:rPr>
              <w:t xml:space="preserve">Next planned maintenance cycle (typically semi-annual or annual shutdown)</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Standard change management process; batch deployment during planned maintenance; validation in test environment before deployment.</w:t>
            </w:r>
          </w:p>
        </w:tc>
      </w:tr>
    </w:tbl>
    <w:p>
      <w:pPr>
        <w:spacing w:after="200" w:before="80"/>
        <w:jc w:val="center"/>
      </w:pPr>
      <w:r>
        <w:rPr>
          <w:rFonts w:ascii="Arial" w:cs="Arial" w:eastAsia="Arial" w:hAnsi="Arial"/>
          <w:b/>
          <w:bCs/>
          <w:i/>
          <w:iCs/>
          <w:color w:val="1F3864"/>
          <w:sz w:val="20"/>
          <w:szCs w:val="20"/>
        </w:rPr>
        <w:t xml:space="preserve">Table 12.6: OT Patch Classification and Response Requirements</w:t>
      </w:r>
    </w:p>
    <w:p>
      <w:pPr>
        <w:spacing w:after="200"/>
      </w:pPr>
      <w:r>
        <w:t xml:space="preserve"/>
      </w:r>
    </w:p>
    <w:p>
      <w:pPr>
        <w:pStyle w:val="Heading2"/>
        <w:spacing w:after="160" w:before="280"/>
      </w:pPr>
      <w:r>
        <w:rPr>
          <w:rFonts w:ascii="Arial" w:cs="Arial" w:eastAsia="Arial" w:hAnsi="Arial"/>
          <w:b/>
          <w:bCs/>
          <w:color w:val="2E75B6"/>
          <w:sz w:val="26"/>
          <w:szCs w:val="26"/>
        </w:rPr>
        <w:t xml:space="preserve">12.6.3  The OT Patch Testing Process</w:t>
      </w:r>
    </w:p>
    <w:p>
      <w:pPr>
        <w:spacing w:after="160" w:line="276"/>
        <w:jc w:val="both"/>
      </w:pPr>
      <w:r>
        <w:rPr>
          <w:rFonts w:ascii="Arial" w:cs="Arial" w:eastAsia="Arial" w:hAnsi="Arial"/>
          <w:b w:val="false"/>
          <w:bCs w:val="false"/>
          <w:color w:val="000000"/>
          <w:sz w:val="22"/>
          <w:szCs w:val="22"/>
        </w:rPr>
        <w:t xml:space="preserve">The most significant difference between OT patching and IT patching is the requirement for vendor-approved testing before production deployment. IT patch management practice typically involves testing a patch in a representative test environment, validating that it does not break key applications, and deploying to production within a defined window. OT patch management requires an additional step: obtaining the OT vendor's confirmation that the patch is compatible with the specific OT software version deployed, has been tested on the specific hardware configuration, and does not affect functional safety ratings (for SIS components).</w:t>
      </w:r>
    </w:p>
    <w:p>
      <w:pPr>
        <w:spacing w:after="160" w:line="276"/>
        <w:jc w:val="both"/>
      </w:pPr>
      <w:r>
        <w:rPr>
          <w:rFonts w:ascii="Arial" w:cs="Arial" w:eastAsia="Arial" w:hAnsi="Arial"/>
          <w:b w:val="false"/>
          <w:bCs w:val="false"/>
          <w:color w:val="000000"/>
          <w:sz w:val="22"/>
          <w:szCs w:val="22"/>
        </w:rPr>
        <w:t xml:space="preserve">The OT patch testing process must include:</w:t>
      </w:r>
    </w:p>
    <w:p>
      <w:pPr>
        <w:pStyle w:val="ListParagraph"/>
        <w:numPr>
          <w:ilvl w:val="0"/>
          <w:numId w:val="2"/>
        </w:numPr>
        <w:spacing w:after="100" w:line="276"/>
      </w:pPr>
      <w:r>
        <w:rPr>
          <w:rFonts w:ascii="Arial" w:cs="Arial" w:eastAsia="Arial" w:hAnsi="Arial"/>
          <w:sz w:val="22"/>
          <w:szCs w:val="22"/>
        </w:rPr>
        <w:t xml:space="preserve">Vendor advisory review: Review the vendor's security advisory for the patch to understand: the specific vulnerability being addressed; the affected versions and configurations; any known interaction effects with other OT software; and any special installation requirements or post-patch validation steps.</w:t>
      </w:r>
    </w:p>
    <w:p>
      <w:pPr>
        <w:pStyle w:val="ListParagraph"/>
        <w:numPr>
          <w:ilvl w:val="0"/>
          <w:numId w:val="2"/>
        </w:numPr>
        <w:spacing w:after="100" w:line="276"/>
      </w:pPr>
      <w:r>
        <w:rPr>
          <w:rFonts w:ascii="Arial" w:cs="Arial" w:eastAsia="Arial" w:hAnsi="Arial"/>
          <w:sz w:val="22"/>
          <w:szCs w:val="22"/>
        </w:rPr>
        <w:t xml:space="preserve">Test environment validation: Deploy the patch in a test environment that represents the production configuration as closely as possible. For DCS and PLC systems, the test environment should include representative hardware (not just software simulation) because firmware patches may behave differently on hardware than in simulation.</w:t>
      </w:r>
    </w:p>
    <w:p>
      <w:pPr>
        <w:pStyle w:val="ListParagraph"/>
        <w:numPr>
          <w:ilvl w:val="0"/>
          <w:numId w:val="2"/>
        </w:numPr>
        <w:spacing w:after="100" w:line="276"/>
      </w:pPr>
      <w:r>
        <w:rPr>
          <w:rFonts w:ascii="Arial" w:cs="Arial" w:eastAsia="Arial" w:hAnsi="Arial"/>
          <w:sz w:val="22"/>
          <w:szCs w:val="22"/>
        </w:rPr>
        <w:t xml:space="preserve">Functional validation: After patching in the test environment, perform a full functional validation — verifying that all OT functions operate correctly, that communications between patched and unpatched systems are unaffected, and that any safety-critical functions meet their specification.</w:t>
      </w:r>
    </w:p>
    <w:p>
      <w:pPr>
        <w:pStyle w:val="ListParagraph"/>
        <w:numPr>
          <w:ilvl w:val="0"/>
          <w:numId w:val="2"/>
        </w:numPr>
        <w:spacing w:after="100" w:line="276"/>
      </w:pPr>
      <w:r>
        <w:rPr>
          <w:rFonts w:ascii="Arial" w:cs="Arial" w:eastAsia="Arial" w:hAnsi="Arial"/>
          <w:sz w:val="22"/>
          <w:szCs w:val="22"/>
        </w:rPr>
        <w:t xml:space="preserve">Production deployment planning: Develop a detailed deployment plan including: the specific patch installation procedure; a rollback plan if the patch causes problems; the maintenance window required; the operations personnel required to monitor the process during patching; and a post-deployment validation procedure.</w:t>
      </w:r>
    </w:p>
    <w:p>
      <w:pPr>
        <w:pStyle w:val="ListParagraph"/>
        <w:numPr>
          <w:ilvl w:val="0"/>
          <w:numId w:val="2"/>
        </w:numPr>
        <w:spacing w:after="100" w:line="276"/>
      </w:pPr>
      <w:r>
        <w:rPr>
          <w:rFonts w:ascii="Arial" w:cs="Arial" w:eastAsia="Arial" w:hAnsi="Arial"/>
          <w:sz w:val="22"/>
          <w:szCs w:val="22"/>
        </w:rPr>
        <w:t xml:space="preserve">Change management authorisation: Submit the patch deployment plan through the formal OT change management process (Chapter 11) for review and authorisation before deployment.</w:t>
      </w:r>
    </w:p>
    <w:p>
      <w:pPr>
        <w:pStyle w:val="Heading2"/>
        <w:spacing w:after="160" w:before="280"/>
      </w:pPr>
      <w:r>
        <w:rPr>
          <w:rFonts w:ascii="Arial" w:cs="Arial" w:eastAsia="Arial" w:hAnsi="Arial"/>
          <w:b/>
          <w:bCs/>
          <w:color w:val="2E75B6"/>
          <w:sz w:val="26"/>
          <w:szCs w:val="26"/>
        </w:rPr>
        <w:t xml:space="preserve">12.6.4  Compensating Controls for Unpatchable Systems</w:t>
      </w:r>
    </w:p>
    <w:p>
      <w:pPr>
        <w:spacing w:after="160" w:line="276"/>
        <w:jc w:val="both"/>
      </w:pPr>
      <w:r>
        <w:rPr>
          <w:rFonts w:ascii="Arial" w:cs="Arial" w:eastAsia="Arial" w:hAnsi="Arial"/>
          <w:b w:val="false"/>
          <w:bCs w:val="false"/>
          <w:color w:val="000000"/>
          <w:sz w:val="22"/>
          <w:szCs w:val="22"/>
        </w:rPr>
        <w:t xml:space="preserve">A realistic OT patch management programme must acknowledge that some OT systems cannot be patched — because vendor support has ended, because the patch has not been approved for the specific OT software version, because the patch requires hardware changes that cannot be made within the available maintenance windows, or because the patch itself introduces stability risks that are unacceptable. The compensating control strategy for these systems is not optional — it is the required response to an acknowledged, documented risk.</w:t>
      </w:r>
    </w:p>
    <w:p>
      <w:pPr>
        <w:spacing w:after="160" w:line="276"/>
        <w:jc w:val="both"/>
      </w:pPr>
      <w:r>
        <w:rPr>
          <w:rFonts w:ascii="Arial" w:cs="Arial" w:eastAsia="Arial" w:hAnsi="Arial"/>
          <w:b w:val="false"/>
          <w:bCs w:val="false"/>
          <w:color w:val="000000"/>
          <w:sz w:val="22"/>
          <w:szCs w:val="22"/>
        </w:rPr>
        <w:t xml:space="preserve">Effective compensating controls for unpatched OT vulnerabilities include:</w:t>
      </w:r>
    </w:p>
    <w:p>
      <w:pPr>
        <w:pStyle w:val="ListParagraph"/>
        <w:numPr>
          <w:ilvl w:val="0"/>
          <w:numId w:val="3"/>
        </w:numPr>
        <w:spacing w:after="100" w:line="276"/>
      </w:pPr>
      <w:r>
        <w:rPr>
          <w:rFonts w:ascii="Arial" w:cs="Arial" w:eastAsia="Arial" w:hAnsi="Arial"/>
          <w:sz w:val="22"/>
          <w:szCs w:val="22"/>
        </w:rPr>
        <w:t xml:space="preserve">Network isolation: The most effective compensating control for a vulnerability with a network attack vector is to remove or restrict network access to the affected system. If the vulnerability requires network access to exploit, removing that network access eliminates the attack vector. Network isolation should be specified at the conduit level — specific firewall rules that block the traffic required to exploit the vulnerability.</w:t>
      </w:r>
    </w:p>
    <w:p>
      <w:pPr>
        <w:pStyle w:val="ListParagraph"/>
        <w:numPr>
          <w:ilvl w:val="0"/>
          <w:numId w:val="3"/>
        </w:numPr>
        <w:spacing w:after="100" w:line="276"/>
      </w:pPr>
      <w:r>
        <w:rPr>
          <w:rFonts w:ascii="Arial" w:cs="Arial" w:eastAsia="Arial" w:hAnsi="Arial"/>
          <w:sz w:val="22"/>
          <w:szCs w:val="22"/>
        </w:rPr>
        <w:t xml:space="preserve">Protocol filtering at the conduit: Where a vulnerability is exploitable through a specific protocol or protocol feature, configure the conduit firewall to block or restrict that specific protocol. OT-aware firewalls with industrial protocol deep packet inspection can restrict exploitation of vulnerabilities in specific Modbus function codes, for example, without blocking all Modbus traffic.</w:t>
      </w:r>
    </w:p>
    <w:p>
      <w:pPr>
        <w:pStyle w:val="ListParagraph"/>
        <w:numPr>
          <w:ilvl w:val="0"/>
          <w:numId w:val="3"/>
        </w:numPr>
        <w:spacing w:after="100" w:line="276"/>
      </w:pPr>
      <w:r>
        <w:rPr>
          <w:rFonts w:ascii="Arial" w:cs="Arial" w:eastAsia="Arial" w:hAnsi="Arial"/>
          <w:sz w:val="22"/>
          <w:szCs w:val="22"/>
        </w:rPr>
        <w:t xml:space="preserve">Increased monitoring sensitivity: Configure the OT-IDS to generate alerts for activity patterns consistent with exploitation of the specific vulnerability. This does not prevent exploitation but enables rapid detection and response.</w:t>
      </w:r>
    </w:p>
    <w:p>
      <w:pPr>
        <w:pStyle w:val="ListParagraph"/>
        <w:numPr>
          <w:ilvl w:val="0"/>
          <w:numId w:val="3"/>
        </w:numPr>
        <w:spacing w:after="100" w:line="276"/>
      </w:pPr>
      <w:r>
        <w:rPr>
          <w:rFonts w:ascii="Arial" w:cs="Arial" w:eastAsia="Arial" w:hAnsi="Arial"/>
          <w:sz w:val="22"/>
          <w:szCs w:val="22"/>
        </w:rPr>
        <w:t xml:space="preserve">Physical access control: Where a vulnerability requires local access to exploit, strengthening physical access controls to the affected system reduces the attack surface. This is particularly relevant for vulnerabilities in engineering workstations and portable maintenance devices.</w:t>
      </w:r>
    </w:p>
    <w:p>
      <w:pPr>
        <w:pStyle w:val="ListParagraph"/>
        <w:numPr>
          <w:ilvl w:val="0"/>
          <w:numId w:val="3"/>
        </w:numPr>
        <w:spacing w:after="100" w:line="276"/>
      </w:pPr>
      <w:r>
        <w:rPr>
          <w:rFonts w:ascii="Arial" w:cs="Arial" w:eastAsia="Arial" w:hAnsi="Arial"/>
          <w:sz w:val="22"/>
          <w:szCs w:val="22"/>
        </w:rPr>
        <w:t xml:space="preserve">Vendor migration planning: The compensating control strategy should include a planned timeline for system replacement or upgrade to a version that can be patched. Compensating controls are not a permanent substitute for remediation — they are a time-limited risk management measure pending proper remediation.</w:t>
      </w:r>
    </w:p>
    <w:p>
      <w:r>
        <w:br w:type="page"/>
      </w:r>
    </w:p>
    <w:p>
      <w:pPr>
        <w:pStyle w:val="Heading1"/>
        <w:spacing w:after="200" w:before="360"/>
      </w:pPr>
      <w:r>
        <w:rPr>
          <w:rFonts w:ascii="Arial" w:cs="Arial" w:eastAsia="Arial" w:hAnsi="Arial"/>
          <w:b/>
          <w:bCs/>
          <w:color w:val="1F3864"/>
          <w:sz w:val="32"/>
          <w:szCs w:val="32"/>
        </w:rPr>
        <w:t xml:space="preserve">12.7  Remote Access Security for OT Environments</w:t>
      </w:r>
    </w:p>
    <w:p>
      <w:pPr>
        <w:spacing w:after="160" w:line="276"/>
        <w:jc w:val="both"/>
      </w:pPr>
      <w:r>
        <w:rPr>
          <w:rFonts w:ascii="Arial" w:cs="Arial" w:eastAsia="Arial" w:hAnsi="Arial"/>
          <w:b w:val="false"/>
          <w:bCs w:val="false"/>
          <w:color w:val="000000"/>
          <w:sz w:val="22"/>
          <w:szCs w:val="22"/>
        </w:rPr>
        <w:t xml:space="preserve">Remote access to OT systems — whether by internal engineering staff working from the corporate office, contractors performing remote diagnostics, or vendors providing remote support — represents one of the highest-risk attack vectors in OT environments. The Colonial Pipeline attack (May 2021), which caused six days of disruption to US East Coast fuel supply, was initiated through a compromised VPN account with access to the pipeline's control system network (CISA, 2021). The DP World Australia attack (November 2023) similarly exploited remote access pathways. The frequency with which major OT security incidents trace their initial access to remote access vectors makes the security of remote access infrastructure one of the highest-priority technical controls in any OT security programme.</w:t>
      </w:r>
    </w:p>
    <w:p>
      <w:pPr>
        <w:spacing w:after="160" w:line="276"/>
        <w:jc w:val="both"/>
      </w:pPr>
      <w:r>
        <w:rPr>
          <w:rFonts w:ascii="Arial" w:cs="Arial" w:eastAsia="Arial" w:hAnsi="Arial"/>
          <w:b w:val="false"/>
          <w:bCs w:val="false"/>
          <w:color w:val="000000"/>
          <w:sz w:val="22"/>
          <w:szCs w:val="22"/>
        </w:rPr>
        <w:t xml:space="preserve">The fundamental tension in OT remote access security is between operational utility and security rigour. Remote access to OT systems provides genuine operational value — vendors can diagnose and resolve issues faster remotely than by dispatching a technician on-site; engineering staff can monitor and adjust processes without being physically present in the control room; emergency response can be supported remotely when on-site resources are unavailable. These are legitimate operational requirements, and a remote access policy that makes remote access so difficult that it is systematically bypassed produces worse security outcomes than one that provides secure, usable remote access. The objective is to make secure remote access the path of least resistance, not to eliminate remote access.</w:t>
      </w:r>
    </w:p>
    <w:p>
      <w:pPr>
        <w:pStyle w:val="Heading2"/>
        <w:spacing w:after="160" w:before="280"/>
      </w:pPr>
      <w:r>
        <w:rPr>
          <w:rFonts w:ascii="Arial" w:cs="Arial" w:eastAsia="Arial" w:hAnsi="Arial"/>
          <w:b/>
          <w:bCs/>
          <w:color w:val="2E75B6"/>
          <w:sz w:val="26"/>
          <w:szCs w:val="26"/>
        </w:rPr>
        <w:t xml:space="preserve">12.7.1  Remote Access Architecture Requirements</w:t>
      </w:r>
    </w:p>
    <w:p>
      <w:pPr>
        <w:spacing w:after="160" w:line="276"/>
        <w:jc w:val="both"/>
      </w:pPr>
      <w:r>
        <w:rPr>
          <w:rFonts w:ascii="Arial" w:cs="Arial" w:eastAsia="Arial" w:hAnsi="Arial"/>
          <w:b w:val="false"/>
          <w:bCs w:val="false"/>
          <w:color w:val="000000"/>
          <w:sz w:val="22"/>
          <w:szCs w:val="22"/>
        </w:rPr>
        <w:t xml:space="preserve">A technically sound OT remote access architecture must meet the following requirements, derived from the IEC 62443-3-3 FR 1 and FR 2 requirements at SL 2 and the specific attack pattern analysis of OT remote access incidents:</w:t>
      </w:r>
    </w:p>
    <w:p>
      <w:pPr>
        <w:pStyle w:val="ListParagraph"/>
        <w:numPr>
          <w:ilvl w:val="0"/>
          <w:numId w:val="3"/>
        </w:numPr>
        <w:spacing w:after="100" w:line="276"/>
      </w:pPr>
      <w:r>
        <w:rPr>
          <w:rFonts w:ascii="Arial" w:cs="Arial" w:eastAsia="Arial" w:hAnsi="Arial"/>
          <w:sz w:val="22"/>
          <w:szCs w:val="22"/>
        </w:rPr>
        <w:t xml:space="preserve">Dedicated OT VPN infrastructure: The OT remote access VPN must be a separate, dedicated infrastructure from the corporate IT VPN. Sharing VPN infrastructure between IT and OT remote access means that a compromise of an IT VPN account — or a vulnerability in the shared VPN infrastructure — directly exposes the OT network. The OT VPN must terminate in the IDMZ, not in the OT network directly.</w:t>
      </w:r>
    </w:p>
    <w:p>
      <w:pPr>
        <w:pStyle w:val="ListParagraph"/>
        <w:numPr>
          <w:ilvl w:val="0"/>
          <w:numId w:val="3"/>
        </w:numPr>
        <w:spacing w:after="100" w:line="276"/>
      </w:pPr>
      <w:r>
        <w:rPr>
          <w:rFonts w:ascii="Arial" w:cs="Arial" w:eastAsia="Arial" w:hAnsi="Arial"/>
          <w:sz w:val="22"/>
          <w:szCs w:val="22"/>
        </w:rPr>
        <w:t xml:space="preserve">Multi-factor authentication mandatory: All remote access to OT systems must require MFA — without exception. MFA eliminates the most common remote access attack vector (credential theft through phishing or brute force) by requiring possession of a physical second factor in addition to knowledge of the credentials. The Colonial Pipeline incident would have been prevented or significantly complicated by MFA — the compromised account did not have MFA enabled (CISA, 2021).</w:t>
      </w:r>
    </w:p>
    <w:p>
      <w:pPr>
        <w:pStyle w:val="ListParagraph"/>
        <w:numPr>
          <w:ilvl w:val="0"/>
          <w:numId w:val="3"/>
        </w:numPr>
        <w:spacing w:after="100" w:line="276"/>
      </w:pPr>
      <w:r>
        <w:rPr>
          <w:rFonts w:ascii="Arial" w:cs="Arial" w:eastAsia="Arial" w:hAnsi="Arial"/>
          <w:sz w:val="22"/>
          <w:szCs w:val="22"/>
        </w:rPr>
        <w:t xml:space="preserve">Privileged Access Management (PAM) brokering: All remote access sessions should be brokered through a PAM solution that records the session, limits the session scope to authorised systems, enforces time limits, and enables real-time monitoring and termination of active sessions. PAM brokering provides the audit trail required by IEC 62443-3-3 SR 2.8 (Auditable Events) and the control capability required for incident response.</w:t>
      </w:r>
    </w:p>
    <w:p>
      <w:pPr>
        <w:pStyle w:val="ListParagraph"/>
        <w:numPr>
          <w:ilvl w:val="0"/>
          <w:numId w:val="3"/>
        </w:numPr>
        <w:spacing w:after="100" w:line="276"/>
      </w:pPr>
      <w:r>
        <w:rPr>
          <w:rFonts w:ascii="Arial" w:cs="Arial" w:eastAsia="Arial" w:hAnsi="Arial"/>
          <w:sz w:val="22"/>
          <w:szCs w:val="22"/>
        </w:rPr>
        <w:t xml:space="preserve">Scope limitation: Remote access must be explicitly scoped to specific systems. A vendor authorised for remote diagnostics of the Unit 3 DCS should not have network access to the SIS, the engineering workstation, or other OT systems outside their authorised scope. PAM solutions implement scope limitation through connection policies that restrict which hosts a session can connect to.</w:t>
      </w:r>
    </w:p>
    <w:p>
      <w:pPr>
        <w:pStyle w:val="ListParagraph"/>
        <w:numPr>
          <w:ilvl w:val="0"/>
          <w:numId w:val="3"/>
        </w:numPr>
        <w:spacing w:after="100" w:line="276"/>
      </w:pPr>
      <w:r>
        <w:rPr>
          <w:rFonts w:ascii="Arial" w:cs="Arial" w:eastAsia="Arial" w:hAnsi="Arial"/>
          <w:sz w:val="22"/>
          <w:szCs w:val="22"/>
        </w:rPr>
        <w:t xml:space="preserve">Session recording: All remote access sessions to OT systems must be recorded — both the network traffic and the screen activity where applicable. Session recordings provide evidence for post-incident analysis, demonstrate compliance with the remote access policy, and deter misuse by personnel who know their session is recorded.</w:t>
      </w:r>
    </w:p>
    <w:p>
      <w:pPr>
        <w:pStyle w:val="ListParagraph"/>
        <w:numPr>
          <w:ilvl w:val="0"/>
          <w:numId w:val="3"/>
        </w:numPr>
        <w:spacing w:after="100" w:line="276"/>
      </w:pPr>
      <w:r>
        <w:rPr>
          <w:rFonts w:ascii="Arial" w:cs="Arial" w:eastAsia="Arial" w:hAnsi="Arial"/>
          <w:sz w:val="22"/>
          <w:szCs w:val="22"/>
        </w:rPr>
        <w:t xml:space="preserve">Vendor access management process: Third-party vendor remote access must be subject to a formal request-and-approval process. Ad-hoc vendor access — where a vendor contacts operations and requests access to investigate an issue without prior security review — is a significant risk vector. All vendor access must be pre-approved, time-limited, and supervised or recorded.</w:t>
      </w:r>
    </w:p>
    <w:p>
      <w:pPr>
        <w:pStyle w:val="Heading2"/>
        <w:spacing w:after="160" w:before="280"/>
      </w:pPr>
      <w:r>
        <w:rPr>
          <w:rFonts w:ascii="Arial" w:cs="Arial" w:eastAsia="Arial" w:hAnsi="Arial"/>
          <w:b/>
          <w:bCs/>
          <w:color w:val="2E75B6"/>
          <w:sz w:val="26"/>
          <w:szCs w:val="26"/>
        </w:rPr>
        <w:t xml:space="preserve">12.7.2  Technical Architecture: OT Remote Access</w:t>
      </w:r>
    </w:p>
    <w:p>
      <w:pPr>
        <w:spacing w:after="160" w:line="276"/>
        <w:jc w:val="both"/>
      </w:pPr>
      <w:r>
        <w:rPr>
          <w:rFonts w:ascii="Arial" w:cs="Arial" w:eastAsia="Arial" w:hAnsi="Arial"/>
          <w:b w:val="false"/>
          <w:bCs w:val="false"/>
          <w:color w:val="000000"/>
          <w:sz w:val="22"/>
          <w:szCs w:val="22"/>
        </w:rPr>
        <w:t xml:space="preserve">The recommended technical architecture for OT remote access implements the above requirements in a layered structure:</w:t>
      </w:r>
    </w:p>
    <w:p>
      <w:pPr>
        <w:shd w:fill="D5E8F0" w:val="clear"/>
        <w:spacing w:after="60" w:before="60"/>
        <w:ind w:left="360" w:right="360"/>
      </w:pPr>
      <w:r>
        <w:rPr>
          <w:rFonts w:ascii="Arial" w:cs="Arial" w:eastAsia="Arial" w:hAnsi="Arial"/>
          <w:b/>
          <w:bCs/>
          <w:color w:val="1F3864"/>
          <w:sz w:val="22"/>
          <w:szCs w:val="22"/>
        </w:rPr>
        <w:t xml:space="preserve">OT Remote Access Architecture — Technical Specification</w:t>
      </w:r>
    </w:p>
    <w:p>
      <w:pPr>
        <w:shd w:fill="D5E8F0" w:val="clear"/>
        <w:spacing w:after="40" w:before="40"/>
        <w:ind w:left="360" w:right="360"/>
      </w:pPr>
      <w:r>
        <w:rPr>
          <w:rFonts w:ascii="Arial" w:cs="Arial" w:eastAsia="Arial" w:hAnsi="Arial"/>
          <w:b/>
          <w:bCs/>
          <w:sz w:val="20"/>
          <w:szCs w:val="20"/>
        </w:rPr>
        <w:t xml:space="preserve">LAYER 1 — INTERNET GATEWAY</w:t>
      </w:r>
    </w:p>
    <w:p>
      <w:pPr>
        <w:shd w:fill="D5E8F0" w:val="clear"/>
        <w:spacing w:after="40" w:before="40"/>
        <w:ind w:left="360" w:right="360"/>
      </w:pPr>
      <w:r>
        <w:rPr>
          <w:rFonts w:ascii="Arial" w:cs="Arial" w:eastAsia="Arial" w:hAnsi="Arial"/>
          <w:b w:val="false"/>
          <w:bCs w:val="false"/>
          <w:sz w:val="20"/>
          <w:szCs w:val="20"/>
        </w:rPr>
        <w:t xml:space="preserve">Dedicated OT VPN concentrator (separate from corporate IT VPN infrastructure)</w:t>
      </w:r>
    </w:p>
    <w:p>
      <w:pPr>
        <w:shd w:fill="D5E8F0" w:val="clear"/>
        <w:spacing w:after="40" w:before="40"/>
        <w:ind w:left="360" w:right="360"/>
      </w:pPr>
      <w:r>
        <w:rPr>
          <w:rFonts w:ascii="Arial" w:cs="Arial" w:eastAsia="Arial" w:hAnsi="Arial"/>
          <w:b w:val="false"/>
          <w:bCs w:val="false"/>
          <w:sz w:val="20"/>
          <w:szCs w:val="20"/>
        </w:rPr>
        <w:t xml:space="preserve">MFA enforcement: hardware token (preferred) or authenticator app with certificate binding</w:t>
      </w:r>
    </w:p>
    <w:p>
      <w:pPr>
        <w:shd w:fill="D5E8F0" w:val="clear"/>
        <w:spacing w:after="40" w:before="40"/>
        <w:ind w:left="360" w:right="360"/>
      </w:pPr>
      <w:r>
        <w:rPr>
          <w:rFonts w:ascii="Arial" w:cs="Arial" w:eastAsia="Arial" w:hAnsi="Arial"/>
          <w:b w:val="false"/>
          <w:bCs w:val="false"/>
          <w:sz w:val="20"/>
          <w:szCs w:val="20"/>
        </w:rPr>
        <w:t xml:space="preserve">Geo-blocking: remote access only permitted from approved countries/regions</w:t>
      </w:r>
    </w:p>
    <w:p>
      <w:pPr>
        <w:shd w:fill="D5E8F0" w:val="clear"/>
        <w:spacing w:after="40" w:before="40"/>
        <w:ind w:left="360" w:right="360"/>
      </w:pPr>
      <w:r>
        <w:rPr>
          <w:rFonts w:ascii="Arial" w:cs="Arial" w:eastAsia="Arial" w:hAnsi="Arial"/>
          <w:b w:val="false"/>
          <w:bCs w:val="false"/>
          <w:sz w:val="20"/>
          <w:szCs w:val="20"/>
        </w:rPr>
        <w:t xml:space="preserve">Rate limiting and account lockout: 5 failed attempts = 30-minute lockout with alert</w:t>
      </w:r>
    </w:p>
    <w:p>
      <w:pPr>
        <w:spacing w:after="100"/>
      </w:pPr>
      <w:r>
        <w:t xml:space="preserve"/>
      </w:r>
    </w:p>
    <w:p>
      <w:pPr>
        <w:shd w:fill="D5E8F0" w:val="clear"/>
        <w:spacing w:after="40" w:before="40"/>
        <w:ind w:left="360" w:right="360"/>
      </w:pPr>
      <w:r>
        <w:rPr>
          <w:rFonts w:ascii="Arial" w:cs="Arial" w:eastAsia="Arial" w:hAnsi="Arial"/>
          <w:b/>
          <w:bCs/>
          <w:sz w:val="20"/>
          <w:szCs w:val="20"/>
        </w:rPr>
        <w:t xml:space="preserve">LAYER 2 — IDMZ TERMINATION POINT</w:t>
      </w:r>
    </w:p>
    <w:p>
      <w:pPr>
        <w:shd w:fill="D5E8F0" w:val="clear"/>
        <w:spacing w:after="40" w:before="40"/>
        <w:ind w:left="360" w:right="360"/>
      </w:pPr>
      <w:r>
        <w:rPr>
          <w:rFonts w:ascii="Arial" w:cs="Arial" w:eastAsia="Arial" w:hAnsi="Arial"/>
          <w:b w:val="false"/>
          <w:bCs w:val="false"/>
          <w:sz w:val="20"/>
          <w:szCs w:val="20"/>
        </w:rPr>
        <w:t xml:space="preserve">VPN sessions terminate in the IDMZ — not the OT network</w:t>
      </w:r>
    </w:p>
    <w:p>
      <w:pPr>
        <w:shd w:fill="D5E8F0" w:val="clear"/>
        <w:spacing w:after="40" w:before="40"/>
        <w:ind w:left="360" w:right="360"/>
      </w:pPr>
      <w:r>
        <w:rPr>
          <w:rFonts w:ascii="Arial" w:cs="Arial" w:eastAsia="Arial" w:hAnsi="Arial"/>
          <w:b w:val="false"/>
          <w:bCs w:val="false"/>
          <w:sz w:val="20"/>
          <w:szCs w:val="20"/>
        </w:rPr>
        <w:t xml:space="preserve">PAM solution provides session brokering, recording, and scope enforcement</w:t>
      </w:r>
    </w:p>
    <w:p>
      <w:pPr>
        <w:shd w:fill="D5E8F0" w:val="clear"/>
        <w:spacing w:after="40" w:before="40"/>
        <w:ind w:left="360" w:right="360"/>
      </w:pPr>
      <w:r>
        <w:rPr>
          <w:rFonts w:ascii="Arial" w:cs="Arial" w:eastAsia="Arial" w:hAnsi="Arial"/>
          <w:b w:val="false"/>
          <w:bCs w:val="false"/>
          <w:sz w:val="20"/>
          <w:szCs w:val="20"/>
        </w:rPr>
        <w:t xml:space="preserve">Jump server in IDMZ as the only permitted gateway to OT network from remote sessions</w:t>
      </w:r>
    </w:p>
    <w:p>
      <w:pPr>
        <w:shd w:fill="D5E8F0" w:val="clear"/>
        <w:spacing w:after="40" w:before="40"/>
        <w:ind w:left="360" w:right="360"/>
      </w:pPr>
      <w:r>
        <w:rPr>
          <w:rFonts w:ascii="Arial" w:cs="Arial" w:eastAsia="Arial" w:hAnsi="Arial"/>
          <w:b w:val="false"/>
          <w:bCs w:val="false"/>
          <w:sz w:val="20"/>
          <w:szCs w:val="20"/>
        </w:rPr>
        <w:t xml:space="preserve">No split tunnelling: all traffic from VPN client routed through OT VPN during active session</w:t>
      </w:r>
    </w:p>
    <w:p>
      <w:pPr>
        <w:spacing w:after="100"/>
      </w:pPr>
      <w:r>
        <w:t xml:space="preserve"/>
      </w:r>
    </w:p>
    <w:p>
      <w:pPr>
        <w:shd w:fill="D5E8F0" w:val="clear"/>
        <w:spacing w:after="40" w:before="40"/>
        <w:ind w:left="360" w:right="360"/>
      </w:pPr>
      <w:r>
        <w:rPr>
          <w:rFonts w:ascii="Arial" w:cs="Arial" w:eastAsia="Arial" w:hAnsi="Arial"/>
          <w:b/>
          <w:bCs/>
          <w:sz w:val="20"/>
          <w:szCs w:val="20"/>
        </w:rPr>
        <w:t xml:space="preserve">LAYER 3 — OT NETWORK ACCESS CONTROL</w:t>
      </w:r>
    </w:p>
    <w:p>
      <w:pPr>
        <w:shd w:fill="D5E8F0" w:val="clear"/>
        <w:spacing w:after="40" w:before="40"/>
        <w:ind w:left="360" w:right="360"/>
      </w:pPr>
      <w:r>
        <w:rPr>
          <w:rFonts w:ascii="Arial" w:cs="Arial" w:eastAsia="Arial" w:hAnsi="Arial"/>
          <w:b w:val="false"/>
          <w:bCs w:val="false"/>
          <w:sz w:val="20"/>
          <w:szCs w:val="20"/>
        </w:rPr>
        <w:t xml:space="preserve">Firewall rules permit access only from jump server IP to specific authorised OT system IPs</w:t>
      </w:r>
    </w:p>
    <w:p>
      <w:pPr>
        <w:shd w:fill="D5E8F0" w:val="clear"/>
        <w:spacing w:after="40" w:before="40"/>
        <w:ind w:left="360" w:right="360"/>
      </w:pPr>
      <w:r>
        <w:rPr>
          <w:rFonts w:ascii="Arial" w:cs="Arial" w:eastAsia="Arial" w:hAnsi="Arial"/>
          <w:b w:val="false"/>
          <w:bCs w:val="false"/>
          <w:sz w:val="20"/>
          <w:szCs w:val="20"/>
        </w:rPr>
        <w:t xml:space="preserve">Protocol filtering: only authorised protocols permitted between jump server and OT systems</w:t>
      </w:r>
    </w:p>
    <w:p>
      <w:pPr>
        <w:shd w:fill="D5E8F0" w:val="clear"/>
        <w:spacing w:after="40" w:before="40"/>
        <w:ind w:left="360" w:right="360"/>
      </w:pPr>
      <w:r>
        <w:rPr>
          <w:rFonts w:ascii="Arial" w:cs="Arial" w:eastAsia="Arial" w:hAnsi="Arial"/>
          <w:b w:val="false"/>
          <w:bCs w:val="false"/>
          <w:sz w:val="20"/>
          <w:szCs w:val="20"/>
        </w:rPr>
        <w:t xml:space="preserve">OT-IDS monitoring of all traffic from jump server — baseline established, deviations alerted</w:t>
      </w:r>
    </w:p>
    <w:p>
      <w:pPr>
        <w:shd w:fill="D5E8F0" w:val="clear"/>
        <w:spacing w:after="40" w:before="40"/>
        <w:ind w:left="360" w:right="360"/>
      </w:pPr>
      <w:r>
        <w:rPr>
          <w:rFonts w:ascii="Arial" w:cs="Arial" w:eastAsia="Arial" w:hAnsi="Arial"/>
          <w:b w:val="false"/>
          <w:bCs w:val="false"/>
          <w:sz w:val="20"/>
          <w:szCs w:val="20"/>
        </w:rPr>
        <w:t xml:space="preserve">Session timeout: automatic termination after 8 hours or 30 minutes of inactivity</w:t>
      </w:r>
    </w:p>
    <w:p>
      <w:pPr>
        <w:spacing w:after="300"/>
      </w:pPr>
      <w:r>
        <w:t xml:space="preserve"/>
      </w:r>
    </w:p>
    <w:p>
      <w:pPr>
        <w:pStyle w:val="Heading2"/>
        <w:spacing w:after="160" w:before="280"/>
      </w:pPr>
      <w:r>
        <w:rPr>
          <w:rFonts w:ascii="Arial" w:cs="Arial" w:eastAsia="Arial" w:hAnsi="Arial"/>
          <w:b/>
          <w:bCs/>
          <w:color w:val="2E75B6"/>
          <w:sz w:val="26"/>
          <w:szCs w:val="26"/>
        </w:rPr>
        <w:t xml:space="preserve">12.7.3  Managing Legacy Vendor Remote Access</w:t>
      </w:r>
    </w:p>
    <w:p>
      <w:pPr>
        <w:spacing w:after="160" w:line="276"/>
        <w:jc w:val="both"/>
      </w:pPr>
      <w:r>
        <w:rPr>
          <w:rFonts w:ascii="Arial" w:cs="Arial" w:eastAsia="Arial" w:hAnsi="Arial"/>
          <w:b w:val="false"/>
          <w:bCs w:val="false"/>
          <w:color w:val="000000"/>
          <w:sz w:val="22"/>
          <w:szCs w:val="22"/>
        </w:rPr>
        <w:t xml:space="preserve">Many OT environments contain legacy vendor remote access infrastructure — cellular modems with direct connections to OT systems, vendor-supplied routers with built-in remote access capability, or proprietary remote access tools that do not support MFA. These legacy arrangements represent high-risk vulnerabilities that must be addressed as priority items in the OT security programme.</w:t>
      </w:r>
    </w:p>
    <w:p>
      <w:pPr>
        <w:spacing w:after="160" w:line="276"/>
        <w:jc w:val="both"/>
      </w:pPr>
      <w:r>
        <w:rPr>
          <w:rFonts w:ascii="Arial" w:cs="Arial" w:eastAsia="Arial" w:hAnsi="Arial"/>
          <w:b w:val="false"/>
          <w:bCs w:val="false"/>
          <w:color w:val="000000"/>
          <w:sz w:val="22"/>
          <w:szCs w:val="22"/>
        </w:rPr>
        <w:t xml:space="preserve">The remediation approach for legacy vendor remote access depends on the specific technology: cellular modems should be decommissioned and replaced with the standard OT VPN architecture (or, where cellular connectivity is operationally essential, secured with a cellular gateway device that enforces MFA and session recording); vendor routers with built-in remote access should have that capability disabled and replaced with standard OT VPN access; proprietary vendor tools should be evaluated for MFA support — if the vendor cannot provide an MFA-capable version within 90 days, a PAM solution that wraps the proprietary tool in a monitored session should be implemented as a compensating control.</w:t>
      </w:r>
    </w:p>
    <w:p>
      <w:pPr>
        <w:spacing w:after="160" w:line="276"/>
        <w:jc w:val="both"/>
      </w:pPr>
      <w:r>
        <w:rPr>
          <w:rFonts w:ascii="Arial" w:cs="Arial" w:eastAsia="Arial" w:hAnsi="Arial"/>
          <w:b w:val="false"/>
          <w:bCs w:val="false"/>
          <w:color w:val="000000"/>
          <w:sz w:val="22"/>
          <w:szCs w:val="22"/>
        </w:rPr>
        <w:t xml:space="preserve">The process for remediating legacy vendor remote access begins with a comprehensive discovery exercise: every remote access path to the OT network must be identified and documented. This is more challenging than it sounds — legacy connections are frequently undocumented, and vendors may have installed remote access capability without the organisation's knowledge or explicit approval. Network traffic analysis from the OT-IDS and firewall log review are the most effective discovery methods.</w:t>
      </w:r>
    </w:p>
    <w:p>
      <w:r>
        <w:br w:type="page"/>
      </w:r>
    </w:p>
    <w:p>
      <w:pPr>
        <w:pStyle w:val="Heading1"/>
        <w:spacing w:after="200" w:before="360"/>
      </w:pPr>
      <w:r>
        <w:rPr>
          <w:rFonts w:ascii="Arial" w:cs="Arial" w:eastAsia="Arial" w:hAnsi="Arial"/>
          <w:b/>
          <w:bCs/>
          <w:color w:val="1F3864"/>
          <w:sz w:val="32"/>
          <w:szCs w:val="32"/>
        </w:rPr>
        <w:t xml:space="preserve">12.8  Data Flow Controls and IT/OT Integration Security</w:t>
      </w:r>
    </w:p>
    <w:p>
      <w:pPr>
        <w:spacing w:after="160" w:line="276"/>
        <w:jc w:val="both"/>
      </w:pPr>
      <w:r>
        <w:rPr>
          <w:rFonts w:ascii="Arial" w:cs="Arial" w:eastAsia="Arial" w:hAnsi="Arial"/>
          <w:b w:val="false"/>
          <w:bCs w:val="false"/>
          <w:color w:val="000000"/>
          <w:sz w:val="22"/>
          <w:szCs w:val="22"/>
        </w:rPr>
        <w:t xml:space="preserve">The integration of OT systems with IT systems — for production reporting, ERP integration, engineering data management, and cloud-based analytics — is one of the defining characteristics of the modern industrial environment and one of the primary drivers of OT security risk. The operational value of IT/OT integration is real: production data flowing to ERP enables accurate inventory management and production planning; process data flowing to cloud analytics enables predictive maintenance and process optimisation; engineering data managed in enterprise document management systems reduces version control errors. But each of these integrations creates a data flow that crosses the OT security boundary and must be controlled.</w:t>
      </w:r>
    </w:p>
    <w:p>
      <w:pPr>
        <w:pStyle w:val="Heading2"/>
        <w:spacing w:after="160" w:before="280"/>
      </w:pPr>
      <w:r>
        <w:rPr>
          <w:rFonts w:ascii="Arial" w:cs="Arial" w:eastAsia="Arial" w:hAnsi="Arial"/>
          <w:b/>
          <w:bCs/>
          <w:color w:val="2E75B6"/>
          <w:sz w:val="26"/>
          <w:szCs w:val="26"/>
        </w:rPr>
        <w:t xml:space="preserve">12.8.1  Unidirectional Security Gateways (Data Diodes)</w:t>
      </w:r>
    </w:p>
    <w:p>
      <w:pPr>
        <w:spacing w:after="160" w:line="276"/>
        <w:jc w:val="both"/>
      </w:pPr>
      <w:r>
        <w:rPr>
          <w:rFonts w:ascii="Arial" w:cs="Arial" w:eastAsia="Arial" w:hAnsi="Arial"/>
          <w:b w:val="false"/>
          <w:bCs w:val="false"/>
          <w:color w:val="000000"/>
          <w:sz w:val="22"/>
          <w:szCs w:val="22"/>
        </w:rPr>
        <w:t xml:space="preserve">Unidirectional security gateways — commonly known as data diodes — are hardware security devices that enforce one-way data flow at the physical layer. Unlike firewalls, which are software-controlled and can be configured (correctly or incorrectly), data diodes enforce unidirectionality through hardware design: the transmit fibre of the sender is connected to the receive fibre of the recipient, with no physical return path. It is physically impossible for a data diode to transmit data in the reverse direction, regardless of what software instructs it to do.</w:t>
      </w:r>
    </w:p>
    <w:p>
      <w:pPr>
        <w:spacing w:after="160" w:line="276"/>
        <w:jc w:val="both"/>
      </w:pPr>
      <w:r>
        <w:rPr>
          <w:rFonts w:ascii="Arial" w:cs="Arial" w:eastAsia="Arial" w:hAnsi="Arial"/>
          <w:b w:val="false"/>
          <w:bCs w:val="false"/>
          <w:color w:val="000000"/>
          <w:sz w:val="22"/>
          <w:szCs w:val="22"/>
        </w:rPr>
        <w:t xml:space="preserve">Data diodes are the strongest available control for protecting OT data flows where the operational requirement is genuinely unidirectional. The operational historian — which collects process data from OT systems and makes it available to IT systems for reporting and analytics — is the most common data diode deployment in OT environments. Process data flows from OT to IT through the data diode; no data or commands can flow from IT to OT through the diode.</w:t>
      </w:r>
    </w:p>
    <w:p>
      <w:pPr>
        <w:spacing w:after="160" w:line="276"/>
        <w:jc w:val="both"/>
      </w:pPr>
      <w:r>
        <w:rPr>
          <w:rFonts w:ascii="Arial" w:cs="Arial" w:eastAsia="Arial" w:hAnsi="Arial"/>
          <w:b w:val="false"/>
          <w:bCs w:val="false"/>
          <w:color w:val="000000"/>
          <w:sz w:val="22"/>
          <w:szCs w:val="22"/>
        </w:rPr>
        <w:t xml:space="preserve">The leading data diode products for OT environments include the Waterfall Security Solutions Unidirectional Security Gateway, the Owl Cyber Defense Data Diode, and the BAE Systems OneWay (for high-security environments). These products are designed specifically for industrial applications and include software replicas that replicate OT protocols (OPC-DA, OPC-UA, Modbus) across the diode boundary without requiring the IT-side application to connect directly to OT systems.</w:t>
      </w:r>
    </w:p>
    <w:p>
      <w:pPr>
        <w:spacing w:after="160" w:line="276"/>
        <w:jc w:val="both"/>
      </w:pPr>
      <w:r>
        <w:rPr>
          <w:rFonts w:ascii="Arial" w:cs="Arial" w:eastAsia="Arial" w:hAnsi="Arial"/>
          <w:b w:val="false"/>
          <w:bCs w:val="false"/>
          <w:color w:val="000000"/>
          <w:sz w:val="22"/>
          <w:szCs w:val="22"/>
        </w:rPr>
        <w:t xml:space="preserve">Data diodes are not appropriate for all OT data flows. Genuinely bidirectional operational requirements — vendor remote access for diagnostics, engineering workstation access to PLC programming interfaces, historian queries that require OT systems to respond to IT queries — cannot be handled by data diodes and require the controlled bidirectional conduit architecture described in Section 12.3.</w:t>
      </w:r>
    </w:p>
    <w:p>
      <w:pPr>
        <w:pStyle w:val="Heading2"/>
        <w:spacing w:after="160" w:before="280"/>
      </w:pPr>
      <w:r>
        <w:rPr>
          <w:rFonts w:ascii="Arial" w:cs="Arial" w:eastAsia="Arial" w:hAnsi="Arial"/>
          <w:b/>
          <w:bCs/>
          <w:color w:val="2E75B6"/>
          <w:sz w:val="26"/>
          <w:szCs w:val="26"/>
        </w:rPr>
        <w:t xml:space="preserve">12.8.2  OPC Security</w:t>
      </w:r>
    </w:p>
    <w:p>
      <w:pPr>
        <w:spacing w:after="160" w:line="276"/>
        <w:jc w:val="both"/>
      </w:pPr>
      <w:r>
        <w:rPr>
          <w:rFonts w:ascii="Arial" w:cs="Arial" w:eastAsia="Arial" w:hAnsi="Arial"/>
          <w:b w:val="false"/>
          <w:bCs w:val="false"/>
          <w:color w:val="000000"/>
          <w:sz w:val="22"/>
          <w:szCs w:val="22"/>
        </w:rPr>
        <w:t xml:space="preserve">OPC (OLE for Process Control) is the dominant protocol for data exchange between OT systems at Level 2 and Level 3, and between Level 3 and IT systems. OPC-DA (the legacy version, based on Microsoft DCOM) and OPC-UA (the modern version, with built-in security capabilities) are both widely deployed in industrial environments and both present specific security challenges.</w:t>
      </w:r>
    </w:p>
    <w:p>
      <w:pPr>
        <w:spacing w:after="160" w:line="276"/>
        <w:jc w:val="both"/>
      </w:pPr>
      <w:r>
        <w:rPr>
          <w:rFonts w:ascii="Arial" w:cs="Arial" w:eastAsia="Arial" w:hAnsi="Arial"/>
          <w:b w:val="false"/>
          <w:bCs w:val="false"/>
          <w:color w:val="000000"/>
          <w:sz w:val="22"/>
          <w:szCs w:val="22"/>
        </w:rPr>
        <w:t xml:space="preserve">OPC-DA, based on DCOM, has well-documented security weaknesses: it requires extensive firewall exceptions (dynamic port allocation makes firewall rule specification extremely difficult), uses Windows authentication in ways that can expose domain credentials, and is not supported on modern Windows versions without compatibility shims. The security of OPC-DA connections should be addressed by migration to OPC-UA where operationally feasible, or by limiting OPC-DA to controlled network segments with tight firewall rules where migration is not feasible.</w:t>
      </w:r>
    </w:p>
    <w:p>
      <w:pPr>
        <w:spacing w:after="160" w:line="276"/>
        <w:jc w:val="both"/>
      </w:pPr>
      <w:r>
        <w:rPr>
          <w:rFonts w:ascii="Arial" w:cs="Arial" w:eastAsia="Arial" w:hAnsi="Arial"/>
          <w:b w:val="false"/>
          <w:bCs w:val="false"/>
          <w:color w:val="000000"/>
          <w:sz w:val="22"/>
          <w:szCs w:val="22"/>
        </w:rPr>
        <w:t xml:space="preserve">OPC-UA provides a significantly improved security architecture: it includes built-in transport layer security (TLS), certificate-based mutual authentication, signed and encrypted message modes, and a defined security policy framework. However, OPC-UA security must be explicitly configured — the default configuration of many OPC-UA deployments does not enable security features. The OT security practitioner must verify that OPC-UA deployments are configured with: TLS transport security; certificate-based authentication (not anonymous mode); and appropriate message security mode (Sign and Encrypt for sensitive data flows).</w:t>
      </w:r>
    </w:p>
    <w:p>
      <w:pPr>
        <w:pStyle w:val="Heading2"/>
        <w:spacing w:after="160" w:before="280"/>
      </w:pPr>
      <w:r>
        <w:rPr>
          <w:rFonts w:ascii="Arial" w:cs="Arial" w:eastAsia="Arial" w:hAnsi="Arial"/>
          <w:b/>
          <w:bCs/>
          <w:color w:val="2E75B6"/>
          <w:sz w:val="26"/>
          <w:szCs w:val="26"/>
        </w:rPr>
        <w:t xml:space="preserve">12.8.3  Historian Security Architecture</w:t>
      </w:r>
    </w:p>
    <w:p>
      <w:pPr>
        <w:spacing w:after="160" w:line="276"/>
        <w:jc w:val="both"/>
      </w:pPr>
      <w:r>
        <w:rPr>
          <w:rFonts w:ascii="Arial" w:cs="Arial" w:eastAsia="Arial" w:hAnsi="Arial"/>
          <w:b w:val="false"/>
          <w:bCs w:val="false"/>
          <w:color w:val="000000"/>
          <w:sz w:val="22"/>
          <w:szCs w:val="22"/>
        </w:rPr>
        <w:t xml:space="preserve">The process historian is the OT system most frequently involved in IT/OT data exchange — it collects process data from all OT levels and provides it to IT systems for reporting, analytics, and business intelligence. The historian's position spanning both the OT and IT environments makes it a critical security boundary system — and one that is frequently misconfigured in ways that create IT/OT boundary bypass vulnerabilities.</w:t>
      </w:r>
    </w:p>
    <w:p>
      <w:pPr>
        <w:spacing w:after="160" w:line="276"/>
        <w:jc w:val="both"/>
      </w:pPr>
      <w:r>
        <w:rPr>
          <w:rFonts w:ascii="Arial" w:cs="Arial" w:eastAsia="Arial" w:hAnsi="Arial"/>
          <w:b w:val="false"/>
          <w:bCs w:val="false"/>
          <w:color w:val="000000"/>
          <w:sz w:val="22"/>
          <w:szCs w:val="22"/>
        </w:rPr>
        <w:t xml:space="preserve">The secure historian architecture implements a split-historian model: an OT-side historian (the 'collection' historian) that collects data from OT systems and resides in the Level 2 or Level 3 OT network; and an IT-side historian mirror (the 'reporting' historian) that receives replicated data through a one-way data transfer mechanism (data diode or one-way transfer service) and provides read access to IT systems. This architecture ensures that IT systems never have direct access to the OT-side historian and that the OT network is never exposed to traffic originating from IT systems.</w:t>
      </w:r>
    </w:p>
    <w:p>
      <w:pPr>
        <w:spacing w:after="160" w:line="276"/>
        <w:jc w:val="both"/>
      </w:pPr>
      <w:r>
        <w:rPr>
          <w:rFonts w:ascii="Arial" w:cs="Arial" w:eastAsia="Arial" w:hAnsi="Arial"/>
          <w:b w:val="false"/>
          <w:bCs w:val="false"/>
          <w:color w:val="000000"/>
          <w:sz w:val="22"/>
          <w:szCs w:val="22"/>
        </w:rPr>
        <w:t xml:space="preserve">The one-way data transfer mechanism between the OT-side historian and the IT-side mirror must be carefully designed: the replication must be initiated from the OT side (push architecture) or implemented through a data diode (which enforces one-way transfer at the hardware level). IT-initiated pull requests to the OT historian — where an IT system queries the OT historian directly — must be prohibited, as this creates a traffic channel from IT to OT that can be exploited.</w:t>
      </w:r>
    </w:p>
    <w:p>
      <w:r>
        <w:br w:type="page"/>
      </w:r>
    </w:p>
    <w:p>
      <w:pPr>
        <w:pStyle w:val="Heading1"/>
        <w:spacing w:after="200" w:before="360"/>
      </w:pPr>
      <w:r>
        <w:rPr>
          <w:rFonts w:ascii="Arial" w:cs="Arial" w:eastAsia="Arial" w:hAnsi="Arial"/>
          <w:b/>
          <w:bCs/>
          <w:color w:val="1F3864"/>
          <w:sz w:val="32"/>
          <w:szCs w:val="32"/>
        </w:rPr>
        <w:t xml:space="preserve">12.9  Worked Example: Technical Control Architecture — Sunrise Refinery (Month 12)</w:t>
      </w:r>
    </w:p>
    <w:p>
      <w:pPr>
        <w:spacing w:after="160" w:line="276"/>
        <w:jc w:val="both"/>
      </w:pPr>
      <w:r>
        <w:rPr>
          <w:rFonts w:ascii="Arial" w:cs="Arial" w:eastAsia="Arial" w:hAnsi="Arial"/>
          <w:b w:val="false"/>
          <w:bCs w:val="false"/>
          <w:color w:val="000000"/>
          <w:sz w:val="22"/>
          <w:szCs w:val="22"/>
        </w:rPr>
        <w:t xml:space="preserve">The following worked example develops the complete technical control architecture for the Sunrise Refinery at Month 12 — twelve months after the governance framework was established in Chapter 11 and the detailed risk assessment was completed in Parts I and II. This example applies the technical control domains of Sections 12.3 through 12.8 to the specific risk register findings of the Sunrise Refinery, demonstrating how the IEC 62443-3-3 System Requirements are implemented in a realistic operational context.</w:t>
      </w:r>
    </w:p>
    <w:p>
      <w:pPr>
        <w:pStyle w:val="Heading2"/>
        <w:spacing w:after="160" w:before="280"/>
      </w:pPr>
      <w:r>
        <w:rPr>
          <w:rFonts w:ascii="Arial" w:cs="Arial" w:eastAsia="Arial" w:hAnsi="Arial"/>
          <w:b/>
          <w:bCs/>
          <w:color w:val="2E75B6"/>
          <w:sz w:val="26"/>
          <w:szCs w:val="26"/>
        </w:rPr>
        <w:t xml:space="preserve">12.9.1  Risk Register Mapping to Technical Controls</w:t>
      </w:r>
    </w:p>
    <w:p>
      <w:pPr>
        <w:spacing w:after="160" w:line="276"/>
        <w:jc w:val="both"/>
      </w:pPr>
      <w:r>
        <w:rPr>
          <w:rFonts w:ascii="Arial" w:cs="Arial" w:eastAsia="Arial" w:hAnsi="Arial"/>
          <w:b w:val="false"/>
          <w:bCs w:val="false"/>
          <w:color w:val="000000"/>
          <w:sz w:val="22"/>
          <w:szCs w:val="22"/>
        </w:rPr>
        <w:t xml:space="preserve">The Sunrise Refinery risk assessment identified five CRITICAL and seven HIGH risks. The following table maps the four highest-priority CRITICAL risks to the specific technical controls that address each risk, the SRs that mandate those controls, and the implementation status at Month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500"/>
        <w:gridCol w:w="2800"/>
        <w:gridCol w:w="2960"/>
      </w:tblGrid>
      <w:tr>
        <w:tc>
          <w:tcPr>
            <w:tcW w:type="dxa" w:w="9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Risk ID</w:t>
            </w:r>
          </w:p>
        </w:tc>
        <w:tc>
          <w:tcPr>
            <w:tcW w:type="dxa" w:w="22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Risk Description</w:t>
            </w:r>
          </w:p>
        </w:tc>
        <w:tc>
          <w:tcPr>
            <w:tcW w:type="dxa" w:w="5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SL-T</w:t>
            </w:r>
          </w:p>
        </w:tc>
        <w:tc>
          <w:tcPr>
            <w:tcW w:type="dxa" w:w="28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Technical Controls</w:t>
            </w:r>
          </w:p>
        </w:tc>
        <w:tc>
          <w:tcPr>
            <w:tcW w:type="dxa" w:w="296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 (Month 12)</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R-001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SIS engineering workstation direct network connection to corporate IT — enables lateral movement to SIS from corporate network breach</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18"/>
                <w:szCs w:val="18"/>
              </w:rPr>
              <w:t xml:space="preserve">SL 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SIS zone segmented from Level 3; dedicated SIS engineering workstation with no IT network connection; SIS zone firewall with whitelist rules; OT-IDS sensor deployed on SIS network segment; PAM solution for engineering access.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COMPLETE. SIS workstation network separation implemented at Month 3 (emergency action). Firewall rules configured and validated. OT-IDS operational on SIS segment. PAM brokering for SIS engineering access in deployment.</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R-002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Vendor VPN access with PSK authentication — no MFA; multiple vendors sharing single VPN credential</w:t>
            </w:r>
          </w:p>
        </w:tc>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sz w:val="18"/>
                <w:szCs w:val="18"/>
              </w:rPr>
              <w:t xml:space="preserve">SL 2</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Dedicated OT VPN concentrator (Cisco FTD) deployed in IDMZ; MFA enforced (Duo Security); PAM solution (CyberArk) brokering all vendor sessions; individual vendor accounts replacing shared credential; session recording enabled.</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SUBSTANTIALLY COMPLETE. OT VPN deployed and MFA enforced (Month 6). CyberArk PAM deployed (Month 10). Individual vendor accounts implemented for 8 of 11 vendors; 3 vendors pending migration (Month 14 target). Session recording operational.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R-003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Unpatched Rockwell PLCs (CVE-2022-1159 and 3 additional CVEs) — network-accessible, RCE potential</w:t>
            </w:r>
          </w:p>
        </w:tc>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sz w:val="18"/>
                <w:szCs w:val="18"/>
              </w:rPr>
              <w:t xml:space="preserve">SL 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Emergency patch deployment for 10 of 12 PLCs (Month 4); network isolation compensating control for 2 remaining PLCs (firewall rules blocking EtherNet/IP from engineering workstation zone except designated patch workstation); OT-IDS alerting on exploitation indicators.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SUBSTANTIALLY COMPLETE. 10/12 PLCs patched (Month 4). 2 remaining PLCs: vendor has not released compatible patch; network isolation compensating controls in place; next patching opportunity is January shutdown.</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R-004</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No IT/OT network boundary — flat network connecting all OT systems and corporate IT on same Layer 2 domain</w:t>
            </w:r>
          </w:p>
        </w:tc>
        <w:tc>
          <w:tcPr>
            <w:tcW w:type="dxa" w:w="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bCs/>
                <w:sz w:val="18"/>
                <w:szCs w:val="18"/>
              </w:rPr>
              <w:t xml:space="preserve">SL 2</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IDMZ established with Palo Alto PA-3260 firewalls (pair, HA); OT network segmented into 5 zones (SIS zone, Level 2 process zone, Level 3 operations zone, Level 2 utilities zone, Engineering zone); OPC-UA data diode for historian replication.</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IN PROGRESS. IDMZ firewalls deployed and operational (Month 9). Zone segmentation: SIS zone complete; Level 2 process zone complete; Level 3 operations zone in progress (Month 15 target). OPC-UA data diode: procurement complete, installation scheduled Month 13.</w:t>
            </w:r>
          </w:p>
        </w:tc>
      </w:tr>
    </w:tbl>
    <w:p>
      <w:pPr>
        <w:spacing w:after="200" w:before="80"/>
        <w:jc w:val="center"/>
      </w:pPr>
      <w:r>
        <w:rPr>
          <w:rFonts w:ascii="Arial" w:cs="Arial" w:eastAsia="Arial" w:hAnsi="Arial"/>
          <w:b/>
          <w:bCs/>
          <w:i/>
          <w:iCs/>
          <w:color w:val="1F3864"/>
          <w:sz w:val="20"/>
          <w:szCs w:val="20"/>
        </w:rPr>
        <w:t xml:space="preserve">Table 12.7: Sunrise Refinery — CRITICAL Risk Technical Control Implementation (Month 12)</w:t>
      </w:r>
    </w:p>
    <w:p>
      <w:pPr>
        <w:spacing w:after="200"/>
      </w:pPr>
      <w:r>
        <w:t xml:space="preserve"/>
      </w:r>
    </w:p>
    <w:p>
      <w:pPr>
        <w:pStyle w:val="Heading2"/>
        <w:spacing w:after="160" w:before="280"/>
      </w:pPr>
      <w:r>
        <w:rPr>
          <w:rFonts w:ascii="Arial" w:cs="Arial" w:eastAsia="Arial" w:hAnsi="Arial"/>
          <w:b/>
          <w:bCs/>
          <w:color w:val="2E75B6"/>
          <w:sz w:val="26"/>
          <w:szCs w:val="26"/>
        </w:rPr>
        <w:t xml:space="preserve">12.9.2  SR Compliance Assessment</w:t>
      </w:r>
    </w:p>
    <w:p>
      <w:pPr>
        <w:spacing w:after="160" w:line="276"/>
        <w:jc w:val="both"/>
      </w:pPr>
      <w:r>
        <w:rPr>
          <w:rFonts w:ascii="Arial" w:cs="Arial" w:eastAsia="Arial" w:hAnsi="Arial"/>
          <w:b w:val="false"/>
          <w:bCs w:val="false"/>
          <w:color w:val="000000"/>
          <w:sz w:val="22"/>
          <w:szCs w:val="22"/>
        </w:rPr>
        <w:t xml:space="preserve">The following assessment maps the IEC 62443-3-3 System Requirements at SL 2 (the predominant SL-T for the Sunrise Refinery process control zones) to the current implementation status, providing the traceability evidence required for the Month 12 management review and regulatory compliance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2960"/>
        <w:gridCol w:w="2000"/>
      </w:tblGrid>
      <w:tr>
        <w:tc>
          <w:tcPr>
            <w:tcW w:type="dxa" w:w="14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SR Reference</w:t>
            </w:r>
          </w:p>
        </w:tc>
        <w:tc>
          <w:tcPr>
            <w:tcW w:type="dxa" w:w="30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Requirement Summary</w:t>
            </w:r>
          </w:p>
        </w:tc>
        <w:tc>
          <w:tcPr>
            <w:tcW w:type="dxa" w:w="296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Implementation</w:t>
            </w:r>
          </w:p>
        </w:tc>
        <w:tc>
          <w:tcPr>
            <w:tcW w:type="dxa" w:w="20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Status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SR 1.1 (FR 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Human user identification and authentication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Individual accounts on OT AD domain; MFA for remote access; shared accounts eliminated for all engineering and operator workstations</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sz w:val="18"/>
                <w:szCs w:val="18"/>
              </w:rPr>
              <w:t xml:space="preserve">COMPLIANT</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SR 1.2 (FR 1)</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Software process and device identification and authentication</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OPC-UA certificate authentication configured; service accounts with individual identity; PLC authentication where vendor-supported</w:t>
            </w:r>
          </w:p>
        </w:tc>
        <w:tc>
          <w:tcPr>
            <w:tcW w:type="dxa" w:w="200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tcPr>
          <w:p>
            <w:pPr>
              <w:jc w:val="center"/>
            </w:pPr>
            <w:r>
              <w:rPr>
                <w:rFonts w:ascii="Arial" w:cs="Arial" w:eastAsia="Arial" w:hAnsi="Arial"/>
                <w:b/>
                <w:bCs/>
                <w:sz w:val="18"/>
                <w:szCs w:val="18"/>
              </w:rPr>
              <w:t xml:space="preserve">PARTIALLY COMPLIANT — PLC authentication limited by legacy hardware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SR 1.3 (FR 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Account management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OT AD domain with defined account lifecycle; quarterly access review process implemented; privileged accounts managed through CyberArk PAM</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sz w:val="18"/>
                <w:szCs w:val="18"/>
              </w:rPr>
              <w:t xml:space="preserve">COMPLIANT</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SR 1.6 (FR 1)</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Wireless access management</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Wireless access point audit completed; 2 unauthorised Wi-Fi APs removed; approved Wi-Fi (maintenance tablets only) implemented with WPA3-Enterprise and certificate authentication</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sz w:val="18"/>
                <w:szCs w:val="18"/>
              </w:rPr>
              <w:t xml:space="preserve">COMPLIANT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SR 1.7 (FR 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Strength of password-based authentication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OT password policy: 12-character minimum, complexity enforced, 180-day rotation for OT AD accounts; break-glass accounts rotated immediately after use</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sz w:val="18"/>
                <w:szCs w:val="18"/>
              </w:rPr>
              <w:t xml:space="preserve">COMPLIANT</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SR 2.1 (FR 2)</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Authorisation enforcement</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RBAC implemented across OT AD; role definitions documented and approved; quarterly role review process in place</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sz w:val="18"/>
                <w:szCs w:val="18"/>
              </w:rPr>
              <w:t xml:space="preserve">COMPLIANT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SR 2.4 (FR 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Mobile code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Application whitelisting (Carbon Black) deployed on engineering workstations and HMI servers; no unsigned code execution permitted</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sz w:val="18"/>
                <w:szCs w:val="18"/>
              </w:rPr>
              <w:t xml:space="preserve">COMPLIANT</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SR 3.2 (FR 3)</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Malicious code protection</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AV/EDR (CrowdStrike Falcon — OT-validated configuration) deployed on engineering workstations, HMI servers, historian servers; OT network excluded from active scanning</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sz w:val="18"/>
                <w:szCs w:val="18"/>
              </w:rPr>
              <w:t xml:space="preserve">COMPLIANT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SR 3.3 (FR 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Security functionality verification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Pre-deployment security testing procedure implemented; security validation included in OT change management process</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sz w:val="18"/>
                <w:szCs w:val="18"/>
              </w:rPr>
              <w:t xml:space="preserve">COMPLIANT</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SR 5.1 (FR 5)</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Network segmentation</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IDMZ implemented; SIS zone and Level 2 process zone segmented; remaining zones in progress (Month 15 target)</w:t>
            </w:r>
          </w:p>
        </w:tc>
        <w:tc>
          <w:tcPr>
            <w:tcW w:type="dxa" w:w="2000"/>
            <w:tcBorders>
              <w:top w:val="single" w:color="CCCCCC" w:sz="1"/>
              <w:left w:val="single" w:color="CCCCCC" w:sz="1"/>
              <w:bottom w:val="single" w:color="CCCCCC" w:sz="1"/>
              <w:right w:val="single" w:color="CCCCCC" w:sz="1"/>
            </w:tcBorders>
            <w:shd w:fill="FFF0E0" w:val="clear"/>
            <w:tcMar>
              <w:top w:type="dxa" w:w="80"/>
              <w:left w:type="dxa" w:w="120"/>
              <w:bottom w:type="dxa" w:w="80"/>
              <w:right w:type="dxa" w:w="120"/>
            </w:tcMar>
          </w:tcPr>
          <w:p>
            <w:pPr>
              <w:jc w:val="center"/>
            </w:pPr>
            <w:r>
              <w:rPr>
                <w:rFonts w:ascii="Arial" w:cs="Arial" w:eastAsia="Arial" w:hAnsi="Arial"/>
                <w:b/>
                <w:bCs/>
                <w:sz w:val="18"/>
                <w:szCs w:val="18"/>
              </w:rPr>
              <w:t xml:space="preserve">PARTIALLY COMPLIANT — in progress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SR 5.2 (FR 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Zone boundary protection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IDMZ firewalls (Palo Alto PA-3260 HA pair) operational; OT-aware rules for industrial protocols; OPC-UA data diode in deployment</w:t>
            </w:r>
          </w:p>
        </w:tc>
        <w:tc>
          <w:tcPr>
            <w:tcW w:type="dxa" w:w="2000"/>
            <w:tcBorders>
              <w:top w:val="single" w:color="CCCCCC" w:sz="1"/>
              <w:left w:val="single" w:color="CCCCCC" w:sz="1"/>
              <w:bottom w:val="single" w:color="CCCCCC" w:sz="1"/>
              <w:right w:val="single" w:color="CCCCCC" w:sz="1"/>
            </w:tcBorders>
            <w:shd w:fill="E8F4E8" w:val="clear"/>
            <w:tcMar>
              <w:top w:type="dxa" w:w="80"/>
              <w:left w:type="dxa" w:w="120"/>
              <w:bottom w:type="dxa" w:w="80"/>
              <w:right w:type="dxa" w:w="120"/>
            </w:tcMar>
          </w:tcPr>
          <w:p>
            <w:pPr>
              <w:jc w:val="center"/>
            </w:pPr>
            <w:r>
              <w:rPr>
                <w:rFonts w:ascii="Arial" w:cs="Arial" w:eastAsia="Arial" w:hAnsi="Arial"/>
                <w:b/>
                <w:bCs/>
                <w:sz w:val="18"/>
                <w:szCs w:val="18"/>
              </w:rPr>
              <w:t xml:space="preserve">SUBSTANTIALLY COMPLIANT</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SR 6.1 (FR 6)</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Audit log accessibility</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OT syslog infrastructure deployed; logs forwarded to on-premise SIEM (Splunk); 12-month retention; OT-specific log parsing rules deployed</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sz w:val="18"/>
                <w:szCs w:val="18"/>
              </w:rPr>
              <w:t xml:space="preserve">COMPLIANT</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SR 7.1 (FR 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Denial of service protection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OT network traffic shaping on IDMZ firewalls; rate limiting on OT VPN; OT-IDS anomaly detection for traffic volume anomalies</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sz w:val="18"/>
                <w:szCs w:val="18"/>
              </w:rPr>
              <w:t xml:space="preserve">COMPLIANT</w:t>
            </w:r>
          </w:p>
        </w:tc>
      </w:tr>
      <w:tr>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SR 7.3 (FR 7)</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Control system backup</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DCS configuration backup: weekly automated backup to offline storage; PLC programme backup: maintained in version-controlled repository; backup restoration tested quarterly</w:t>
            </w:r>
          </w:p>
        </w:tc>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center"/>
            </w:pPr>
            <w:r>
              <w:rPr>
                <w:rFonts w:ascii="Arial" w:cs="Arial" w:eastAsia="Arial" w:hAnsi="Arial"/>
                <w:b/>
                <w:bCs/>
                <w:sz w:val="18"/>
                <w:szCs w:val="18"/>
              </w:rPr>
              <w:t xml:space="preserve">COMPLIANT</w:t>
            </w:r>
          </w:p>
        </w:tc>
      </w:tr>
    </w:tbl>
    <w:p>
      <w:pPr>
        <w:spacing w:after="200" w:before="80"/>
        <w:jc w:val="center"/>
      </w:pPr>
      <w:r>
        <w:rPr>
          <w:rFonts w:ascii="Arial" w:cs="Arial" w:eastAsia="Arial" w:hAnsi="Arial"/>
          <w:b/>
          <w:bCs/>
          <w:i/>
          <w:iCs/>
          <w:color w:val="1F3864"/>
          <w:sz w:val="20"/>
          <w:szCs w:val="20"/>
        </w:rPr>
        <w:t xml:space="preserve">Table 12.8: Sunrise Refinery — IEC 62443-3-3 SR Compliance Assessment (Month 12, SL 2)</w:t>
      </w:r>
    </w:p>
    <w:p>
      <w:pPr>
        <w:spacing w:after="200"/>
      </w:pPr>
      <w:r>
        <w:t xml:space="preserve"/>
      </w:r>
    </w:p>
    <w:p>
      <w:r>
        <w:br w:type="page"/>
      </w:r>
    </w:p>
    <w:p>
      <w:pPr>
        <w:pStyle w:val="Heading1"/>
        <w:spacing w:after="200" w:before="360"/>
      </w:pPr>
      <w:r>
        <w:rPr>
          <w:rFonts w:ascii="Arial" w:cs="Arial" w:eastAsia="Arial" w:hAnsi="Arial"/>
          <w:b/>
          <w:bCs/>
          <w:color w:val="1F3864"/>
          <w:sz w:val="32"/>
          <w:szCs w:val="32"/>
        </w:rPr>
        <w:t xml:space="preserve">12.10  Chapter Summary</w:t>
      </w:r>
    </w:p>
    <w:p>
      <w:pPr>
        <w:spacing w:after="160" w:line="276"/>
        <w:jc w:val="both"/>
      </w:pPr>
      <w:r>
        <w:rPr>
          <w:rFonts w:ascii="Arial" w:cs="Arial" w:eastAsia="Arial" w:hAnsi="Arial"/>
          <w:b w:val="false"/>
          <w:bCs w:val="false"/>
          <w:color w:val="000000"/>
          <w:sz w:val="22"/>
          <w:szCs w:val="22"/>
        </w:rPr>
        <w:t xml:space="preserve">This chapter has addressed the technical implementation dimension of the CSMS — the specific, deployable security controls that convert the governance framework of Chapter 11 and the risk assessment outputs of Parts I and II into operational risk reduction. Five principal technical control domains have been developed in detail, with a sixth addressing the increasingly critical area of IT/OT integration security.</w:t>
      </w:r>
    </w:p>
    <w:p>
      <w:pPr>
        <w:spacing w:after="160" w:line="276"/>
        <w:jc w:val="both"/>
      </w:pPr>
      <w:r>
        <w:rPr>
          <w:rFonts w:ascii="Arial" w:cs="Arial" w:eastAsia="Arial" w:hAnsi="Arial"/>
          <w:b w:val="false"/>
          <w:bCs w:val="false"/>
          <w:color w:val="000000"/>
          <w:sz w:val="22"/>
          <w:szCs w:val="22"/>
        </w:rPr>
        <w:t xml:space="preserve">Network architecture and segmentation is the foundational technical control — the mechanism by which the IEC 62443-3-2 zone and conduit model is physically implemented, differential security levels are enforced, and the lateral movement of an attacker who achieves initial access is constrained. The Purdue Model provides a useful conceptual framework but must be extended and adapted for the zone-and-conduit approach of IEC 62443-3-2. The Industrial DMZ is the most important single architectural element — a dedicated security zone that mediates all IT/OT data exchange without creating a direct network path between the IT and OT environments.</w:t>
      </w:r>
    </w:p>
    <w:p>
      <w:pPr>
        <w:spacing w:after="160" w:line="276"/>
        <w:jc w:val="both"/>
      </w:pPr>
      <w:r>
        <w:rPr>
          <w:rFonts w:ascii="Arial" w:cs="Arial" w:eastAsia="Arial" w:hAnsi="Arial"/>
          <w:b w:val="false"/>
          <w:bCs w:val="false"/>
          <w:color w:val="000000"/>
          <w:sz w:val="22"/>
          <w:szCs w:val="22"/>
        </w:rPr>
        <w:t xml:space="preserve">Identity and Access Management addresses FR 1 (Identification and Authentication) and FR 2 (Use Control) — ensuring that every access to an OT system is traceable to an identified, authenticated individual with a documented authorisation for that access. OT IAM requires a fundamentally different approach from enterprise IT IAM, addressing the specific constraints of legacy authentication, shared accounts, real-time availability requirements, and emergency access. The deployment of a Privileged Access Management solution provides the technical infrastructure for managing high-privilege and remote access in a way that meets the SL 2 and SL 3 requirements of IEC 62443-3-3.</w:t>
      </w:r>
    </w:p>
    <w:p>
      <w:pPr>
        <w:spacing w:after="160" w:line="276"/>
        <w:jc w:val="both"/>
      </w:pPr>
      <w:r>
        <w:rPr>
          <w:rFonts w:ascii="Arial" w:cs="Arial" w:eastAsia="Arial" w:hAnsi="Arial"/>
          <w:b w:val="false"/>
          <w:bCs w:val="false"/>
          <w:color w:val="000000"/>
          <w:sz w:val="22"/>
          <w:szCs w:val="22"/>
        </w:rPr>
        <w:t xml:space="preserve">Security monitoring and intrusion detection addresses FR 6 (Timely Response to Events) — the capability to detect anomalous activity, generate alerts, and enable timely incident response. OT-specific IDS solutions, deployed passively through SPAN ports and network taps, provide asset discovery, communication baseline establishment, and anomaly-based threat detection without generating the active scanning traffic that can disrupt OT operations. Integration with SIEM provides the correlation capability needed to detect complex, multi-stage attacks.</w:t>
      </w:r>
    </w:p>
    <w:p>
      <w:pPr>
        <w:spacing w:after="160" w:line="276"/>
        <w:jc w:val="both"/>
      </w:pPr>
      <w:r>
        <w:rPr>
          <w:rFonts w:ascii="Arial" w:cs="Arial" w:eastAsia="Arial" w:hAnsi="Arial"/>
          <w:b w:val="false"/>
          <w:bCs w:val="false"/>
          <w:color w:val="000000"/>
          <w:sz w:val="22"/>
          <w:szCs w:val="22"/>
        </w:rPr>
        <w:t xml:space="preserve">Patch and vulnerability management addresses the most persistent and most challenging OT security maintenance requirement. A risk-based patch classification framework — Emergency, CRITICAL, HIGH, and Standard — provides the prioritisation structure needed to focus limited OT maintenance window capacity on the vulnerabilities that represent the greatest risk. Compensating controls for unpatchable systems — network isolation, protocol filtering, increased monitoring — provide a structured approach to managing the residual risk of unpatched vulnerabilities.</w:t>
      </w:r>
    </w:p>
    <w:p>
      <w:pPr>
        <w:spacing w:after="160" w:line="276"/>
        <w:jc w:val="both"/>
      </w:pPr>
      <w:r>
        <w:rPr>
          <w:rFonts w:ascii="Arial" w:cs="Arial" w:eastAsia="Arial" w:hAnsi="Arial"/>
          <w:b w:val="false"/>
          <w:bCs w:val="false"/>
          <w:color w:val="000000"/>
          <w:sz w:val="22"/>
          <w:szCs w:val="22"/>
        </w:rPr>
        <w:t xml:space="preserve">Remote access security addresses the attack vector most commonly exploited in major OT security incidents. A technically sound remote access architecture — dedicated OT VPN infrastructure terminating in the IDMZ, MFA mandatory without exception, PAM brokering with session recording, scope limitation to authorised systems — provides the controls needed to enable legitimate operational remote access while eliminating the credential-based attack vectors that have produced the most damaging OT security incidents.</w:t>
      </w:r>
    </w:p>
    <w:p>
      <w:pPr>
        <w:spacing w:after="160" w:line="276"/>
        <w:jc w:val="both"/>
      </w:pPr>
      <w:r>
        <w:rPr>
          <w:rFonts w:ascii="Arial" w:cs="Arial" w:eastAsia="Arial" w:hAnsi="Arial"/>
          <w:b w:val="false"/>
          <w:bCs w:val="false"/>
          <w:color w:val="000000"/>
          <w:sz w:val="22"/>
          <w:szCs w:val="22"/>
        </w:rPr>
        <w:t xml:space="preserve">Data flow controls and IT/OT integration security address the boundary between OT and IT systems — the point at which the operational value of integration must be balanced against the security risk of connectivity. Unidirectional security gateways (data diodes), OPC-UA security configuration, and the split-historian architecture provide the technical mechanisms for implementing this balance in a way that preserves OT network integrity.</w:t>
      </w:r>
    </w:p>
    <w:p>
      <w:pPr>
        <w:spacing w:after="160" w:line="276"/>
        <w:jc w:val="both"/>
      </w:pPr>
      <w:r>
        <w:rPr>
          <w:rFonts w:ascii="Arial" w:cs="Arial" w:eastAsia="Arial" w:hAnsi="Arial"/>
          <w:b w:val="false"/>
          <w:bCs w:val="false"/>
          <w:color w:val="000000"/>
          <w:sz w:val="22"/>
          <w:szCs w:val="22"/>
        </w:rPr>
        <w:t xml:space="preserve">The Sunrise Refinery worked example demonstrates the application of these technical control domains to a realistic industrial facility — mapping risk register findings to specific technical controls, assessing IEC 62443-3-3 SR compliance, and showing the implementation status at Month 12 of the CSMS establishment programme. The partial compliance status of several SRs at Month 12 is realistic — a CSMS establishment programme of this scale typically takes 18–24 months to reach full SR compliance, with the most critical findings addressed first and the longer-term architectural changes following.</w:t>
      </w:r>
    </w:p>
    <w:p>
      <w:pPr>
        <w:spacing w:after="160" w:line="276"/>
        <w:jc w:val="both"/>
      </w:pPr>
      <w:r>
        <w:rPr>
          <w:rFonts w:ascii="Arial" w:cs="Arial" w:eastAsia="Arial" w:hAnsi="Arial"/>
          <w:b w:val="false"/>
          <w:bCs w:val="false"/>
          <w:color w:val="000000"/>
          <w:sz w:val="22"/>
          <w:szCs w:val="22"/>
        </w:rPr>
        <w:t xml:space="preserve">Chapter 13 will address the operational security processes that sustain the technical controls established in this chapter — the incident response programme, the change management execution process, the vendor security management lifecycle, and the personnel security controls that ensure the technical architecture delivers its intended security outcomes over time.</w:t>
      </w:r>
    </w:p>
    <w:p>
      <w:r>
        <w:br w:type="page"/>
      </w:r>
    </w:p>
    <w:p>
      <w:pPr>
        <w:pStyle w:val="Heading1"/>
        <w:spacing w:after="200" w:before="360"/>
      </w:pPr>
      <w:r>
        <w:rPr>
          <w:rFonts w:ascii="Arial" w:cs="Arial" w:eastAsia="Arial" w:hAnsi="Arial"/>
          <w:b/>
          <w:bCs/>
          <w:color w:val="1F3864"/>
          <w:sz w:val="32"/>
          <w:szCs w:val="32"/>
        </w:rPr>
        <w:t xml:space="preserve">References</w:t>
      </w:r>
    </w:p>
    <w:p>
      <w:pPr>
        <w:pStyle w:val="ListParagraph"/>
        <w:numPr>
          <w:ilvl w:val="0"/>
          <w:numId w:val="2"/>
        </w:numPr>
        <w:spacing w:after="80" w:line="276"/>
      </w:pPr>
      <w:r>
        <w:rPr>
          <w:rFonts w:ascii="Arial" w:cs="Arial" w:eastAsia="Arial" w:hAnsi="Arial"/>
          <w:sz w:val="20"/>
          <w:szCs w:val="20"/>
        </w:rPr>
        <w:t xml:space="preserve">Beresford, D. (2011). Exploiting Siemens Simatic S7 PLCs. Black Hat USA 2011 Briefings. Las Vegas, NV: Black Hat.</w:t>
      </w:r>
    </w:p>
    <w:p>
      <w:pPr>
        <w:pStyle w:val="ListParagraph"/>
        <w:numPr>
          <w:ilvl w:val="0"/>
          <w:numId w:val="2"/>
        </w:numPr>
        <w:spacing w:after="80" w:line="276"/>
      </w:pPr>
      <w:r>
        <w:rPr>
          <w:rFonts w:ascii="Arial" w:cs="Arial" w:eastAsia="Arial" w:hAnsi="Arial"/>
          <w:sz w:val="20"/>
          <w:szCs w:val="20"/>
        </w:rPr>
        <w:t xml:space="preserve">CISA (Cybersecurity and Infrastructure Security Agency) (2021). Alert AA21-131A: DarkSide Ransomware: Best Practices for Preventing Business Disruption from Ransomware Attacks. Washington DC: CISA. Retrieved from https://www.cisa.gov/news-events/cybersecurity-advisories/aa21-131a</w:t>
      </w:r>
    </w:p>
    <w:p>
      <w:pPr>
        <w:pStyle w:val="ListParagraph"/>
        <w:numPr>
          <w:ilvl w:val="0"/>
          <w:numId w:val="2"/>
        </w:numPr>
        <w:spacing w:after="80" w:line="276"/>
      </w:pPr>
      <w:r>
        <w:rPr>
          <w:rFonts w:ascii="Arial" w:cs="Arial" w:eastAsia="Arial" w:hAnsi="Arial"/>
          <w:sz w:val="20"/>
          <w:szCs w:val="20"/>
        </w:rPr>
        <w:t xml:space="preserve">CISA (2023). #StopRansomware: DP World Australia Incident Analysis. Washington DC: CISA.</w:t>
      </w:r>
    </w:p>
    <w:p>
      <w:pPr>
        <w:pStyle w:val="ListParagraph"/>
        <w:numPr>
          <w:ilvl w:val="0"/>
          <w:numId w:val="2"/>
        </w:numPr>
        <w:spacing w:after="80" w:line="276"/>
      </w:pPr>
      <w:r>
        <w:rPr>
          <w:rFonts w:ascii="Arial" w:cs="Arial" w:eastAsia="Arial" w:hAnsi="Arial"/>
          <w:sz w:val="20"/>
          <w:szCs w:val="20"/>
        </w:rPr>
        <w:t xml:space="preserve">Dragos (2022). ICS/OT Cybersecurity Year in Review 2021. Hanover, MD: Dragos, Inc.</w:t>
      </w:r>
    </w:p>
    <w:p>
      <w:pPr>
        <w:pStyle w:val="ListParagraph"/>
        <w:numPr>
          <w:ilvl w:val="0"/>
          <w:numId w:val="2"/>
        </w:numPr>
        <w:spacing w:after="80" w:line="276"/>
      </w:pPr>
      <w:r>
        <w:rPr>
          <w:rFonts w:ascii="Arial" w:cs="Arial" w:eastAsia="Arial" w:hAnsi="Arial"/>
          <w:sz w:val="20"/>
          <w:szCs w:val="20"/>
        </w:rPr>
        <w:t xml:space="preserve">Dragos (2023). ICS/OT Cybersecurity Year in Review 2022. Hanover, MD: Dragos, Inc.</w:t>
      </w:r>
    </w:p>
    <w:p>
      <w:pPr>
        <w:pStyle w:val="ListParagraph"/>
        <w:numPr>
          <w:ilvl w:val="0"/>
          <w:numId w:val="2"/>
        </w:numPr>
        <w:spacing w:after="80" w:line="276"/>
      </w:pPr>
      <w:r>
        <w:rPr>
          <w:rFonts w:ascii="Arial" w:cs="Arial" w:eastAsia="Arial" w:hAnsi="Arial"/>
          <w:sz w:val="20"/>
          <w:szCs w:val="20"/>
        </w:rPr>
        <w:t xml:space="preserve">European Parliament (2022). Directive (EU) 2022/2555 (NIS2 Directive) on Measures for a High Common Level of Cybersecurity Across the Union. Official Journal of the European Union, L 333, 80–152.</w:t>
      </w:r>
    </w:p>
    <w:p>
      <w:pPr>
        <w:pStyle w:val="ListParagraph"/>
        <w:numPr>
          <w:ilvl w:val="0"/>
          <w:numId w:val="2"/>
        </w:numPr>
        <w:spacing w:after="80" w:line="276"/>
      </w:pPr>
      <w:r>
        <w:rPr>
          <w:rFonts w:ascii="Arial" w:cs="Arial" w:eastAsia="Arial" w:hAnsi="Arial"/>
          <w:sz w:val="20"/>
          <w:szCs w:val="20"/>
        </w:rPr>
        <w:t xml:space="preserve">IEC (2010). IEC 62443-2-1: Security for Industrial Automation and Control Systems — Part 2-1: Establishing an Industrial Automation and Control System Security Programme. Geneva: International Electrotechnical Commission.</w:t>
      </w:r>
    </w:p>
    <w:p>
      <w:pPr>
        <w:pStyle w:val="ListParagraph"/>
        <w:numPr>
          <w:ilvl w:val="0"/>
          <w:numId w:val="2"/>
        </w:numPr>
        <w:spacing w:after="80" w:line="276"/>
      </w:pPr>
      <w:r>
        <w:rPr>
          <w:rFonts w:ascii="Arial" w:cs="Arial" w:eastAsia="Arial" w:hAnsi="Arial"/>
          <w:sz w:val="20"/>
          <w:szCs w:val="20"/>
        </w:rPr>
        <w:t xml:space="preserve">IEC (2013). IEC 62443-3-3: Industrial Communication Networks — Network and System Security — Part 3-3: System Security Requirements and Security Levels. Geneva: International Electrotechnical Commission.</w:t>
      </w:r>
    </w:p>
    <w:p>
      <w:pPr>
        <w:pStyle w:val="ListParagraph"/>
        <w:numPr>
          <w:ilvl w:val="0"/>
          <w:numId w:val="2"/>
        </w:numPr>
        <w:spacing w:after="80" w:line="276"/>
      </w:pPr>
      <w:r>
        <w:rPr>
          <w:rFonts w:ascii="Arial" w:cs="Arial" w:eastAsia="Arial" w:hAnsi="Arial"/>
          <w:sz w:val="20"/>
          <w:szCs w:val="20"/>
        </w:rPr>
        <w:t xml:space="preserve">IEC (2018). IEC 62443-4-1: Security for Industrial Automation and Control Systems — Part 4-1: Secure Product Development Lifecycle Requirements. Geneva: International Electrotechnical Commission.</w:t>
      </w:r>
    </w:p>
    <w:p>
      <w:pPr>
        <w:pStyle w:val="ListParagraph"/>
        <w:numPr>
          <w:ilvl w:val="0"/>
          <w:numId w:val="2"/>
        </w:numPr>
        <w:spacing w:after="80" w:line="276"/>
      </w:pPr>
      <w:r>
        <w:rPr>
          <w:rFonts w:ascii="Arial" w:cs="Arial" w:eastAsia="Arial" w:hAnsi="Arial"/>
          <w:sz w:val="20"/>
          <w:szCs w:val="20"/>
        </w:rPr>
        <w:t xml:space="preserve">IEC (2020). IEC 62443-3-2: Security for Industrial Automation and Control Systems — Part 3-2: Security Risk Assessment for System Design. Geneva: International Electrotechnical Commission.</w:t>
      </w:r>
    </w:p>
    <w:p>
      <w:pPr>
        <w:pStyle w:val="ListParagraph"/>
        <w:numPr>
          <w:ilvl w:val="0"/>
          <w:numId w:val="2"/>
        </w:numPr>
        <w:spacing w:after="80" w:line="276"/>
      </w:pPr>
      <w:r>
        <w:rPr>
          <w:rFonts w:ascii="Arial" w:cs="Arial" w:eastAsia="Arial" w:hAnsi="Arial"/>
          <w:sz w:val="20"/>
          <w:szCs w:val="20"/>
        </w:rPr>
        <w:t xml:space="preserve">ISA-99 Committee (2007). ISA-TR99.00.02-2004: Integrating Electronic Security into the Manufacturing and Control Systems Environment. Research Triangle Park, NC: International Society of Automation.</w:t>
      </w:r>
    </w:p>
    <w:p>
      <w:pPr>
        <w:pStyle w:val="ListParagraph"/>
        <w:numPr>
          <w:ilvl w:val="0"/>
          <w:numId w:val="2"/>
        </w:numPr>
        <w:spacing w:after="80" w:line="276"/>
      </w:pPr>
      <w:r>
        <w:rPr>
          <w:rFonts w:ascii="Arial" w:cs="Arial" w:eastAsia="Arial" w:hAnsi="Arial"/>
          <w:sz w:val="20"/>
          <w:szCs w:val="20"/>
        </w:rPr>
        <w:t xml:space="preserve">Langner, R. (2011). Stuxnet: Dissecting a Cyberweapon. IEEE Security and Privacy, 9(3), 49–51. https://doi.org/10.1109/MSP.2011.67</w:t>
      </w:r>
    </w:p>
    <w:p>
      <w:pPr>
        <w:pStyle w:val="ListParagraph"/>
        <w:numPr>
          <w:ilvl w:val="0"/>
          <w:numId w:val="2"/>
        </w:numPr>
        <w:spacing w:after="80" w:line="276"/>
      </w:pPr>
      <w:r>
        <w:rPr>
          <w:rFonts w:ascii="Arial" w:cs="Arial" w:eastAsia="Arial" w:hAnsi="Arial"/>
          <w:sz w:val="20"/>
          <w:szCs w:val="20"/>
        </w:rPr>
        <w:t xml:space="preserve">Lee, R.M., Assante, M.J., and Conway, T. (2016). Analysis of the Cyber Attack on the Ukrainian Power Grid. Washington DC: E-ISAC / SANS ICS.</w:t>
      </w:r>
    </w:p>
    <w:p>
      <w:pPr>
        <w:pStyle w:val="ListParagraph"/>
        <w:numPr>
          <w:ilvl w:val="0"/>
          <w:numId w:val="2"/>
        </w:numPr>
        <w:spacing w:after="80" w:line="276"/>
      </w:pPr>
      <w:r>
        <w:rPr>
          <w:rFonts w:ascii="Arial" w:cs="Arial" w:eastAsia="Arial" w:hAnsi="Arial"/>
          <w:sz w:val="20"/>
          <w:szCs w:val="20"/>
        </w:rPr>
        <w:t xml:space="preserve">Lemos, R. (2021). Colonial Pipeline Ransomware Attack: What We Know and Don't Know. Dark Reading, May 2021.</w:t>
      </w:r>
    </w:p>
    <w:p>
      <w:pPr>
        <w:pStyle w:val="ListParagraph"/>
        <w:numPr>
          <w:ilvl w:val="0"/>
          <w:numId w:val="2"/>
        </w:numPr>
        <w:spacing w:after="80" w:line="276"/>
      </w:pPr>
      <w:r>
        <w:rPr>
          <w:rFonts w:ascii="Arial" w:cs="Arial" w:eastAsia="Arial" w:hAnsi="Arial"/>
          <w:sz w:val="20"/>
          <w:szCs w:val="20"/>
        </w:rPr>
        <w:t xml:space="preserve">MITRE Corporation (2020). ATT&amp;CK for Industrial Control Systems (ICS). McLean, VA: MITRE. Retrieved from https://attack.mitre.org/matrices/ics/</w:t>
      </w:r>
    </w:p>
    <w:p>
      <w:pPr>
        <w:pStyle w:val="ListParagraph"/>
        <w:numPr>
          <w:ilvl w:val="0"/>
          <w:numId w:val="2"/>
        </w:numPr>
        <w:spacing w:after="80" w:line="276"/>
      </w:pPr>
      <w:r>
        <w:rPr>
          <w:rFonts w:ascii="Arial" w:cs="Arial" w:eastAsia="Arial" w:hAnsi="Arial"/>
          <w:sz w:val="20"/>
          <w:szCs w:val="20"/>
        </w:rPr>
        <w:t xml:space="preserve">NIST (2015). Special Publication 800-82 Rev.2: Guide to Industrial Control Systems (ICS) Security. Gaithersburg, MD: National Institute of Standards and Technology.</w:t>
      </w:r>
    </w:p>
    <w:p>
      <w:pPr>
        <w:pStyle w:val="ListParagraph"/>
        <w:numPr>
          <w:ilvl w:val="0"/>
          <w:numId w:val="2"/>
        </w:numPr>
        <w:spacing w:after="80" w:line="276"/>
      </w:pPr>
      <w:r>
        <w:rPr>
          <w:rFonts w:ascii="Arial" w:cs="Arial" w:eastAsia="Arial" w:hAnsi="Arial"/>
          <w:sz w:val="20"/>
          <w:szCs w:val="20"/>
        </w:rPr>
        <w:t xml:space="preserve">NIST (2018). Special Publication 800-37 Rev.2: Risk Management Framework for Information Systems and Organizations. Gaithersburg, MD: National Institute of Standards and Technology.</w:t>
      </w:r>
    </w:p>
    <w:p>
      <w:pPr>
        <w:pStyle w:val="ListParagraph"/>
        <w:numPr>
          <w:ilvl w:val="0"/>
          <w:numId w:val="2"/>
        </w:numPr>
        <w:spacing w:after="80" w:line="276"/>
      </w:pPr>
      <w:r>
        <w:rPr>
          <w:rFonts w:ascii="Arial" w:cs="Arial" w:eastAsia="Arial" w:hAnsi="Arial"/>
          <w:sz w:val="20"/>
          <w:szCs w:val="20"/>
        </w:rPr>
        <w:t xml:space="preserve">NIST (2018). Framework for Improving Critical Infrastructure Cybersecurity, Version 1.1. Gaithersburg, MD: National Institute of Standards and Technology.</w:t>
      </w:r>
    </w:p>
    <w:p>
      <w:pPr>
        <w:pStyle w:val="ListParagraph"/>
        <w:numPr>
          <w:ilvl w:val="0"/>
          <w:numId w:val="2"/>
        </w:numPr>
        <w:spacing w:after="80" w:line="276"/>
      </w:pPr>
      <w:r>
        <w:rPr>
          <w:rFonts w:ascii="Arial" w:cs="Arial" w:eastAsia="Arial" w:hAnsi="Arial"/>
          <w:sz w:val="20"/>
          <w:szCs w:val="20"/>
        </w:rPr>
        <w:t xml:space="preserve">OPC Foundation (2017). OPC Unified Architecture Specification — Part 2: Security Model. OPC Foundation.</w:t>
      </w:r>
    </w:p>
    <w:p>
      <w:pPr>
        <w:pStyle w:val="ListParagraph"/>
        <w:numPr>
          <w:ilvl w:val="0"/>
          <w:numId w:val="2"/>
        </w:numPr>
        <w:spacing w:after="80" w:line="276"/>
      </w:pPr>
      <w:r>
        <w:rPr>
          <w:rFonts w:ascii="Arial" w:cs="Arial" w:eastAsia="Arial" w:hAnsi="Arial"/>
          <w:sz w:val="20"/>
          <w:szCs w:val="20"/>
        </w:rPr>
        <w:t xml:space="preserve">Rid, T. and McBurney, P. (2012). Cyber-Weapons. RUSI Journal, 157(1), 6–13. https://doi.org/10.1080/03071847.2012.664354</w:t>
      </w:r>
    </w:p>
    <w:p>
      <w:pPr>
        <w:pStyle w:val="ListParagraph"/>
        <w:numPr>
          <w:ilvl w:val="0"/>
          <w:numId w:val="2"/>
        </w:numPr>
        <w:spacing w:after="80" w:line="276"/>
      </w:pPr>
      <w:r>
        <w:rPr>
          <w:rFonts w:ascii="Arial" w:cs="Arial" w:eastAsia="Arial" w:hAnsi="Arial"/>
          <w:sz w:val="20"/>
          <w:szCs w:val="20"/>
        </w:rPr>
        <w:t xml:space="preserve">Santamarta, R. (2018). Last Call for SATCOM Security. IOActive Research. Retrieved from https://ioactive.com</w:t>
      </w:r>
    </w:p>
    <w:p>
      <w:pPr>
        <w:pStyle w:val="ListParagraph"/>
        <w:numPr>
          <w:ilvl w:val="0"/>
          <w:numId w:val="2"/>
        </w:numPr>
        <w:spacing w:after="80" w:line="276"/>
      </w:pPr>
      <w:r>
        <w:rPr>
          <w:rFonts w:ascii="Arial" w:cs="Arial" w:eastAsia="Arial" w:hAnsi="Arial"/>
          <w:sz w:val="20"/>
          <w:szCs w:val="20"/>
        </w:rPr>
        <w:t xml:space="preserve">Schneier, B. (2015). Secrets and Lies: Digital Security in a Networked World (15th Anniversary Edition). Indianapolis, IN: Wiley.</w:t>
      </w:r>
    </w:p>
    <w:p>
      <w:pPr>
        <w:pStyle w:val="ListParagraph"/>
        <w:numPr>
          <w:ilvl w:val="0"/>
          <w:numId w:val="2"/>
        </w:numPr>
        <w:spacing w:after="80" w:line="276"/>
      </w:pPr>
      <w:r>
        <w:rPr>
          <w:rFonts w:ascii="Arial" w:cs="Arial" w:eastAsia="Arial" w:hAnsi="Arial"/>
          <w:sz w:val="20"/>
          <w:szCs w:val="20"/>
        </w:rPr>
        <w:t xml:space="preserve">Shostack, A. (2014). Threat Modeling: Designing for Security. Indianapolis, IN: Wiley.</w:t>
      </w:r>
    </w:p>
    <w:p>
      <w:pPr>
        <w:pStyle w:val="ListParagraph"/>
        <w:numPr>
          <w:ilvl w:val="0"/>
          <w:numId w:val="2"/>
        </w:numPr>
        <w:spacing w:after="80" w:line="276"/>
      </w:pPr>
      <w:r>
        <w:rPr>
          <w:rFonts w:ascii="Arial" w:cs="Arial" w:eastAsia="Arial" w:hAnsi="Arial"/>
          <w:sz w:val="20"/>
          <w:szCs w:val="20"/>
        </w:rPr>
        <w:t xml:space="preserve">Stoustrup, J., Annaswamy, A., Chakrabortty, A., and Qu, Z. (Eds.) (2019). Smart Grid Control: Overview and Research Opportunities. Cham: Springer.</w:t>
      </w:r>
    </w:p>
    <w:p>
      <w:pPr>
        <w:pStyle w:val="ListParagraph"/>
        <w:numPr>
          <w:ilvl w:val="0"/>
          <w:numId w:val="2"/>
        </w:numPr>
        <w:spacing w:after="80" w:line="276"/>
      </w:pPr>
      <w:r>
        <w:rPr>
          <w:rFonts w:ascii="Arial" w:cs="Arial" w:eastAsia="Arial" w:hAnsi="Arial"/>
          <w:sz w:val="20"/>
          <w:szCs w:val="20"/>
        </w:rPr>
        <w:t xml:space="preserve">Waterfall Security Solutions (2019). Unidirectional Security Gateways: Architecture and Applications. Rosh HaAyin: Waterfall Security Solutions.</w:t>
      </w:r>
    </w:p>
    <w:p>
      <w:pPr>
        <w:pStyle w:val="ListParagraph"/>
        <w:numPr>
          <w:ilvl w:val="0"/>
          <w:numId w:val="2"/>
        </w:numPr>
        <w:spacing w:after="80" w:line="276"/>
      </w:pPr>
      <w:r>
        <w:rPr>
          <w:rFonts w:ascii="Arial" w:cs="Arial" w:eastAsia="Arial" w:hAnsi="Arial"/>
          <w:sz w:val="20"/>
          <w:szCs w:val="20"/>
        </w:rPr>
        <w:t xml:space="preserve">Williams, T.J. (1994). The Purdue Enterprise Reference Architecture. Computers in Industry, 24(2–3), 141–158. https://doi.org/10.1016/0166-3615(94)90017-5</w:t>
      </w:r>
    </w:p>
    <w:p>
      <w:pPr>
        <w:pStyle w:val="ListParagraph"/>
        <w:numPr>
          <w:ilvl w:val="0"/>
          <w:numId w:val="2"/>
        </w:numPr>
        <w:spacing w:after="80" w:line="276"/>
      </w:pPr>
      <w:r>
        <w:rPr>
          <w:rFonts w:ascii="Arial" w:cs="Arial" w:eastAsia="Arial" w:hAnsi="Arial"/>
          <w:sz w:val="20"/>
          <w:szCs w:val="20"/>
        </w:rPr>
        <w:t xml:space="preserve">Zetter, K. (2014). Countdown to Zero Day: Stuxnet and the Launch of the World's First Digital Weapon. New York: Crown Publishers.</w:t>
      </w:r>
    </w:p>
    <w:p>
      <w:pPr>
        <w:pStyle w:val="ListParagraph"/>
        <w:numPr>
          <w:ilvl w:val="0"/>
          <w:numId w:val="2"/>
        </w:numPr>
        <w:spacing w:after="80" w:line="276"/>
      </w:pPr>
      <w:r>
        <w:rPr>
          <w:rFonts w:ascii="Arial" w:cs="Arial" w:eastAsia="Arial" w:hAnsi="Arial"/>
          <w:sz w:val="20"/>
          <w:szCs w:val="20"/>
        </w:rPr>
        <w:t xml:space="preserve">Zurawski, R. (Ed.) (2014). Industrial Communication Technology Handbook (2nd ed.). Boca Raton, FL: CRC Press.</w:t>
      </w:r>
    </w:p>
    <w:p>
      <w:pPr>
        <w:spacing w:after="200"/>
      </w:pPr>
      <w:r>
        <w:t xml:space="preserve"/>
      </w:r>
    </w:p>
    <w:p>
      <w:pPr>
        <w:pStyle w:val="Heading1"/>
        <w:spacing w:after="200" w:before="360"/>
      </w:pPr>
      <w:r>
        <w:rPr>
          <w:rFonts w:ascii="Arial" w:cs="Arial" w:eastAsia="Arial" w:hAnsi="Arial"/>
          <w:b/>
          <w:bCs/>
          <w:color w:val="1F3864"/>
          <w:sz w:val="32"/>
          <w:szCs w:val="32"/>
        </w:rPr>
        <w:t xml:space="preserve">Additional Resources for Further Study</w:t>
      </w:r>
    </w:p>
    <w:p>
      <w:pPr>
        <w:pStyle w:val="Heading2"/>
        <w:spacing w:after="160" w:before="280"/>
      </w:pPr>
      <w:r>
        <w:rPr>
          <w:rFonts w:ascii="Arial" w:cs="Arial" w:eastAsia="Arial" w:hAnsi="Arial"/>
          <w:b/>
          <w:bCs/>
          <w:color w:val="2E75B6"/>
          <w:sz w:val="26"/>
          <w:szCs w:val="26"/>
        </w:rPr>
        <w:t xml:space="preserve">Primary Standards</w:t>
      </w:r>
    </w:p>
    <w:p>
      <w:pPr>
        <w:pStyle w:val="ListParagraph"/>
        <w:numPr>
          <w:ilvl w:val="0"/>
          <w:numId w:val="3"/>
        </w:numPr>
        <w:spacing w:after="100" w:line="276"/>
      </w:pPr>
      <w:r>
        <w:rPr>
          <w:rFonts w:ascii="Arial" w:cs="Arial" w:eastAsia="Arial" w:hAnsi="Arial"/>
          <w:sz w:val="22"/>
          <w:szCs w:val="22"/>
        </w:rPr>
        <w:t xml:space="preserve">IEC 62443-3-3:2013 — System Security Requirements and Security Levels. [The primary technical requirements standard — every SR mapped in Table 12.8 is drawn from this document.]</w:t>
      </w:r>
    </w:p>
    <w:p>
      <w:pPr>
        <w:pStyle w:val="ListParagraph"/>
        <w:numPr>
          <w:ilvl w:val="0"/>
          <w:numId w:val="3"/>
        </w:numPr>
        <w:spacing w:after="100" w:line="276"/>
      </w:pPr>
      <w:r>
        <w:rPr>
          <w:rFonts w:ascii="Arial" w:cs="Arial" w:eastAsia="Arial" w:hAnsi="Arial"/>
          <w:sz w:val="22"/>
          <w:szCs w:val="22"/>
        </w:rPr>
        <w:t xml:space="preserve">IEC 62443-3-2:2020 — Security Risk Assessment for System Design. [The zone and conduit methodology referenced in Section 12.3.]</w:t>
      </w:r>
    </w:p>
    <w:p>
      <w:pPr>
        <w:pStyle w:val="ListParagraph"/>
        <w:numPr>
          <w:ilvl w:val="0"/>
          <w:numId w:val="3"/>
        </w:numPr>
        <w:spacing w:after="100" w:line="276"/>
      </w:pPr>
      <w:r>
        <w:rPr>
          <w:rFonts w:ascii="Arial" w:cs="Arial" w:eastAsia="Arial" w:hAnsi="Arial"/>
          <w:sz w:val="22"/>
          <w:szCs w:val="22"/>
        </w:rPr>
        <w:t xml:space="preserve">IEC 62443-4-2:2019 — Technical Security Requirements for IACS Components. [Component-level requirements that complement the system-level requirements of 62443-3-3.]</w:t>
      </w:r>
    </w:p>
    <w:p>
      <w:pPr>
        <w:pStyle w:val="ListParagraph"/>
        <w:numPr>
          <w:ilvl w:val="0"/>
          <w:numId w:val="3"/>
        </w:numPr>
        <w:spacing w:after="100" w:line="276"/>
      </w:pPr>
      <w:r>
        <w:rPr>
          <w:rFonts w:ascii="Arial" w:cs="Arial" w:eastAsia="Arial" w:hAnsi="Arial"/>
          <w:sz w:val="22"/>
          <w:szCs w:val="22"/>
        </w:rPr>
        <w:t xml:space="preserve">NIST SP 800-82 Rev.2 — Guide to Industrial Control Systems (ICS) Security. [Comprehensive US government guidance directly complementary to IEC 62443-3-3 for OT practitioners.]</w:t>
      </w:r>
    </w:p>
    <w:p>
      <w:pPr>
        <w:pStyle w:val="Heading2"/>
        <w:spacing w:after="160" w:before="280"/>
      </w:pPr>
      <w:r>
        <w:rPr>
          <w:rFonts w:ascii="Arial" w:cs="Arial" w:eastAsia="Arial" w:hAnsi="Arial"/>
          <w:b/>
          <w:bCs/>
          <w:color w:val="2E75B6"/>
          <w:sz w:val="26"/>
          <w:szCs w:val="26"/>
        </w:rPr>
        <w:t xml:space="preserve">Reference Texts</w:t>
      </w:r>
    </w:p>
    <w:p>
      <w:pPr>
        <w:pStyle w:val="ListParagraph"/>
        <w:numPr>
          <w:ilvl w:val="0"/>
          <w:numId w:val="3"/>
        </w:numPr>
        <w:spacing w:after="100" w:line="276"/>
      </w:pPr>
      <w:r>
        <w:rPr>
          <w:rFonts w:ascii="Arial" w:cs="Arial" w:eastAsia="Arial" w:hAnsi="Arial"/>
          <w:sz w:val="22"/>
          <w:szCs w:val="22"/>
        </w:rPr>
        <w:t xml:space="preserve">Zetter, K. (2014). Countdown to Zero Day. Crown Publishers. [The definitive account of Stuxnet — essential reading for understanding the OT threat landscape.]</w:t>
      </w:r>
    </w:p>
    <w:p>
      <w:pPr>
        <w:pStyle w:val="ListParagraph"/>
        <w:numPr>
          <w:ilvl w:val="0"/>
          <w:numId w:val="3"/>
        </w:numPr>
        <w:spacing w:after="100" w:line="276"/>
      </w:pPr>
      <w:r>
        <w:rPr>
          <w:rFonts w:ascii="Arial" w:cs="Arial" w:eastAsia="Arial" w:hAnsi="Arial"/>
          <w:sz w:val="22"/>
          <w:szCs w:val="22"/>
        </w:rPr>
        <w:t xml:space="preserve">Schneier, B. (2015). Secrets and Lies (15th Anniversary Edition). Wiley. [Chapter 6 on network security and Chapter 15 on the human element provide academic grounding for the network and IAM sections.]</w:t>
      </w:r>
    </w:p>
    <w:p>
      <w:pPr>
        <w:pStyle w:val="ListParagraph"/>
        <w:numPr>
          <w:ilvl w:val="0"/>
          <w:numId w:val="3"/>
        </w:numPr>
        <w:spacing w:after="100" w:line="276"/>
      </w:pPr>
      <w:r>
        <w:rPr>
          <w:rFonts w:ascii="Arial" w:cs="Arial" w:eastAsia="Arial" w:hAnsi="Arial"/>
          <w:sz w:val="22"/>
          <w:szCs w:val="22"/>
        </w:rPr>
        <w:t xml:space="preserve">Shostack, A. (2014). Threat Modeling: Designing for Security. Wiley. [Chapters 9–11 on network threats and countermeasures are directly relevant to Section 12.3.]</w:t>
      </w:r>
    </w:p>
    <w:p>
      <w:pPr>
        <w:pStyle w:val="Heading2"/>
        <w:spacing w:after="160" w:before="280"/>
      </w:pPr>
      <w:r>
        <w:rPr>
          <w:rFonts w:ascii="Arial" w:cs="Arial" w:eastAsia="Arial" w:hAnsi="Arial"/>
          <w:b/>
          <w:bCs/>
          <w:color w:val="2E75B6"/>
          <w:sz w:val="26"/>
          <w:szCs w:val="26"/>
        </w:rPr>
        <w:t xml:space="preserve">Practical Resources</w:t>
      </w:r>
    </w:p>
    <w:p>
      <w:pPr>
        <w:pStyle w:val="ListParagraph"/>
        <w:numPr>
          <w:ilvl w:val="0"/>
          <w:numId w:val="3"/>
        </w:numPr>
        <w:spacing w:after="100" w:line="276"/>
      </w:pPr>
      <w:r>
        <w:rPr>
          <w:rFonts w:ascii="Arial" w:cs="Arial" w:eastAsia="Arial" w:hAnsi="Arial"/>
          <w:sz w:val="22"/>
          <w:szCs w:val="22"/>
        </w:rPr>
        <w:t xml:space="preserve">MITRE ATT&amp;CK for ICS: https://attack.mitre.org/matrices/ics/ — The authoritative framework for understanding OT attack techniques and mapping them to detection and mitigation strategies.</w:t>
      </w:r>
    </w:p>
    <w:p>
      <w:pPr>
        <w:pStyle w:val="ListParagraph"/>
        <w:numPr>
          <w:ilvl w:val="0"/>
          <w:numId w:val="3"/>
        </w:numPr>
        <w:spacing w:after="100" w:line="276"/>
      </w:pPr>
      <w:r>
        <w:rPr>
          <w:rFonts w:ascii="Arial" w:cs="Arial" w:eastAsia="Arial" w:hAnsi="Arial"/>
          <w:sz w:val="22"/>
          <w:szCs w:val="22"/>
        </w:rPr>
        <w:t xml:space="preserve">CISA ICS-CERT Advisories: https://www.cisa.gov/ics — Weekly vulnerability advisories for OT products. Essential reading for OT patch management.</w:t>
      </w:r>
    </w:p>
    <w:p>
      <w:pPr>
        <w:pStyle w:val="ListParagraph"/>
        <w:numPr>
          <w:ilvl w:val="0"/>
          <w:numId w:val="3"/>
        </w:numPr>
        <w:spacing w:after="100" w:line="276"/>
      </w:pPr>
      <w:r>
        <w:rPr>
          <w:rFonts w:ascii="Arial" w:cs="Arial" w:eastAsia="Arial" w:hAnsi="Arial"/>
          <w:sz w:val="22"/>
          <w:szCs w:val="22"/>
        </w:rPr>
        <w:t xml:space="preserve">Dragos Year in Review Reports: https://www.dragos.com/year-in-review/ — Annual analysis of the OT threat landscape with sector-specific findings.</w:t>
      </w:r>
    </w:p>
    <w:p>
      <w:r>
        <w:br w:type="page"/>
      </w:r>
    </w:p>
    <w:p>
      <w:pPr>
        <w:pStyle w:val="Heading1"/>
        <w:spacing w:after="200" w:before="360"/>
      </w:pPr>
      <w:r>
        <w:rPr>
          <w:rFonts w:ascii="Arial" w:cs="Arial" w:eastAsia="Arial" w:hAnsi="Arial"/>
          <w:b/>
          <w:bCs/>
          <w:color w:val="1F3864"/>
          <w:sz w:val="32"/>
          <w:szCs w:val="32"/>
        </w:rPr>
        <w:t xml:space="preserve">Review Questions and Exercises</w:t>
      </w:r>
    </w:p>
    <w:p>
      <w:pPr>
        <w:spacing w:after="160" w:line="276"/>
        <w:jc w:val="both"/>
      </w:pPr>
      <w:r>
        <w:rPr>
          <w:rFonts w:ascii="Arial" w:cs="Arial" w:eastAsia="Arial" w:hAnsi="Arial"/>
          <w:b w:val="false"/>
          <w:bCs w:val="false"/>
          <w:color w:val="000000"/>
          <w:sz w:val="22"/>
          <w:szCs w:val="22"/>
        </w:rPr>
        <w:t xml:space="preserve">The following questions are structured at three cognitive levels: Level 1 (knowledge and comprehension), Level 2 (application and analysis), and Level 3 (synthesis and critical evaluation).</w:t>
      </w:r>
    </w:p>
    <w:p>
      <w:pPr>
        <w:pStyle w:val="Heading2"/>
        <w:spacing w:after="160" w:before="280"/>
      </w:pPr>
      <w:r>
        <w:rPr>
          <w:rFonts w:ascii="Arial" w:cs="Arial" w:eastAsia="Arial" w:hAnsi="Arial"/>
          <w:b/>
          <w:bCs/>
          <w:color w:val="2E75B6"/>
          <w:sz w:val="26"/>
          <w:szCs w:val="26"/>
        </w:rPr>
        <w:t xml:space="preserve">Part A — Knowledge and Comprehension (Level 1)</w:t>
      </w:r>
    </w:p>
    <w:p>
      <w:pPr>
        <w:pStyle w:val="Heading3"/>
        <w:spacing w:after="120" w:before="220"/>
      </w:pPr>
      <w:r>
        <w:rPr>
          <w:rFonts w:ascii="Arial" w:cs="Arial" w:eastAsia="Arial" w:hAnsi="Arial"/>
          <w:b/>
          <w:bCs/>
          <w:color w:val="1F3864"/>
          <w:sz w:val="22"/>
          <w:szCs w:val="22"/>
        </w:rPr>
        <w:t xml:space="preserve">A1.</w:t>
      </w:r>
    </w:p>
    <w:p>
      <w:pPr>
        <w:spacing w:after="160" w:line="276"/>
        <w:jc w:val="both"/>
      </w:pPr>
      <w:r>
        <w:rPr>
          <w:rFonts w:ascii="Arial" w:cs="Arial" w:eastAsia="Arial" w:hAnsi="Arial"/>
          <w:b w:val="false"/>
          <w:bCs w:val="false"/>
          <w:color w:val="000000"/>
          <w:sz w:val="22"/>
          <w:szCs w:val="22"/>
        </w:rPr>
        <w:t xml:space="preserve">Explain the seven Foundational Requirements (FRs) of IEC 62443-3-3 and describe how they relate to the four Security Levels (SL 1–4). For each FR, provide one example of a specific System Requirement (SR) that implements that FR at SL 2, and explain how the SR would be technically implemented in a typical process industry OT environment.</w:t>
      </w:r>
    </w:p>
    <w:p>
      <w:pPr>
        <w:pStyle w:val="Heading3"/>
        <w:spacing w:after="120" w:before="220"/>
      </w:pPr>
      <w:r>
        <w:rPr>
          <w:rFonts w:ascii="Arial" w:cs="Arial" w:eastAsia="Arial" w:hAnsi="Arial"/>
          <w:b/>
          <w:bCs/>
          <w:color w:val="1F3864"/>
          <w:sz w:val="22"/>
          <w:szCs w:val="22"/>
        </w:rPr>
        <w:t xml:space="preserve">A2.</w:t>
      </w:r>
    </w:p>
    <w:p>
      <w:pPr>
        <w:spacing w:after="160" w:line="276"/>
        <w:jc w:val="both"/>
      </w:pPr>
      <w:r>
        <w:rPr>
          <w:rFonts w:ascii="Arial" w:cs="Arial" w:eastAsia="Arial" w:hAnsi="Arial"/>
          <w:b w:val="false"/>
          <w:bCs w:val="false"/>
          <w:color w:val="000000"/>
          <w:sz w:val="22"/>
          <w:szCs w:val="22"/>
        </w:rPr>
        <w:t xml:space="preserve">Describe the five Purdue Model levels (Level 0 through Level 4) and the Industrial DMZ. For each level, identify: (i) the typical OT systems at that level; (ii) the typical SL-T for that level in a major hazard process facility; and (iii) the primary security concern associated with systems at that level. Explain why the Level 3.5 IDMZ, which does not appear in the original Purdue Model, is considered by most OT security practitioners to be the most important single architectural element in OT security.</w:t>
      </w:r>
    </w:p>
    <w:p>
      <w:pPr>
        <w:pStyle w:val="Heading3"/>
        <w:spacing w:after="120" w:before="220"/>
      </w:pPr>
      <w:r>
        <w:rPr>
          <w:rFonts w:ascii="Arial" w:cs="Arial" w:eastAsia="Arial" w:hAnsi="Arial"/>
          <w:b/>
          <w:bCs/>
          <w:color w:val="1F3864"/>
          <w:sz w:val="22"/>
          <w:szCs w:val="22"/>
        </w:rPr>
        <w:t xml:space="preserve">A3.</w:t>
      </w:r>
    </w:p>
    <w:p>
      <w:pPr>
        <w:spacing w:after="160" w:line="276"/>
        <w:jc w:val="both"/>
      </w:pPr>
      <w:r>
        <w:rPr>
          <w:rFonts w:ascii="Arial" w:cs="Arial" w:eastAsia="Arial" w:hAnsi="Arial"/>
          <w:b w:val="false"/>
          <w:bCs w:val="false"/>
          <w:color w:val="000000"/>
          <w:sz w:val="22"/>
          <w:szCs w:val="22"/>
        </w:rPr>
        <w:t xml:space="preserve">Explain the fundamental differences between IT security monitoring and OT security monitoring. Why is passive-only monitoring a requirement for OT-IDS, and what specific capabilities must an OT-IDS provide that a standard enterprise IT IDS does not? Name three commercial OT security monitoring platforms and describe the factors that should determine which platform is selected for a given OT environment.</w:t>
      </w:r>
    </w:p>
    <w:p>
      <w:pPr>
        <w:pStyle w:val="Heading3"/>
        <w:spacing w:after="120" w:before="220"/>
      </w:pPr>
      <w:r>
        <w:rPr>
          <w:rFonts w:ascii="Arial" w:cs="Arial" w:eastAsia="Arial" w:hAnsi="Arial"/>
          <w:b/>
          <w:bCs/>
          <w:color w:val="1F3864"/>
          <w:sz w:val="22"/>
          <w:szCs w:val="22"/>
        </w:rPr>
        <w:t xml:space="preserve">A4.</w:t>
      </w:r>
    </w:p>
    <w:p>
      <w:pPr>
        <w:spacing w:after="160" w:line="276"/>
        <w:jc w:val="both"/>
      </w:pPr>
      <w:r>
        <w:rPr>
          <w:rFonts w:ascii="Arial" w:cs="Arial" w:eastAsia="Arial" w:hAnsi="Arial"/>
          <w:b w:val="false"/>
          <w:bCs w:val="false"/>
          <w:color w:val="000000"/>
          <w:sz w:val="22"/>
          <w:szCs w:val="22"/>
        </w:rPr>
        <w:t xml:space="preserve">Describe the four patch classification categories (Emergency, CRITICAL, HIGH, and Standard) specified in Table 12.6. For each category, explain the criteria that place a patch in that category, the maximum acceptable time-to-patch, and the process requirements. Why is the CVSS score alone an insufficient basis for OT patch prioritisation, and what additional factors must be considered?</w:t>
      </w:r>
    </w:p>
    <w:p>
      <w:pPr>
        <w:pStyle w:val="Heading3"/>
        <w:spacing w:after="120" w:before="220"/>
      </w:pPr>
      <w:r>
        <w:rPr>
          <w:rFonts w:ascii="Arial" w:cs="Arial" w:eastAsia="Arial" w:hAnsi="Arial"/>
          <w:b/>
          <w:bCs/>
          <w:color w:val="1F3864"/>
          <w:sz w:val="22"/>
          <w:szCs w:val="22"/>
        </w:rPr>
        <w:t xml:space="preserve">A5.</w:t>
      </w:r>
    </w:p>
    <w:p>
      <w:pPr>
        <w:spacing w:after="160" w:line="276"/>
        <w:jc w:val="both"/>
      </w:pPr>
      <w:r>
        <w:rPr>
          <w:rFonts w:ascii="Arial" w:cs="Arial" w:eastAsia="Arial" w:hAnsi="Arial"/>
          <w:b w:val="false"/>
          <w:bCs w:val="false"/>
          <w:color w:val="000000"/>
          <w:sz w:val="22"/>
          <w:szCs w:val="22"/>
        </w:rPr>
        <w:t xml:space="preserve">Explain the concept of a unidirectional security gateway (data diode) and describe how it differs from a firewall as a zone boundary control. What specific OT data flows are suited to data diode protection, and what flows cannot be handled by a data diode? Name two commercial data diode products used in industrial OT environments and describe one key feature of each.</w:t>
      </w:r>
    </w:p>
    <w:p>
      <w:pPr>
        <w:pStyle w:val="Heading3"/>
        <w:spacing w:after="120" w:before="220"/>
      </w:pPr>
      <w:r>
        <w:rPr>
          <w:rFonts w:ascii="Arial" w:cs="Arial" w:eastAsia="Arial" w:hAnsi="Arial"/>
          <w:b/>
          <w:bCs/>
          <w:color w:val="1F3864"/>
          <w:sz w:val="22"/>
          <w:szCs w:val="22"/>
        </w:rPr>
        <w:t xml:space="preserve">A6.</w:t>
      </w:r>
    </w:p>
    <w:p>
      <w:pPr>
        <w:spacing w:after="160" w:line="276"/>
        <w:jc w:val="both"/>
      </w:pPr>
      <w:r>
        <w:rPr>
          <w:rFonts w:ascii="Arial" w:cs="Arial" w:eastAsia="Arial" w:hAnsi="Arial"/>
          <w:b w:val="false"/>
          <w:bCs w:val="false"/>
          <w:color w:val="000000"/>
          <w:sz w:val="22"/>
          <w:szCs w:val="22"/>
        </w:rPr>
        <w:t xml:space="preserve">Identify the five OT IAM constraints described in Section 12.4.1 that distinguish OT identity management from enterprise IT identity management. For each constraint, explain: (i) its operational basis — why does this constraint exist in OT environments?; (ii) the security risk it creates if not addressed; and (iii) the recommended approach for managing the constraint without eliminating the legitimate operational requirement it reflects.</w:t>
      </w:r>
    </w:p>
    <w:p>
      <w:pPr>
        <w:pStyle w:val="Heading2"/>
        <w:spacing w:after="160" w:before="280"/>
      </w:pPr>
      <w:r>
        <w:rPr>
          <w:rFonts w:ascii="Arial" w:cs="Arial" w:eastAsia="Arial" w:hAnsi="Arial"/>
          <w:b/>
          <w:bCs/>
          <w:color w:val="2E75B6"/>
          <w:sz w:val="26"/>
          <w:szCs w:val="26"/>
        </w:rPr>
        <w:t xml:space="preserve">Part B — Application and Analysis (Level 2)</w:t>
      </w:r>
    </w:p>
    <w:p>
      <w:pPr>
        <w:pStyle w:val="Heading3"/>
        <w:spacing w:after="120" w:before="220"/>
      </w:pPr>
      <w:r>
        <w:rPr>
          <w:rFonts w:ascii="Arial" w:cs="Arial" w:eastAsia="Arial" w:hAnsi="Arial"/>
          <w:b/>
          <w:bCs/>
          <w:color w:val="1F3864"/>
          <w:sz w:val="22"/>
          <w:szCs w:val="22"/>
        </w:rPr>
        <w:t xml:space="preserve">B1. — Zone and Conduit Design</w:t>
      </w:r>
    </w:p>
    <w:p>
      <w:pPr>
        <w:spacing w:after="160" w:line="276"/>
        <w:jc w:val="both"/>
      </w:pPr>
      <w:r>
        <w:rPr>
          <w:rFonts w:ascii="Arial" w:cs="Arial" w:eastAsia="Arial" w:hAnsi="Arial"/>
          <w:b w:val="false"/>
          <w:bCs w:val="false"/>
          <w:color w:val="000000"/>
          <w:sz w:val="22"/>
          <w:szCs w:val="22"/>
        </w:rPr>
        <w:t xml:space="preserve">A regional water authority operates the following OT systems at its main water treatment plant:</w:t>
      </w:r>
    </w:p>
    <w:p>
      <w:pPr>
        <w:pStyle w:val="ListParagraph"/>
        <w:numPr>
          <w:ilvl w:val="0"/>
          <w:numId w:val="3"/>
        </w:numPr>
        <w:spacing w:after="100" w:line="276"/>
      </w:pPr>
      <w:r>
        <w:rPr>
          <w:rFonts w:ascii="Arial" w:cs="Arial" w:eastAsia="Arial" w:hAnsi="Arial"/>
          <w:sz w:val="22"/>
          <w:szCs w:val="22"/>
        </w:rPr>
        <w:t xml:space="preserve">SCADA server (Windows Server 2019) — supervises all treatment processes</w:t>
      </w:r>
    </w:p>
    <w:p>
      <w:pPr>
        <w:pStyle w:val="ListParagraph"/>
        <w:numPr>
          <w:ilvl w:val="0"/>
          <w:numId w:val="3"/>
        </w:numPr>
        <w:spacing w:after="100" w:line="276"/>
      </w:pPr>
      <w:r>
        <w:rPr>
          <w:rFonts w:ascii="Arial" w:cs="Arial" w:eastAsia="Arial" w:hAnsi="Arial"/>
          <w:sz w:val="22"/>
          <w:szCs w:val="22"/>
        </w:rPr>
        <w:t xml:space="preserve">4 × HMI workstations (Windows 10) in the control room</w:t>
      </w:r>
    </w:p>
    <w:p>
      <w:pPr>
        <w:pStyle w:val="ListParagraph"/>
        <w:numPr>
          <w:ilvl w:val="0"/>
          <w:numId w:val="3"/>
        </w:numPr>
        <w:spacing w:after="100" w:line="276"/>
      </w:pPr>
      <w:r>
        <w:rPr>
          <w:rFonts w:ascii="Arial" w:cs="Arial" w:eastAsia="Arial" w:hAnsi="Arial"/>
          <w:sz w:val="22"/>
          <w:szCs w:val="22"/>
        </w:rPr>
        <w:t xml:space="preserve">Historian server (OSIsoft PI) — collects process data and provides data to the corporate reporting system</w:t>
      </w:r>
    </w:p>
    <w:p>
      <w:pPr>
        <w:pStyle w:val="ListParagraph"/>
        <w:numPr>
          <w:ilvl w:val="0"/>
          <w:numId w:val="3"/>
        </w:numPr>
        <w:spacing w:after="100" w:line="276"/>
      </w:pPr>
      <w:r>
        <w:rPr>
          <w:rFonts w:ascii="Arial" w:cs="Arial" w:eastAsia="Arial" w:hAnsi="Arial"/>
          <w:sz w:val="22"/>
          <w:szCs w:val="22"/>
        </w:rPr>
        <w:t xml:space="preserve">8 × Schneider Electric PLCs controlling treatment chemical dosing</w:t>
      </w:r>
    </w:p>
    <w:p>
      <w:pPr>
        <w:pStyle w:val="ListParagraph"/>
        <w:numPr>
          <w:ilvl w:val="0"/>
          <w:numId w:val="3"/>
        </w:numPr>
        <w:spacing w:after="100" w:line="276"/>
      </w:pPr>
      <w:r>
        <w:rPr>
          <w:rFonts w:ascii="Arial" w:cs="Arial" w:eastAsia="Arial" w:hAnsi="Arial"/>
          <w:sz w:val="22"/>
          <w:szCs w:val="22"/>
        </w:rPr>
        <w:t xml:space="preserve">3 × Allen-Bradley PLCs controlling pumping stations (remote sites, connected via cellular RTU)</w:t>
      </w:r>
    </w:p>
    <w:p>
      <w:pPr>
        <w:pStyle w:val="ListParagraph"/>
        <w:numPr>
          <w:ilvl w:val="0"/>
          <w:numId w:val="3"/>
        </w:numPr>
        <w:spacing w:after="100" w:line="276"/>
      </w:pPr>
      <w:r>
        <w:rPr>
          <w:rFonts w:ascii="Arial" w:cs="Arial" w:eastAsia="Arial" w:hAnsi="Arial"/>
          <w:sz w:val="22"/>
          <w:szCs w:val="22"/>
        </w:rPr>
        <w:t xml:space="preserve">1 × Safety PLC (Pilz PNOZmulti) controlling the high-chlorine emergency shutdown</w:t>
      </w:r>
    </w:p>
    <w:p>
      <w:pPr>
        <w:pStyle w:val="ListParagraph"/>
        <w:numPr>
          <w:ilvl w:val="0"/>
          <w:numId w:val="3"/>
        </w:numPr>
        <w:spacing w:after="100" w:line="276"/>
      </w:pPr>
      <w:r>
        <w:rPr>
          <w:rFonts w:ascii="Arial" w:cs="Arial" w:eastAsia="Arial" w:hAnsi="Arial"/>
          <w:sz w:val="22"/>
          <w:szCs w:val="22"/>
        </w:rPr>
        <w:t xml:space="preserve">1 × Engineering workstation used by the instrument engineer for PLC programming</w:t>
      </w:r>
    </w:p>
    <w:p>
      <w:pPr>
        <w:pStyle w:val="ListParagraph"/>
        <w:numPr>
          <w:ilvl w:val="0"/>
          <w:numId w:val="3"/>
        </w:numPr>
        <w:spacing w:after="100" w:line="276"/>
      </w:pPr>
      <w:r>
        <w:rPr>
          <w:rFonts w:ascii="Arial" w:cs="Arial" w:eastAsia="Arial" w:hAnsi="Arial"/>
          <w:sz w:val="22"/>
          <w:szCs w:val="22"/>
        </w:rPr>
        <w:t xml:space="preserve">Corporate IT LAN — including email, ERP, and the corporate reporting system</w:t>
      </w:r>
    </w:p>
    <w:p>
      <w:pPr>
        <w:spacing w:after="100"/>
      </w:pPr>
      <w:r>
        <w:t xml:space="preserve"/>
      </w:r>
    </w:p>
    <w:p>
      <w:pPr>
        <w:spacing w:after="160" w:line="276"/>
        <w:jc w:val="both"/>
      </w:pPr>
      <w:r>
        <w:rPr>
          <w:rFonts w:ascii="Arial" w:cs="Arial" w:eastAsia="Arial" w:hAnsi="Arial"/>
          <w:b w:val="false"/>
          <w:bCs w:val="false"/>
          <w:color w:val="000000"/>
          <w:sz w:val="22"/>
          <w:szCs w:val="22"/>
        </w:rPr>
        <w:t xml:space="preserve">Design the zone and conduit architecture for this OT environment. Your answer must include:</w:t>
      </w:r>
    </w:p>
    <w:p>
      <w:pPr>
        <w:pStyle w:val="ListParagraph"/>
        <w:numPr>
          <w:ilvl w:val="0"/>
          <w:numId w:val="2"/>
        </w:numPr>
        <w:spacing w:after="100" w:line="276"/>
      </w:pPr>
      <w:r>
        <w:rPr>
          <w:rFonts w:ascii="Arial" w:cs="Arial" w:eastAsia="Arial" w:hAnsi="Arial"/>
          <w:sz w:val="22"/>
          <w:szCs w:val="22"/>
        </w:rPr>
        <w:t xml:space="preserve">Identification and justification of each zone, with its constituent systems and its assigned SL-T.</w:t>
      </w:r>
    </w:p>
    <w:p>
      <w:pPr>
        <w:pStyle w:val="ListParagraph"/>
        <w:numPr>
          <w:ilvl w:val="0"/>
          <w:numId w:val="2"/>
        </w:numPr>
        <w:spacing w:after="100" w:line="276"/>
      </w:pPr>
      <w:r>
        <w:rPr>
          <w:rFonts w:ascii="Arial" w:cs="Arial" w:eastAsia="Arial" w:hAnsi="Arial"/>
          <w:sz w:val="22"/>
          <w:szCs w:val="22"/>
        </w:rPr>
        <w:t xml:space="preserve">Identification and specification of each conduit, with its permitted data flows, directionality, and conduit controls.</w:t>
      </w:r>
    </w:p>
    <w:p>
      <w:pPr>
        <w:pStyle w:val="ListParagraph"/>
        <w:numPr>
          <w:ilvl w:val="0"/>
          <w:numId w:val="2"/>
        </w:numPr>
        <w:spacing w:after="100" w:line="276"/>
      </w:pPr>
      <w:r>
        <w:rPr>
          <w:rFonts w:ascii="Arial" w:cs="Arial" w:eastAsia="Arial" w:hAnsi="Arial"/>
          <w:sz w:val="22"/>
          <w:szCs w:val="22"/>
        </w:rPr>
        <w:t xml:space="preserve">Identification of the highest-risk conduit in the architecture and specification of the controls required to secure it.</w:t>
      </w:r>
    </w:p>
    <w:p>
      <w:pPr>
        <w:pStyle w:val="ListParagraph"/>
        <w:numPr>
          <w:ilvl w:val="0"/>
          <w:numId w:val="2"/>
        </w:numPr>
        <w:spacing w:after="100" w:line="276"/>
      </w:pPr>
      <w:r>
        <w:rPr>
          <w:rFonts w:ascii="Arial" w:cs="Arial" w:eastAsia="Arial" w:hAnsi="Arial"/>
          <w:sz w:val="22"/>
          <w:szCs w:val="22"/>
        </w:rPr>
        <w:t xml:space="preserve">Assessment of whether a data diode is appropriate for any of the conduits, with justification.</w:t>
      </w:r>
    </w:p>
    <w:p>
      <w:pPr>
        <w:pStyle w:val="Heading3"/>
        <w:spacing w:after="120" w:before="220"/>
      </w:pPr>
      <w:r>
        <w:rPr>
          <w:rFonts w:ascii="Arial" w:cs="Arial" w:eastAsia="Arial" w:hAnsi="Arial"/>
          <w:b/>
          <w:bCs/>
          <w:color w:val="1F3864"/>
          <w:sz w:val="22"/>
          <w:szCs w:val="22"/>
        </w:rPr>
        <w:t xml:space="preserve">B2. — Remote Access Security Assessment</w:t>
      </w:r>
    </w:p>
    <w:p>
      <w:pPr>
        <w:spacing w:after="160" w:line="276"/>
        <w:jc w:val="both"/>
      </w:pPr>
      <w:r>
        <w:rPr>
          <w:rFonts w:ascii="Arial" w:cs="Arial" w:eastAsia="Arial" w:hAnsi="Arial"/>
          <w:b w:val="false"/>
          <w:bCs w:val="false"/>
          <w:color w:val="000000"/>
          <w:sz w:val="22"/>
          <w:szCs w:val="22"/>
        </w:rPr>
        <w:t xml:space="preserve">An OT security assessment at a petroleum terminal reveals the following remote access arrangements:</w:t>
      </w:r>
    </w:p>
    <w:p>
      <w:pPr>
        <w:pStyle w:val="ListParagraph"/>
        <w:numPr>
          <w:ilvl w:val="0"/>
          <w:numId w:val="3"/>
        </w:numPr>
        <w:spacing w:after="100" w:line="276"/>
      </w:pPr>
      <w:r>
        <w:rPr>
          <w:rFonts w:ascii="Arial" w:cs="Arial" w:eastAsia="Arial" w:hAnsi="Arial"/>
          <w:sz w:val="22"/>
          <w:szCs w:val="22"/>
        </w:rPr>
        <w:t xml:space="preserve">The primary DCS vendor (Emerson) accesses the DCS engineering environment through a VPN connection using a pre-shared key (PSK). Multiple Emerson technicians share the same VPN credential. The VPN terminates directly in the OT Level 2 network.</w:t>
      </w:r>
    </w:p>
    <w:p>
      <w:pPr>
        <w:pStyle w:val="ListParagraph"/>
        <w:numPr>
          <w:ilvl w:val="0"/>
          <w:numId w:val="3"/>
        </w:numPr>
        <w:spacing w:after="100" w:line="276"/>
      </w:pPr>
      <w:r>
        <w:rPr>
          <w:rFonts w:ascii="Arial" w:cs="Arial" w:eastAsia="Arial" w:hAnsi="Arial"/>
          <w:sz w:val="22"/>
          <w:szCs w:val="22"/>
        </w:rPr>
        <w:t xml:space="preserve">The terminal's own instrument engineers access the SCADA system from home using the corporate IT VPN. The corporate IT VPN uses individual accounts with MFA but terminates in the corporate IT DMZ, from which the SCADA server is accessible via an RDP connection (no additional authentication).</w:t>
      </w:r>
    </w:p>
    <w:p>
      <w:pPr>
        <w:pStyle w:val="ListParagraph"/>
        <w:numPr>
          <w:ilvl w:val="0"/>
          <w:numId w:val="3"/>
        </w:numPr>
        <w:spacing w:after="100" w:line="276"/>
      </w:pPr>
      <w:r>
        <w:rPr>
          <w:rFonts w:ascii="Arial" w:cs="Arial" w:eastAsia="Arial" w:hAnsi="Arial"/>
          <w:sz w:val="22"/>
          <w:szCs w:val="22"/>
        </w:rPr>
        <w:t xml:space="preserve">A cellular modem is connected to one of the tank farm RTUs, installed by the RTU vendor for remote diagnostics. The modem uses a SIM card registered to the vendor and connects to the vendor's network. The terminal's IT/OT team was not aware of this connection.</w:t>
      </w:r>
    </w:p>
    <w:p>
      <w:pPr>
        <w:pStyle w:val="ListParagraph"/>
        <w:numPr>
          <w:ilvl w:val="0"/>
          <w:numId w:val="3"/>
        </w:numPr>
        <w:spacing w:after="100" w:line="276"/>
      </w:pPr>
      <w:r>
        <w:rPr>
          <w:rFonts w:ascii="Arial" w:cs="Arial" w:eastAsia="Arial" w:hAnsi="Arial"/>
          <w:sz w:val="22"/>
          <w:szCs w:val="22"/>
        </w:rPr>
        <w:t xml:space="preserve">The terminal manager has installed TeamViewer on one of the control room workstations for occasional remote monitoring from his home PC.</w:t>
      </w:r>
    </w:p>
    <w:p>
      <w:pPr>
        <w:spacing w:after="100"/>
      </w:pPr>
      <w:r>
        <w:t xml:space="preserve"/>
      </w:r>
    </w:p>
    <w:p>
      <w:pPr>
        <w:spacing w:after="160" w:line="276"/>
        <w:jc w:val="both"/>
      </w:pPr>
      <w:r>
        <w:rPr>
          <w:rFonts w:ascii="Arial" w:cs="Arial" w:eastAsia="Arial" w:hAnsi="Arial"/>
          <w:b w:val="false"/>
          <w:bCs w:val="false"/>
          <w:color w:val="000000"/>
          <w:sz w:val="22"/>
          <w:szCs w:val="22"/>
        </w:rPr>
        <w:t xml:space="preserve">For each remote access arrangement: (i) assess the specific security risk it creates; (ii) classify the risk using the risk matrix from Chapter 6 (justify your classification); and (iii) specify the specific technical remediation required, with a prioritised timeline.</w:t>
      </w:r>
    </w:p>
    <w:p>
      <w:pPr>
        <w:spacing w:after="160" w:line="276"/>
        <w:jc w:val="both"/>
      </w:pPr>
      <w:r>
        <w:rPr>
          <w:rFonts w:ascii="Arial" w:cs="Arial" w:eastAsia="Arial" w:hAnsi="Arial"/>
          <w:b w:val="false"/>
          <w:bCs w:val="false"/>
          <w:color w:val="000000"/>
          <w:sz w:val="22"/>
          <w:szCs w:val="22"/>
        </w:rPr>
        <w:t xml:space="preserve">Then develop a complete OT Remote Access Policy (Tier 2, per Section 11.4.2.4) for the terminal that would prevent each of these arrangements from occurring and provide a framework for all future remote access.</w:t>
      </w:r>
    </w:p>
    <w:p>
      <w:pPr>
        <w:pStyle w:val="Heading3"/>
        <w:spacing w:after="120" w:before="220"/>
      </w:pPr>
      <w:r>
        <w:rPr>
          <w:rFonts w:ascii="Arial" w:cs="Arial" w:eastAsia="Arial" w:hAnsi="Arial"/>
          <w:b/>
          <w:bCs/>
          <w:color w:val="1F3864"/>
          <w:sz w:val="22"/>
          <w:szCs w:val="22"/>
        </w:rPr>
        <w:t xml:space="preserve">B3. — Patch Management Programme Design</w:t>
      </w:r>
    </w:p>
    <w:p>
      <w:pPr>
        <w:spacing w:after="160" w:line="276"/>
        <w:jc w:val="both"/>
      </w:pPr>
      <w:r>
        <w:rPr>
          <w:rFonts w:ascii="Arial" w:cs="Arial" w:eastAsia="Arial" w:hAnsi="Arial"/>
          <w:b w:val="false"/>
          <w:bCs w:val="false"/>
          <w:color w:val="000000"/>
          <w:sz w:val="22"/>
          <w:szCs w:val="22"/>
        </w:rPr>
        <w:t xml:space="preserve">You have been engaged as the OT Security Manager at a major refinery with the following patching situation:</w:t>
      </w:r>
    </w:p>
    <w:p>
      <w:pPr>
        <w:pStyle w:val="ListParagraph"/>
        <w:numPr>
          <w:ilvl w:val="0"/>
          <w:numId w:val="3"/>
        </w:numPr>
        <w:spacing w:after="100" w:line="276"/>
      </w:pPr>
      <w:r>
        <w:rPr>
          <w:rFonts w:ascii="Arial" w:cs="Arial" w:eastAsia="Arial" w:hAnsi="Arial"/>
          <w:sz w:val="22"/>
          <w:szCs w:val="22"/>
        </w:rPr>
        <w:t xml:space="preserve">The DCS (Honeywell Experion R501) has 3 known unpatched vulnerabilities: CVE-2023-XXXX (CVSS 9.1, network attack vector, RCE); CVE-2022-YYYY (CVSS 6.5, local access only, privilege escalation); CVE-2021-ZZZZ (CVSS 4.2, local access, information disclosure).</w:t>
      </w:r>
    </w:p>
    <w:p>
      <w:pPr>
        <w:pStyle w:val="ListParagraph"/>
        <w:numPr>
          <w:ilvl w:val="0"/>
          <w:numId w:val="3"/>
        </w:numPr>
        <w:spacing w:after="100" w:line="276"/>
      </w:pPr>
      <w:r>
        <w:rPr>
          <w:rFonts w:ascii="Arial" w:cs="Arial" w:eastAsia="Arial" w:hAnsi="Arial"/>
          <w:sz w:val="22"/>
          <w:szCs w:val="22"/>
        </w:rPr>
        <w:t xml:space="preserve">Honeywell has released patches for all three CVEs but requires a 4-week lead time for patch testing and approval in the refinery's specific configuration.</w:t>
      </w:r>
    </w:p>
    <w:p>
      <w:pPr>
        <w:pStyle w:val="ListParagraph"/>
        <w:numPr>
          <w:ilvl w:val="0"/>
          <w:numId w:val="3"/>
        </w:numPr>
        <w:spacing w:after="100" w:line="276"/>
      </w:pPr>
      <w:r>
        <w:rPr>
          <w:rFonts w:ascii="Arial" w:cs="Arial" w:eastAsia="Arial" w:hAnsi="Arial"/>
          <w:sz w:val="22"/>
          <w:szCs w:val="22"/>
        </w:rPr>
        <w:t xml:space="preserve">The refinery operates continuous process with one planned maintenance shutdown per year (next shutdown: 6 months).</w:t>
      </w:r>
    </w:p>
    <w:p>
      <w:pPr>
        <w:pStyle w:val="ListParagraph"/>
        <w:numPr>
          <w:ilvl w:val="0"/>
          <w:numId w:val="3"/>
        </w:numPr>
        <w:spacing w:after="100" w:line="276"/>
      </w:pPr>
      <w:r>
        <w:rPr>
          <w:rFonts w:ascii="Arial" w:cs="Arial" w:eastAsia="Arial" w:hAnsi="Arial"/>
          <w:sz w:val="22"/>
          <w:szCs w:val="22"/>
        </w:rPr>
        <w:t xml:space="preserve">The DCS engineering workstation has internet connectivity for Honeywell technical support access.</w:t>
      </w:r>
    </w:p>
    <w:p>
      <w:pPr>
        <w:pStyle w:val="ListParagraph"/>
        <w:numPr>
          <w:ilvl w:val="0"/>
          <w:numId w:val="3"/>
        </w:numPr>
        <w:spacing w:after="100" w:line="276"/>
      </w:pPr>
      <w:r>
        <w:rPr>
          <w:rFonts w:ascii="Arial" w:cs="Arial" w:eastAsia="Arial" w:hAnsi="Arial"/>
          <w:sz w:val="22"/>
          <w:szCs w:val="22"/>
        </w:rPr>
        <w:t xml:space="preserve">The refinery has no OT test environment for DCS patch validation.</w:t>
      </w:r>
    </w:p>
    <w:p>
      <w:pPr>
        <w:spacing w:after="100"/>
      </w:pPr>
      <w:r>
        <w:t xml:space="preserve"/>
      </w:r>
    </w:p>
    <w:p>
      <w:pPr>
        <w:spacing w:after="160" w:line="276"/>
        <w:jc w:val="both"/>
      </w:pPr>
      <w:r>
        <w:rPr>
          <w:rFonts w:ascii="Arial" w:cs="Arial" w:eastAsia="Arial" w:hAnsi="Arial"/>
          <w:b w:val="false"/>
          <w:bCs w:val="false"/>
          <w:color w:val="000000"/>
          <w:sz w:val="22"/>
          <w:szCs w:val="22"/>
        </w:rPr>
        <w:t xml:space="preserve">Develop a complete OT patch management response for this situation, including:</w:t>
      </w:r>
    </w:p>
    <w:p>
      <w:pPr>
        <w:pStyle w:val="ListParagraph"/>
        <w:numPr>
          <w:ilvl w:val="0"/>
          <w:numId w:val="2"/>
        </w:numPr>
        <w:spacing w:after="100" w:line="276"/>
      </w:pPr>
      <w:r>
        <w:rPr>
          <w:rFonts w:ascii="Arial" w:cs="Arial" w:eastAsia="Arial" w:hAnsi="Arial"/>
          <w:sz w:val="22"/>
          <w:szCs w:val="22"/>
        </w:rPr>
        <w:t xml:space="preserve">Patch classification for each CVE with justification.</w:t>
      </w:r>
    </w:p>
    <w:p>
      <w:pPr>
        <w:pStyle w:val="ListParagraph"/>
        <w:numPr>
          <w:ilvl w:val="0"/>
          <w:numId w:val="2"/>
        </w:numPr>
        <w:spacing w:after="100" w:line="276"/>
      </w:pPr>
      <w:r>
        <w:rPr>
          <w:rFonts w:ascii="Arial" w:cs="Arial" w:eastAsia="Arial" w:hAnsi="Arial"/>
          <w:sz w:val="22"/>
          <w:szCs w:val="22"/>
        </w:rPr>
        <w:t xml:space="preserve">Immediate compensating controls for CVE-2023-XXXX (the CRITICAL CVE with RCE potential), to be implemented within 72 hours.</w:t>
      </w:r>
    </w:p>
    <w:p>
      <w:pPr>
        <w:pStyle w:val="ListParagraph"/>
        <w:numPr>
          <w:ilvl w:val="0"/>
          <w:numId w:val="2"/>
        </w:numPr>
        <w:spacing w:after="100" w:line="276"/>
      </w:pPr>
      <w:r>
        <w:rPr>
          <w:rFonts w:ascii="Arial" w:cs="Arial" w:eastAsia="Arial" w:hAnsi="Arial"/>
          <w:sz w:val="22"/>
          <w:szCs w:val="22"/>
        </w:rPr>
        <w:t xml:space="preserve">A patch deployment plan for all three CVEs, addressing the shutdown constraint and the absence of a test environment.</w:t>
      </w:r>
    </w:p>
    <w:p>
      <w:pPr>
        <w:pStyle w:val="ListParagraph"/>
        <w:numPr>
          <w:ilvl w:val="0"/>
          <w:numId w:val="2"/>
        </w:numPr>
        <w:spacing w:after="100" w:line="276"/>
      </w:pPr>
      <w:r>
        <w:rPr>
          <w:rFonts w:ascii="Arial" w:cs="Arial" w:eastAsia="Arial" w:hAnsi="Arial"/>
          <w:sz w:val="22"/>
          <w:szCs w:val="22"/>
        </w:rPr>
        <w:t xml:space="preserve">A business case to management for the establishment of a DCS test environment, including the risk justification, estimated cost, and ALARP analysis.</w:t>
      </w:r>
    </w:p>
    <w:p>
      <w:pPr>
        <w:pStyle w:val="Heading3"/>
        <w:spacing w:after="120" w:before="220"/>
      </w:pPr>
      <w:r>
        <w:rPr>
          <w:rFonts w:ascii="Arial" w:cs="Arial" w:eastAsia="Arial" w:hAnsi="Arial"/>
          <w:b/>
          <w:bCs/>
          <w:color w:val="1F3864"/>
          <w:sz w:val="22"/>
          <w:szCs w:val="22"/>
        </w:rPr>
        <w:t xml:space="preserve">B4. — OT-IDS Deployment Design</w:t>
      </w:r>
    </w:p>
    <w:p>
      <w:pPr>
        <w:spacing w:after="160" w:line="276"/>
        <w:jc w:val="both"/>
      </w:pPr>
      <w:r>
        <w:rPr>
          <w:rFonts w:ascii="Arial" w:cs="Arial" w:eastAsia="Arial" w:hAnsi="Arial"/>
          <w:b w:val="false"/>
          <w:bCs w:val="false"/>
          <w:color w:val="000000"/>
          <w:sz w:val="22"/>
          <w:szCs w:val="22"/>
        </w:rPr>
        <w:t xml:space="preserve">Design the security monitoring architecture for the Sunrise Refinery, using the zone and conduit architecture from Chapter 11 and the SR compliance table from Section 12.9.2. Your design must address:</w:t>
      </w:r>
    </w:p>
    <w:p>
      <w:pPr>
        <w:pStyle w:val="ListParagraph"/>
        <w:numPr>
          <w:ilvl w:val="0"/>
          <w:numId w:val="2"/>
        </w:numPr>
        <w:spacing w:after="100" w:line="276"/>
      </w:pPr>
      <w:r>
        <w:rPr>
          <w:rFonts w:ascii="Arial" w:cs="Arial" w:eastAsia="Arial" w:hAnsi="Arial"/>
          <w:sz w:val="22"/>
          <w:szCs w:val="22"/>
        </w:rPr>
        <w:t xml:space="preserve">Sensor placement: where will OT-IDS sensors be deployed, and what visibility does each sensor provide? What network infrastructure (SPAN ports, network taps) is required?</w:t>
      </w:r>
    </w:p>
    <w:p>
      <w:pPr>
        <w:pStyle w:val="ListParagraph"/>
        <w:numPr>
          <w:ilvl w:val="0"/>
          <w:numId w:val="2"/>
        </w:numPr>
        <w:spacing w:after="100" w:line="276"/>
      </w:pPr>
      <w:r>
        <w:rPr>
          <w:rFonts w:ascii="Arial" w:cs="Arial" w:eastAsia="Arial" w:hAnsi="Arial"/>
          <w:sz w:val="22"/>
          <w:szCs w:val="22"/>
        </w:rPr>
        <w:t xml:space="preserve">Baseline establishment: what is the recommended baseline collection period, and what specific baseline data (assets, communication flows, protocols, process values) should be collected?</w:t>
      </w:r>
    </w:p>
    <w:p>
      <w:pPr>
        <w:pStyle w:val="ListParagraph"/>
        <w:numPr>
          <w:ilvl w:val="0"/>
          <w:numId w:val="2"/>
        </w:numPr>
        <w:spacing w:after="100" w:line="276"/>
      </w:pPr>
      <w:r>
        <w:rPr>
          <w:rFonts w:ascii="Arial" w:cs="Arial" w:eastAsia="Arial" w:hAnsi="Arial"/>
          <w:sz w:val="22"/>
          <w:szCs w:val="22"/>
        </w:rPr>
        <w:t xml:space="preserve">Alert policy specification: specify five specific alert policies appropriate for the Sunrise Refinery's risk profile (based on the risk register findings from the worked example). For each alert policy, define the trigger condition, the severity classification, and the required response action.</w:t>
      </w:r>
    </w:p>
    <w:p>
      <w:pPr>
        <w:pStyle w:val="ListParagraph"/>
        <w:numPr>
          <w:ilvl w:val="0"/>
          <w:numId w:val="2"/>
        </w:numPr>
        <w:spacing w:after="100" w:line="276"/>
      </w:pPr>
      <w:r>
        <w:rPr>
          <w:rFonts w:ascii="Arial" w:cs="Arial" w:eastAsia="Arial" w:hAnsi="Arial"/>
          <w:sz w:val="22"/>
          <w:szCs w:val="22"/>
        </w:rPr>
        <w:t xml:space="preserve">SOC integration: how should OT-IDS alerts be integrated with the existing SOC function? What OT-specific training would SOC analysts require to triage OT alerts effectively?</w:t>
      </w:r>
    </w:p>
    <w:p>
      <w:pPr>
        <w:pStyle w:val="Heading2"/>
        <w:spacing w:after="160" w:before="280"/>
      </w:pPr>
      <w:r>
        <w:rPr>
          <w:rFonts w:ascii="Arial" w:cs="Arial" w:eastAsia="Arial" w:hAnsi="Arial"/>
          <w:b/>
          <w:bCs/>
          <w:color w:val="2E75B6"/>
          <w:sz w:val="26"/>
          <w:szCs w:val="26"/>
        </w:rPr>
        <w:t xml:space="preserve">Part C — Synthesis and Critical Evaluation (Level 3)</w:t>
      </w:r>
    </w:p>
    <w:p>
      <w:pPr>
        <w:pStyle w:val="Heading3"/>
        <w:spacing w:after="120" w:before="220"/>
      </w:pPr>
      <w:r>
        <w:rPr>
          <w:rFonts w:ascii="Arial" w:cs="Arial" w:eastAsia="Arial" w:hAnsi="Arial"/>
          <w:b/>
          <w:bCs/>
          <w:color w:val="1F3864"/>
          <w:sz w:val="22"/>
          <w:szCs w:val="22"/>
        </w:rPr>
        <w:t xml:space="preserve">C1. — Critical Essay: The Limits of Technical Controls in OT Security</w:t>
      </w:r>
    </w:p>
    <w:p>
      <w:pPr>
        <w:spacing w:after="160" w:line="276"/>
        <w:jc w:val="both"/>
      </w:pPr>
      <w:r>
        <w:rPr>
          <w:rFonts w:ascii="Arial" w:cs="Arial" w:eastAsia="Arial" w:hAnsi="Arial"/>
          <w:b w:val="false"/>
          <w:bCs w:val="false"/>
          <w:color w:val="000000"/>
          <w:sz w:val="22"/>
          <w:szCs w:val="22"/>
        </w:rPr>
        <w:t xml:space="preserve">Write a critical essay (minimum 1,400 words) addressing the following proposition:</w:t>
      </w:r>
    </w:p>
    <w:p>
      <w:pPr>
        <w:spacing w:after="160" w:line="276"/>
        <w:jc w:val="both"/>
      </w:pPr>
      <w:r>
        <w:rPr>
          <w:rFonts w:ascii="Arial" w:cs="Arial" w:eastAsia="Arial" w:hAnsi="Arial"/>
          <w:b w:val="false"/>
          <w:bCs w:val="false"/>
          <w:color w:val="000000"/>
          <w:sz w:val="22"/>
          <w:szCs w:val="22"/>
        </w:rPr>
        <w:t xml:space="preserve">'Technical controls are necessary but insufficient for OT security. The history of OT security incidents reveals that the most sophisticated technical controls are regularly defeated not by technically superior attacks but by the predictable failure modes of human organisation: a misconfigured firewall rule that opens a zone boundary; a shared VPN credential that is never rotated; an OT-IDS that generates so many false positives that its alerts are ignored; a patch that is approved and deployed without vendor testing and crashes a critical controller. The real limiting factor in OT security is not the availability of technical controls — there are more than enough available — but the organisational capability to deploy them correctly, maintain them continuously, and respond to them effectively.'</w:t>
      </w:r>
    </w:p>
    <w:p>
      <w:pPr>
        <w:spacing w:after="160" w:line="276"/>
        <w:jc w:val="both"/>
      </w:pPr>
      <w:r>
        <w:rPr>
          <w:rFonts w:ascii="Arial" w:cs="Arial" w:eastAsia="Arial" w:hAnsi="Arial"/>
          <w:b w:val="false"/>
          <w:bCs w:val="false"/>
          <w:color w:val="000000"/>
          <w:sz w:val="22"/>
          <w:szCs w:val="22"/>
        </w:rPr>
        <w:t xml:space="preserve">Your essay should:</w:t>
      </w:r>
    </w:p>
    <w:p>
      <w:pPr>
        <w:pStyle w:val="ListParagraph"/>
        <w:numPr>
          <w:ilvl w:val="0"/>
          <w:numId w:val="3"/>
        </w:numPr>
        <w:spacing w:after="100" w:line="276"/>
      </w:pPr>
      <w:r>
        <w:rPr>
          <w:rFonts w:ascii="Arial" w:cs="Arial" w:eastAsia="Arial" w:hAnsi="Arial"/>
          <w:sz w:val="22"/>
          <w:szCs w:val="22"/>
        </w:rPr>
        <w:t xml:space="preserve">Assess the empirical basis of the proposition. What evidence from documented OT security incidents supports or challenges the claim that organisational failure modes, rather than technical capability gaps, are the primary cause of OT security failures?</w:t>
      </w:r>
    </w:p>
    <w:p>
      <w:pPr>
        <w:pStyle w:val="ListParagraph"/>
        <w:numPr>
          <w:ilvl w:val="0"/>
          <w:numId w:val="3"/>
        </w:numPr>
        <w:spacing w:after="100" w:line="276"/>
      </w:pPr>
      <w:r>
        <w:rPr>
          <w:rFonts w:ascii="Arial" w:cs="Arial" w:eastAsia="Arial" w:hAnsi="Arial"/>
          <w:sz w:val="22"/>
          <w:szCs w:val="22"/>
        </w:rPr>
        <w:t xml:space="preserve">Examine three specific technical control domains from this chapter (network segmentation, IAM, or patch management) where the proposition's failure modes are most clearly observed in practice. For each domain, provide a specific example of how a technically sound control design was rendered ineffective by an organisational or human failure mode.</w:t>
      </w:r>
    </w:p>
    <w:p>
      <w:pPr>
        <w:pStyle w:val="ListParagraph"/>
        <w:numPr>
          <w:ilvl w:val="0"/>
          <w:numId w:val="3"/>
        </w:numPr>
        <w:spacing w:after="100" w:line="276"/>
      </w:pPr>
      <w:r>
        <w:rPr>
          <w:rFonts w:ascii="Arial" w:cs="Arial" w:eastAsia="Arial" w:hAnsi="Arial"/>
          <w:sz w:val="22"/>
          <w:szCs w:val="22"/>
        </w:rPr>
        <w:t xml:space="preserve">Engage with the strongest counterargument: there are genuine technical capability gaps — legacy PLCs that cannot support modern authentication, OT systems that cannot be patched, network architectures that cannot support active monitoring without operational disruption — that no organisational improvement can compensate for. Where is technical constraint the binding constraint, and what does this imply for OT security investment?</w:t>
      </w:r>
    </w:p>
    <w:p>
      <w:pPr>
        <w:pStyle w:val="ListParagraph"/>
        <w:numPr>
          <w:ilvl w:val="0"/>
          <w:numId w:val="3"/>
        </w:numPr>
        <w:spacing w:after="100" w:line="276"/>
      </w:pPr>
      <w:r>
        <w:rPr>
          <w:rFonts w:ascii="Arial" w:cs="Arial" w:eastAsia="Arial" w:hAnsi="Arial"/>
          <w:sz w:val="22"/>
          <w:szCs w:val="22"/>
        </w:rPr>
        <w:t xml:space="preserve">Propose an integrated technical and organisational framework for OT countermeasure implementation that addresses both the technical control requirements of IEC 62443-3-3 and the organisational capability requirements that determine whether those controls are effective. What is the right balance between technical investment and organisational capability development?</w:t>
      </w:r>
    </w:p>
    <w:p>
      <w:pPr>
        <w:pStyle w:val="Heading3"/>
        <w:spacing w:after="120" w:before="220"/>
      </w:pPr>
      <w:r>
        <w:rPr>
          <w:rFonts w:ascii="Arial" w:cs="Arial" w:eastAsia="Arial" w:hAnsi="Arial"/>
          <w:b/>
          <w:bCs/>
          <w:color w:val="1F3864"/>
          <w:sz w:val="22"/>
          <w:szCs w:val="22"/>
        </w:rPr>
        <w:t xml:space="preserve">C2. — Design Exercise: Complete Technical Control Architecture for a New OT Environment</w:t>
      </w:r>
    </w:p>
    <w:p>
      <w:pPr>
        <w:spacing w:after="160" w:line="276"/>
        <w:jc w:val="both"/>
      </w:pPr>
      <w:r>
        <w:rPr>
          <w:rFonts w:ascii="Arial" w:cs="Arial" w:eastAsia="Arial" w:hAnsi="Arial"/>
          <w:b w:val="false"/>
          <w:bCs w:val="false"/>
          <w:color w:val="000000"/>
          <w:sz w:val="22"/>
          <w:szCs w:val="22"/>
        </w:rPr>
        <w:t xml:space="preserve">Pacific Gateway Port is implementing a fully automated terminal (introduced in Chapter 11, Exercise C2). The new OT environment will include:</w:t>
      </w:r>
    </w:p>
    <w:p>
      <w:pPr>
        <w:pStyle w:val="ListParagraph"/>
        <w:numPr>
          <w:ilvl w:val="0"/>
          <w:numId w:val="3"/>
        </w:numPr>
        <w:spacing w:after="100" w:line="276"/>
      </w:pPr>
      <w:r>
        <w:rPr>
          <w:rFonts w:ascii="Arial" w:cs="Arial" w:eastAsia="Arial" w:hAnsi="Arial"/>
          <w:sz w:val="22"/>
          <w:szCs w:val="22"/>
        </w:rPr>
        <w:t xml:space="preserve">Fleet Management Server (FMS) — controls 24 Intelligent Guided Vehicles (IGVs)</w:t>
      </w:r>
    </w:p>
    <w:p>
      <w:pPr>
        <w:pStyle w:val="ListParagraph"/>
        <w:numPr>
          <w:ilvl w:val="0"/>
          <w:numId w:val="3"/>
        </w:numPr>
        <w:spacing w:after="100" w:line="276"/>
      </w:pPr>
      <w:r>
        <w:rPr>
          <w:rFonts w:ascii="Arial" w:cs="Arial" w:eastAsia="Arial" w:hAnsi="Arial"/>
          <w:sz w:val="22"/>
          <w:szCs w:val="22"/>
        </w:rPr>
        <w:t xml:space="preserve">Automated Stacking Crane (ASC) control system — 12 cranes</w:t>
      </w:r>
    </w:p>
    <w:p>
      <w:pPr>
        <w:pStyle w:val="ListParagraph"/>
        <w:numPr>
          <w:ilvl w:val="0"/>
          <w:numId w:val="3"/>
        </w:numPr>
        <w:spacing w:after="100" w:line="276"/>
      </w:pPr>
      <w:r>
        <w:rPr>
          <w:rFonts w:ascii="Arial" w:cs="Arial" w:eastAsia="Arial" w:hAnsi="Arial"/>
          <w:sz w:val="22"/>
          <w:szCs w:val="22"/>
        </w:rPr>
        <w:t xml:space="preserve">Terminal Operating System (TOS) — cloud-based (AWS), integrated with FMS and ASC</w:t>
      </w:r>
    </w:p>
    <w:p>
      <w:pPr>
        <w:pStyle w:val="ListParagraph"/>
        <w:numPr>
          <w:ilvl w:val="0"/>
          <w:numId w:val="3"/>
        </w:numPr>
        <w:spacing w:after="100" w:line="276"/>
      </w:pPr>
      <w:r>
        <w:rPr>
          <w:rFonts w:ascii="Arial" w:cs="Arial" w:eastAsia="Arial" w:hAnsi="Arial"/>
          <w:sz w:val="22"/>
          <w:szCs w:val="22"/>
        </w:rPr>
        <w:t xml:space="preserve">Gate automation system — OCR cameras, barrier control, truck scheduling</w:t>
      </w:r>
    </w:p>
    <w:p>
      <w:pPr>
        <w:pStyle w:val="ListParagraph"/>
        <w:numPr>
          <w:ilvl w:val="0"/>
          <w:numId w:val="3"/>
        </w:numPr>
        <w:spacing w:after="100" w:line="276"/>
      </w:pPr>
      <w:r>
        <w:rPr>
          <w:rFonts w:ascii="Arial" w:cs="Arial" w:eastAsia="Arial" w:hAnsi="Arial"/>
          <w:sz w:val="22"/>
          <w:szCs w:val="22"/>
        </w:rPr>
        <w:t xml:space="preserve">Vessel Planning System (VPS) — integrated with shipping agent systems via EDI</w:t>
      </w:r>
    </w:p>
    <w:p>
      <w:pPr>
        <w:pStyle w:val="ListParagraph"/>
        <w:numPr>
          <w:ilvl w:val="0"/>
          <w:numId w:val="3"/>
        </w:numPr>
        <w:spacing w:after="100" w:line="276"/>
      </w:pPr>
      <w:r>
        <w:rPr>
          <w:rFonts w:ascii="Arial" w:cs="Arial" w:eastAsia="Arial" w:hAnsi="Arial"/>
          <w:sz w:val="22"/>
          <w:szCs w:val="22"/>
        </w:rPr>
        <w:t xml:space="preserve">OT engineer workstations — 4 workstations for FMS/ASC programming and maintenance</w:t>
      </w:r>
    </w:p>
    <w:p>
      <w:pPr>
        <w:pStyle w:val="ListParagraph"/>
        <w:numPr>
          <w:ilvl w:val="0"/>
          <w:numId w:val="3"/>
        </w:numPr>
        <w:spacing w:after="100" w:line="276"/>
      </w:pPr>
      <w:r>
        <w:rPr>
          <w:rFonts w:ascii="Arial" w:cs="Arial" w:eastAsia="Arial" w:hAnsi="Arial"/>
          <w:sz w:val="22"/>
          <w:szCs w:val="22"/>
        </w:rPr>
        <w:t xml:space="preserve">Corporate IT LAN — ERP, email, finance</w:t>
      </w:r>
    </w:p>
    <w:p>
      <w:pPr>
        <w:spacing w:after="100"/>
      </w:pPr>
      <w:r>
        <w:t xml:space="preserve"/>
      </w:r>
    </w:p>
    <w:p>
      <w:pPr>
        <w:spacing w:after="160" w:line="276"/>
        <w:jc w:val="both"/>
      </w:pPr>
      <w:r>
        <w:rPr>
          <w:rFonts w:ascii="Arial" w:cs="Arial" w:eastAsia="Arial" w:hAnsi="Arial"/>
          <w:b w:val="false"/>
          <w:bCs w:val="false"/>
          <w:color w:val="000000"/>
          <w:sz w:val="22"/>
          <w:szCs w:val="22"/>
        </w:rPr>
        <w:t xml:space="preserve">Design the complete technical control architecture for this OT environment. Your answer must include:</w:t>
      </w:r>
    </w:p>
    <w:p>
      <w:pPr>
        <w:pStyle w:val="ListParagraph"/>
        <w:numPr>
          <w:ilvl w:val="0"/>
          <w:numId w:val="2"/>
        </w:numPr>
        <w:spacing w:after="100" w:line="276"/>
      </w:pPr>
      <w:r>
        <w:rPr>
          <w:rFonts w:ascii="Arial" w:cs="Arial" w:eastAsia="Arial" w:hAnsi="Arial"/>
          <w:sz w:val="22"/>
          <w:szCs w:val="22"/>
        </w:rPr>
        <w:t xml:space="preserve">Zone and conduit architecture: identify all zones, assign SL-T to each zone with justification, and specify all conduits with their controls. Address the specific challenge of the cloud-based TOS — how does this affect zone and conduit design?</w:t>
      </w:r>
    </w:p>
    <w:p>
      <w:pPr>
        <w:pStyle w:val="ListParagraph"/>
        <w:numPr>
          <w:ilvl w:val="0"/>
          <w:numId w:val="2"/>
        </w:numPr>
        <w:spacing w:after="100" w:line="276"/>
      </w:pPr>
      <w:r>
        <w:rPr>
          <w:rFonts w:ascii="Arial" w:cs="Arial" w:eastAsia="Arial" w:hAnsi="Arial"/>
          <w:sz w:val="22"/>
          <w:szCs w:val="22"/>
        </w:rPr>
        <w:t xml:space="preserve">IAM architecture: specify the complete identity architecture for the terminal OT environment, addressing all user types (operators, engineers, vendors, cloud service provider) and all system layers (FMS, ASC, engineering workstations, cloud TOS).</w:t>
      </w:r>
    </w:p>
    <w:p>
      <w:pPr>
        <w:pStyle w:val="ListParagraph"/>
        <w:numPr>
          <w:ilvl w:val="0"/>
          <w:numId w:val="2"/>
        </w:numPr>
        <w:spacing w:after="100" w:line="276"/>
      </w:pPr>
      <w:r>
        <w:rPr>
          <w:rFonts w:ascii="Arial" w:cs="Arial" w:eastAsia="Arial" w:hAnsi="Arial"/>
          <w:sz w:val="22"/>
          <w:szCs w:val="22"/>
        </w:rPr>
        <w:t xml:space="preserve">Security monitoring architecture: specify the OT-IDS deployment for the terminal, addressing the specific characteristics of automated terminal operations (highly deterministic traffic, limited human operator interaction, cloud integration).</w:t>
      </w:r>
    </w:p>
    <w:p>
      <w:pPr>
        <w:pStyle w:val="ListParagraph"/>
        <w:numPr>
          <w:ilvl w:val="0"/>
          <w:numId w:val="2"/>
        </w:numPr>
        <w:spacing w:after="100" w:line="276"/>
      </w:pPr>
      <w:r>
        <w:rPr>
          <w:rFonts w:ascii="Arial" w:cs="Arial" w:eastAsia="Arial" w:hAnsi="Arial"/>
          <w:sz w:val="22"/>
          <w:szCs w:val="22"/>
        </w:rPr>
        <w:t xml:space="preserve">Remote access security: design the remote access architecture for the terminal, addressing vendor access to FMS and ASC systems, cloud TOS administration, and OT engineer remote access.</w:t>
      </w:r>
    </w:p>
    <w:p>
      <w:pPr>
        <w:pStyle w:val="ListParagraph"/>
        <w:numPr>
          <w:ilvl w:val="0"/>
          <w:numId w:val="2"/>
        </w:numPr>
        <w:spacing w:after="100" w:line="276"/>
      </w:pPr>
      <w:r>
        <w:rPr>
          <w:rFonts w:ascii="Arial" w:cs="Arial" w:eastAsia="Arial" w:hAnsi="Arial"/>
          <w:sz w:val="22"/>
          <w:szCs w:val="22"/>
        </w:rPr>
        <w:t xml:space="preserve">IEC 62443-3-3 SR compliance plan: identify the top 10 SRs most relevant to the terminal's risk profile and specify the technical controls that will be implemented to meet each SR, with a timeline for implementation.</w:t>
      </w:r>
    </w:p>
    <w:p>
      <w:pPr>
        <w:pStyle w:val="Heading3"/>
        <w:spacing w:after="120" w:before="220"/>
      </w:pPr>
      <w:r>
        <w:rPr>
          <w:rFonts w:ascii="Arial" w:cs="Arial" w:eastAsia="Arial" w:hAnsi="Arial"/>
          <w:b/>
          <w:bCs/>
          <w:color w:val="1F3864"/>
          <w:sz w:val="22"/>
          <w:szCs w:val="22"/>
        </w:rPr>
        <w:t xml:space="preserve">C3. — Case Study Analysis: Colonial Pipeline and the Lessons for OT Technical Controls</w:t>
      </w:r>
    </w:p>
    <w:p>
      <w:pPr>
        <w:spacing w:after="160" w:line="276"/>
        <w:jc w:val="both"/>
      </w:pPr>
      <w:r>
        <w:rPr>
          <w:rFonts w:ascii="Arial" w:cs="Arial" w:eastAsia="Arial" w:hAnsi="Arial"/>
          <w:b w:val="false"/>
          <w:bCs w:val="false"/>
          <w:color w:val="000000"/>
          <w:sz w:val="22"/>
          <w:szCs w:val="22"/>
        </w:rPr>
        <w:t xml:space="preserve">The Colonial Pipeline ransomware attack of May 2021 — which shut down the largest US refined petroleum products pipeline for six days, causing fuel shortages across the US East Coast and costing the company approximately $4.4 million in ransom plus substantial remediation costs — is the most consequential OT-related cyber incident in the Western hemisphere to date.</w:t>
      </w:r>
    </w:p>
    <w:p>
      <w:pPr>
        <w:spacing w:after="160" w:line="276"/>
        <w:jc w:val="both"/>
      </w:pPr>
      <w:r>
        <w:rPr>
          <w:rFonts w:ascii="Arial" w:cs="Arial" w:eastAsia="Arial" w:hAnsi="Arial"/>
          <w:b w:val="false"/>
          <w:bCs w:val="false"/>
          <w:color w:val="000000"/>
          <w:sz w:val="22"/>
          <w:szCs w:val="22"/>
        </w:rPr>
        <w:t xml:space="preserve">Based on the publicly available post-incident analysis (CISA AA21-131A; Congressional testimony; Mandiant incident report; media reporting), analyse the Colonial Pipeline incident through the technical control framework of this chapter:</w:t>
      </w:r>
    </w:p>
    <w:p>
      <w:pPr>
        <w:pStyle w:val="ListParagraph"/>
        <w:numPr>
          <w:ilvl w:val="0"/>
          <w:numId w:val="2"/>
        </w:numPr>
        <w:spacing w:after="100" w:line="276"/>
      </w:pPr>
      <w:r>
        <w:rPr>
          <w:rFonts w:ascii="Arial" w:cs="Arial" w:eastAsia="Arial" w:hAnsi="Arial"/>
          <w:sz w:val="22"/>
          <w:szCs w:val="22"/>
        </w:rPr>
        <w:t xml:space="preserve">Initial access vector analysis: The attacker gained initial access through a compromised VPN account that did not have MFA enabled. Explain, with specific reference to the remote access architecture requirements of Section 12.7, how a compliant OT remote access architecture would have prevented or significantly complicated the initial access. What specific technical controls were absent, and what SRs do those controls address?</w:t>
      </w:r>
    </w:p>
    <w:p>
      <w:pPr>
        <w:pStyle w:val="ListParagraph"/>
        <w:numPr>
          <w:ilvl w:val="0"/>
          <w:numId w:val="2"/>
        </w:numPr>
        <w:spacing w:after="100" w:line="276"/>
      </w:pPr>
      <w:r>
        <w:rPr>
          <w:rFonts w:ascii="Arial" w:cs="Arial" w:eastAsia="Arial" w:hAnsi="Arial"/>
          <w:sz w:val="22"/>
          <w:szCs w:val="22"/>
        </w:rPr>
        <w:t xml:space="preserve">Lateral movement analysis: The attacker moved from the IT network toward OT systems. What network segmentation controls (Section 12.3) would have prevented lateral movement from a compromised IT system to OT systems? Assess whether the absence of an IDMZ, zone-and-conduit architecture, or specific firewall controls is evidenced by the public reporting.</w:t>
      </w:r>
    </w:p>
    <w:p>
      <w:pPr>
        <w:pStyle w:val="ListParagraph"/>
        <w:numPr>
          <w:ilvl w:val="0"/>
          <w:numId w:val="2"/>
        </w:numPr>
        <w:spacing w:after="100" w:line="276"/>
      </w:pPr>
      <w:r>
        <w:rPr>
          <w:rFonts w:ascii="Arial" w:cs="Arial" w:eastAsia="Arial" w:hAnsi="Arial"/>
          <w:sz w:val="22"/>
          <w:szCs w:val="22"/>
        </w:rPr>
        <w:t xml:space="preserve">Detection and response analysis: Colonial Pipeline shut down the pipeline as a precautionary measure when the ransomware was detected in the IT environment — not because OT systems were directly compromised. What security monitoring controls (Section 12.5) would have provided earlier detection of the attack and what OT-specific indicators of compromise would those controls have detected?</w:t>
      </w:r>
    </w:p>
    <w:p>
      <w:pPr>
        <w:pStyle w:val="ListParagraph"/>
        <w:numPr>
          <w:ilvl w:val="0"/>
          <w:numId w:val="2"/>
        </w:numPr>
        <w:spacing w:after="100" w:line="276"/>
      </w:pPr>
      <w:r>
        <w:rPr>
          <w:rFonts w:ascii="Arial" w:cs="Arial" w:eastAsia="Arial" w:hAnsi="Arial"/>
          <w:sz w:val="22"/>
          <w:szCs w:val="22"/>
        </w:rPr>
        <w:t xml:space="preserve">Recovery analysis: The six-day shutdown period reflects the time required to verify OT system integrity before resuming pipeline operations. What OT backup and recovery controls (SR 7.3) and what OT integrity verification procedures would have reduced the recovery time?</w:t>
      </w:r>
    </w:p>
    <w:p>
      <w:pPr>
        <w:pStyle w:val="ListParagraph"/>
        <w:numPr>
          <w:ilvl w:val="0"/>
          <w:numId w:val="2"/>
        </w:numPr>
        <w:spacing w:after="100" w:line="276"/>
      </w:pPr>
      <w:r>
        <w:rPr>
          <w:rFonts w:ascii="Arial" w:cs="Arial" w:eastAsia="Arial" w:hAnsi="Arial"/>
          <w:sz w:val="22"/>
          <w:szCs w:val="22"/>
        </w:rPr>
        <w:t xml:space="preserve">Lessons synthesis: Identify the three most important technical control improvements that, had they been in place before May 2021, would most likely have prevented or significantly mitigated the Colonial Pipeline incident. For each improvement, specify the technical control, the SR it addresses, and the estimated implementation cost for a pipeline operator of Colonial's scale.</w:t>
      </w:r>
    </w:p>
    <w:p>
      <w:r>
        <w:br w:type="page"/>
      </w:r>
    </w:p>
    <w:p>
      <w:pPr>
        <w:pStyle w:val="Heading1"/>
        <w:spacing w:after="200" w:before="360"/>
      </w:pPr>
      <w:r>
        <w:rPr>
          <w:rFonts w:ascii="Arial" w:cs="Arial" w:eastAsia="Arial" w:hAnsi="Arial"/>
          <w:b/>
          <w:bCs/>
          <w:color w:val="1F3864"/>
          <w:sz w:val="32"/>
          <w:szCs w:val="32"/>
        </w:rPr>
        <w:t xml:space="preserve">Glossary of Key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Term</w:t>
            </w:r>
          </w:p>
        </w:tc>
        <w:tc>
          <w:tcPr>
            <w:tcW w:type="dxa" w:w="7160"/>
            <w:gridSpan w:val="1"/>
            <w:tcBorders>
              <w:top w:val="single" w:color="2E75B6" w:sz="1"/>
              <w:left w:val="single" w:color="2E75B6" w:sz="1"/>
              <w:bottom w:val="single" w:color="2E75B6" w:sz="1"/>
              <w:right w:val="single" w:color="2E75B6"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Definition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Application Whitelisting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 security control that permits only explicitly approved software to execute on a system, preventing the execution of unauthorised or malicious code. Implemented in OT environments using tools such as Carbon Black or McAfee Application Control, configured to allow only the specific software versions required for OT operations.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Conduit</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In IEC 62443-3-2 terminology, a logical or physical channel through which communication between zones is permitted, subject to specified security controls. Every conduit must be explicitly authorised; the default posture is that inter-zone communication is prohibited. Conduits are implemented through firewalls, data diodes, unidirectional gateways, or other boundary control mechanisms.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Data Diode (Unidirectional Security Gateway)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 hardware security device that enforces one-way data flow at the physical layer. Unlike software-controlled firewalls, data diodes enforce unidirectionality through hardware design — making it physically impossible to transmit data in the reverse direction. Used to protect OT data flows where the operational requirement is genuinely unidirectional, such as historian data replication from OT to IT.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Defence in Depth</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 security architecture principle in which multiple independent security controls are layered so that the failure of any single control does not result in a complete security failure. In OT network architecture, defence in depth is implemented by requiring an attacker to bypass multiple successive zone boundaries to reach critical assets — no single zone boundary is the sole protection for any critical system.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Foundational Requirement (FR)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One of the seven top-level security requirement categories defined by IEC 62443-3-3: Identification and Authentication Control (FR 1), Use Control (FR 2), System Integrity (FR 3), Data Confidentiality (FR 4), Restricted Data Flow (FR 5), Timely Response to Events (FR 6), and Resource Availability (FR 7). Each FR is decomposed into specific System Requirements (SRs) that define implementation requirements at each Security Level.</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Industrial DMZ (IDMZ)</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 purpose-built security zone that sits between the OT network and the corporate IT network, mediating all IT/OT data exchange without permitting a direct network connection between the IT and OT environments. Contains data replication services, file transfer services, jump servers, and patch staging infrastructure. The most important single architectural element in OT network security.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ICS-CERT Advisory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 vulnerability notification published by the US Cybersecurity and Infrastructure Security Agency (CISA) regarding security vulnerabilities in industrial control system products. ICS-CERT advisories are the primary source of OT vulnerability intelligence and must be reviewed weekly as a minimum by OT security programmes.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OT-IDS (OT Intrusion Detection System)</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 passive security monitoring system designed specifically for OT environments. Deploys through network SPAN ports or taps (not active scanning); decodes industrial protocols (Modbus, DNP3, EtherNet/IP, Profinet); establishes a baseline of normal OT network behaviour; and alerts on deviations from that baseline. Leading platforms include Dragos Platform, Claroty Continuous Threat Detection, and Nozomi Networks Guardian.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Privileged Access Management (PAM)</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 security solution that manages, monitors, and controls privileged access to OT systems. Provides session brokering (all privileged sessions pass through the PAM platform), session recording (full video and protocol capture of privileged sessions), scope enforcement (users can only connect to specifically authorised systems), and time-limited sessions. Addresses IEC 62443-3-3 SR 1.3 (Account Management) and SR 2.8 (Auditable Events).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Purdue Enterprise Reference Architecture (PERA)</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 hierarchical reference architecture for industrial automation systems, developed by Theodore Williams at Purdue University in the 1990s and adopted by ISA-95. Organises OT systems into five levels (Level 0: Physical Process through Level 4: Business Planning). Provides a useful conceptual framework but must be extended and adapted for the zone-and-conduit approach of IEC 62443-3-2.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Security Level (SL)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One of four levels (SL 1–4) defined by IEC 62443 that specify the rigour with which Foundational Requirements must be implemented. SL 1: protection against casual or unintentional violation; SL 2: protection against intentional violation using simple means; SL 3: protection against sophisticated attack using moderate resources; SL 4: protection against attack with sophisticated means and substantial resources. Security Levels are zone-specific — different zones in the same facility may have different SL-Ts.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sz w:val="18"/>
                <w:szCs w:val="18"/>
              </w:rPr>
              <w:t xml:space="preserve">System Requirement (SR)</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A specific technical requirement defined by IEC 62443-3-3 that implements a Foundational Requirement (FR) at one or more Security Levels. SRs provide the detailed technical specification that practitioners use to design and evaluate OT security controls. For example, SR 1.1 (Human User Identification and Authentication) implements FR 1 (Identification and Authentication Control) at SL 1 and above.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sz w:val="18"/>
                <w:szCs w:val="18"/>
              </w:rPr>
              <w:t xml:space="preserve">Zone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sz w:val="18"/>
                <w:szCs w:val="18"/>
              </w:rPr>
              <w:t xml:space="preserve">In IEC 62443-3-2 terminology, a group of assets that share common security requirements and a common security level target. Zones are defined by security requirements — not by physical location or functional level. Zone boundaries are enforced through conduit controls (firewalls, data diodes, unidirectional gateways). Every asset within the CSMS scope must be assigned to a zone.</w:t>
            </w:r>
          </w:p>
        </w:tc>
      </w:tr>
    </w:tbl>
    <w:p>
      <w:pPr>
        <w:spacing w:after="400"/>
      </w:pPr>
      <w:r>
        <w:t xml:space="preserve"/>
      </w:r>
    </w:p>
    <w:p>
      <w:pPr>
        <w:spacing w:after="200" w:before="200"/>
        <w:jc w:val="center"/>
      </w:pPr>
      <w:r>
        <w:rPr>
          <w:rFonts w:ascii="Arial" w:cs="Arial" w:eastAsia="Arial" w:hAnsi="Arial"/>
          <w:color w:val="2E75B6"/>
          <w:sz w:val="18"/>
          <w:szCs w:val="18"/>
        </w:rPr>
        <w:t xml:space="preserve">─────────────────────────────────────────────────────────────────────────────────</w:t>
      </w:r>
    </w:p>
    <w:p>
      <w:pPr>
        <w:spacing w:after="120"/>
        <w:jc w:val="center"/>
      </w:pPr>
      <w:r>
        <w:rPr>
          <w:rFonts w:ascii="Arial" w:cs="Arial" w:eastAsia="Arial" w:hAnsi="Arial"/>
          <w:b/>
          <w:bCs/>
          <w:i/>
          <w:iCs/>
          <w:color w:val="1F3864"/>
          <w:sz w:val="24"/>
          <w:szCs w:val="24"/>
        </w:rPr>
        <w:t xml:space="preserve">End of Chapter 12</w:t>
      </w:r>
    </w:p>
    <w:p>
      <w:pPr>
        <w:spacing w:after="80"/>
        <w:jc w:val="center"/>
      </w:pPr>
      <w:r>
        <w:rPr>
          <w:rFonts w:ascii="Arial" w:cs="Arial" w:eastAsia="Arial" w:hAnsi="Arial"/>
          <w:i/>
          <w:iCs/>
          <w:color w:val="2E75B6"/>
          <w:sz w:val="20"/>
          <w:szCs w:val="20"/>
        </w:rPr>
        <w:t xml:space="preserve">Proceed to Chapter 13: Operational Security Processes</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tabs>
        <w:tab w:val="right" w:pos="9360"/>
      </w:tabs>
      <w:spacing w:before="120"/>
    </w:pPr>
    <w:r>
      <w:rPr>
        <w:rFonts w:ascii="Arial" w:cs="Arial" w:eastAsia="Arial" w:hAnsi="Arial"/>
        <w:color w:val="2E75B6"/>
        <w:sz w:val="18"/>
        <w:szCs w:val="18"/>
      </w:rPr>
      <w:t xml:space="preserve">PART III: CSMS Implementation and Monitoring</w:t>
    </w:r>
    <w:r>
      <w:rPr>
        <w:sz w:val="18"/>
        <w:szCs w:val="18"/>
      </w:rPr>
      <w:t xml:space="preserve">	</w:t>
    </w:r>
    <w:r>
      <w:rPr>
        <w:rFonts w:ascii="Arial" w:cs="Arial" w:eastAsia="Arial" w:hAnsi="Arial"/>
        <w:color w:val="2E75B6"/>
        <w:sz w:val="18"/>
        <w:szCs w:val="18"/>
      </w:rPr>
      <w:t xml:space="preserve">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360"/>
      </w:tabs>
      <w:spacing w:after="120"/>
    </w:pPr>
    <w:r>
      <w:rPr>
        <w:rFonts w:ascii="Arial" w:cs="Arial" w:eastAsia="Arial" w:hAnsi="Arial"/>
        <w:i/>
        <w:iCs/>
        <w:color w:val="2E75B6"/>
        <w:sz w:val="18"/>
        <w:szCs w:val="18"/>
      </w:rPr>
      <w:t xml:space="preserve">Chapter 12: Countermeasure Implementation — Technical Controls for OT</w:t>
    </w:r>
    <w:r>
      <w:rPr>
        <w:rFonts w:ascii="Arial" w:cs="Arial" w:eastAsia="Arial" w:hAnsi="Arial"/>
        <w:sz w:val="18"/>
        <w:szCs w:val="18"/>
      </w:rPr>
      <w:t xml:space="preserve">	</w:t>
    </w:r>
    <w:r>
      <w:rPr>
        <w:rFonts w:ascii="Arial" w:cs="Arial" w:eastAsia="Arial" w:hAnsi="Arial"/>
        <w:i/>
        <w:iCs/>
        <w:color w:val="2E75B6"/>
        <w:sz w:val="18"/>
        <w:szCs w:val="18"/>
      </w:rPr>
      <w:t xml:space="preserve">Risk Analysis and Assessment — Third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120" w:before="220"/>
      <w:outlineLvl w:val="2"/>
    </w:pPr>
    <w:rPr>
      <w:rFonts w:ascii="Arial" w:cs="Arial" w:eastAsia="Arial" w:hAnsi="Arial"/>
      <w:b/>
      <w:bCs/>
      <w:color w:val="1F3864"/>
      <w:sz w:val="22"/>
      <w:szCs w:val="22"/>
    </w:rPr>
  </w:style>
  <w:style w:type="paragraph" w:styleId="Heading4">
    <w:name w:val="Heading 4"/>
    <w:basedOn w:val="Normal"/>
    <w:next w:val="Normal"/>
    <w:qFormat/>
    <w:pPr>
      <w:spacing w:after="100" w:before="180"/>
      <w:outlineLvl w:val="3"/>
    </w:pPr>
    <w:rPr>
      <w:rFonts w:ascii="Arial" w:cs="Arial" w:eastAsia="Arial" w:hAnsi="Arial"/>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2026-05-14T00:39:07.157Z</dcterms:created>
  <dcterms:modified xsi:type="dcterms:W3CDTF">2026-05-14T00:39:07.175Z</dcterms:modified>
</cp:coreProperties>
</file>

<file path=docProps/custom.xml><?xml version="1.0" encoding="utf-8"?>
<Properties xmlns="http://schemas.openxmlformats.org/officeDocument/2006/custom-properties" xmlns:vt="http://schemas.openxmlformats.org/officeDocument/2006/docPropsVTypes"/>
</file>