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6F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CLASSIFICATION: RESTRICTED  |  IEC 62443-2-1:2010 CSMS DOCUMENT  |  IACS USE ONLY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A2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/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4A261"/>
                <w:sz w:val="17"/>
                <w:szCs w:val="17"/>
              </w:rPr>
              <w:t xml:space="preserve">IEC 62443-2-1:2010  ·  §4.3.2.3.2 / §4.3.2.3.3 SHALL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38"/>
                <w:szCs w:val="38"/>
              </w:rPr>
              <w:t xml:space="preserve">Security Organisation and Responsibilities</w:t>
            </w:r>
          </w:p>
          <w:p>
            <w:pPr>
              <w:spacing w:after="8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7"/>
                <w:szCs w:val="17"/>
              </w:rPr>
              <w:t xml:space="preserve">CSMS Document Reference: CSMS-POA-003  ·  Stage 3 — Policy, Organisation &amp; Awareness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560"/>
        <w:gridCol w:w="1200"/>
        <w:gridCol w:w="1200"/>
        <w:gridCol w:w="1560"/>
        <w:gridCol w:w="2040"/>
        <w:gridCol w:w="1800"/>
      </w:tblGrid>
      <w:tr>
        <w:tc>
          <w:tcPr>
            <w:tcW w:type="dxa" w:w="1560"/>
            <w:tcBorders>
              <w:top w:val="single" w:color="0D1B2A" w:sz="2"/>
              <w:left w:val="single" w:color="0D1B2A" w:sz="2"/>
              <w:bottom w:val="single" w:color="0D1B2A" w:sz="2"/>
              <w:right w:val="single" w:color="0D1B2A" w:sz="2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Doc Ref</w:t>
            </w:r>
          </w:p>
        </w:tc>
        <w:tc>
          <w:tcPr>
            <w:tcW w:type="dxa" w:w="1200"/>
            <w:tcBorders>
              <w:top w:val="single" w:color="0D1B2A" w:sz="2"/>
              <w:left w:val="single" w:color="0D1B2A" w:sz="2"/>
              <w:bottom w:val="single" w:color="0D1B2A" w:sz="2"/>
              <w:right w:val="single" w:color="0D1B2A" w:sz="2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1200"/>
            <w:tcBorders>
              <w:top w:val="single" w:color="0D1B2A" w:sz="2"/>
              <w:left w:val="single" w:color="0D1B2A" w:sz="2"/>
              <w:bottom w:val="single" w:color="0D1B2A" w:sz="2"/>
              <w:right w:val="single" w:color="0D1B2A" w:sz="2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1560"/>
            <w:tcBorders>
              <w:top w:val="single" w:color="0D1B2A" w:sz="2"/>
              <w:left w:val="single" w:color="0D1B2A" w:sz="2"/>
              <w:bottom w:val="single" w:color="0D1B2A" w:sz="2"/>
              <w:right w:val="single" w:color="0D1B2A" w:sz="2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Issue Date</w:t>
            </w:r>
          </w:p>
        </w:tc>
        <w:tc>
          <w:tcPr>
            <w:tcW w:type="dxa" w:w="2040"/>
            <w:tcBorders>
              <w:top w:val="single" w:color="0D1B2A" w:sz="2"/>
              <w:left w:val="single" w:color="0D1B2A" w:sz="2"/>
              <w:bottom w:val="single" w:color="0D1B2A" w:sz="2"/>
              <w:right w:val="single" w:color="0D1B2A" w:sz="2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Document Owner</w:t>
            </w:r>
          </w:p>
        </w:tc>
        <w:tc>
          <w:tcPr>
            <w:tcW w:type="dxa" w:w="1800"/>
            <w:tcBorders>
              <w:top w:val="single" w:color="0D1B2A" w:sz="2"/>
              <w:left w:val="single" w:color="0D1B2A" w:sz="2"/>
              <w:bottom w:val="single" w:color="0D1B2A" w:sz="2"/>
              <w:right w:val="single" w:color="0D1B2A" w:sz="2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Approved By</w:t>
            </w:r>
          </w:p>
        </w:tc>
      </w:tr>
      <w:tr>
        <w:tc>
          <w:tcPr>
            <w:tcW w:type="dxa" w:w="15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19"/>
                <w:szCs w:val="19"/>
              </w:rPr>
              <w:t xml:space="preserve">CSMS-POA-003</w:t>
            </w:r>
          </w:p>
        </w:tc>
        <w:tc>
          <w:tcPr>
            <w:tcW w:type="dxa" w:w="12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19"/>
                <w:szCs w:val="19"/>
              </w:rPr>
              <w:t xml:space="preserve">1.0</w:t>
            </w:r>
          </w:p>
        </w:tc>
        <w:tc>
          <w:tcPr>
            <w:tcW w:type="dxa" w:w="1200"/>
            <w:tcBorders>
              <w:top w:val="single" w:color="F4A261" w:sz="4"/>
              <w:left w:val="single" w:color="F4A261" w:sz="4"/>
              <w:bottom w:val="single" w:color="F4A261" w:sz="4"/>
              <w:right w:val="single" w:color="F4A261" w:sz="4"/>
            </w:tcBorders>
            <w:shd w:fill="FEF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4A261"/>
                <w:sz w:val="19"/>
                <w:szCs w:val="19"/>
              </w:rPr>
              <w:t xml:space="preserve">DRAFT</w:t>
            </w:r>
          </w:p>
        </w:tc>
        <w:tc>
          <w:tcPr>
            <w:tcW w:type="dxa" w:w="15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[DD-MMM-YYYY]</w:t>
            </w:r>
          </w:p>
        </w:tc>
        <w:tc>
          <w:tcPr>
            <w:tcW w:type="dxa" w:w="204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[Name / Role Title]</w:t>
            </w:r>
          </w:p>
        </w:tc>
        <w:tc>
          <w:tcPr>
            <w:tcW w:type="dxa" w:w="18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[Name / Role Title]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0"/>
          <w:szCs w:val="20"/>
        </w:rPr>
        <w:t xml:space="preserve"/>
      </w:r>
    </w:p>
    <w:p>
      <w:pPr>
        <w:pBdr>
          <w:bottom w:val="single" w:color="F4A261" w:sz="4" w:space="2"/>
        </w:pBdr>
        <w:spacing w:after="1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0"/>
          <w:szCs w:val="20"/>
        </w:rPr>
        <w:t xml:space="preserve"/>
      </w:r>
    </w:p>
    <w:p>
      <w:pPr>
        <w:pBdr>
          <w:bottom w:val="single" w:color="F4A261" w:sz="6" w:space="4"/>
        </w:pBdr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F4A261"/>
          <w:sz w:val="26"/>
          <w:szCs w:val="26"/>
        </w:rPr>
        <w:t xml:space="preserve">1. Purpose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0"/>
          <w:szCs w:val="20"/>
        </w:rPr>
        <w:t xml:space="preserve">This document defines the cross-functional security governance structure for the CSMS programme in accordance with IEC 62443-2-1:2010 §4.3.2.3.2 (SHALL — establish a cross-functional security stakeholder network) and §4.3.2.3.3 (SHALL — define all organisational responsibilities for cyber security). It identifies who is responsible for what, the reporting lines, and the decision-making authority within the CSMS.</w:t>
      </w:r>
    </w:p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A2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/>
            </w:r>
          </w:p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4A261"/>
                <w:sz w:val="19"/>
                <w:szCs w:val="19"/>
              </w:rPr>
              <w:t xml:space="preserve">OT Security Governance Reality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9"/>
                <w:szCs w:val="19"/>
              </w:rPr>
              <w:t xml:space="preserve">In most OT environments, cyber security responsibility sits across multiple functions: OT engineering owns the systems, IT owns the networks, HSE owns the safety case, and operations owns the production priority. A CSMS without clearly defined responsibilities across all these functions will fail when a real incident occurs. Define it before you need it.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0"/>
          <w:szCs w:val="20"/>
        </w:rPr>
        <w:t xml:space="preserve"/>
      </w:r>
    </w:p>
    <w:p>
      <w:pPr>
        <w:pBdr>
          <w:bottom w:val="single" w:color="F4A261" w:sz="6" w:space="4"/>
        </w:pBdr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F4A261"/>
          <w:sz w:val="26"/>
          <w:szCs w:val="26"/>
        </w:rPr>
        <w:t xml:space="preserve">2. Governance Structure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9"/>
                <w:szCs w:val="19"/>
              </w:rPr>
              <w:t xml:space="preserve">Organisation / Site</w:t>
            </w:r>
          </w:p>
        </w:tc>
        <w:tc>
          <w:tcPr>
            <w:tcW w:type="dxa" w:w="65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[Name]</w:t>
            </w:r>
          </w:p>
        </w:tc>
      </w:tr>
      <w:tr>
        <w:tc>
          <w:tcPr>
            <w:tcW w:type="dxa" w:w="28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9"/>
                <w:szCs w:val="19"/>
              </w:rPr>
              <w:t xml:space="preserve">CSMS Programme Sponsor</w:t>
            </w:r>
          </w:p>
        </w:tc>
        <w:tc>
          <w:tcPr>
            <w:tcW w:type="dxa" w:w="65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[Name, Title — executive accountability]</w:t>
            </w:r>
          </w:p>
        </w:tc>
      </w:tr>
      <w:tr>
        <w:tc>
          <w:tcPr>
            <w:tcW w:type="dxa" w:w="28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9"/>
                <w:szCs w:val="19"/>
              </w:rPr>
              <w:t xml:space="preserve">CSMS Programme Manager</w:t>
            </w:r>
          </w:p>
        </w:tc>
        <w:tc>
          <w:tcPr>
            <w:tcW w:type="dxa" w:w="65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[Name, Title — operational delivery]</w:t>
            </w:r>
          </w:p>
        </w:tc>
      </w:tr>
      <w:tr>
        <w:tc>
          <w:tcPr>
            <w:tcW w:type="dxa" w:w="28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9"/>
                <w:szCs w:val="19"/>
              </w:rPr>
              <w:t xml:space="preserve">OT Security Lead</w:t>
            </w:r>
          </w:p>
        </w:tc>
        <w:tc>
          <w:tcPr>
            <w:tcW w:type="dxa" w:w="65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[Name, Title — technical IACS security authority]</w:t>
            </w:r>
          </w:p>
        </w:tc>
      </w:tr>
      <w:tr>
        <w:tc>
          <w:tcPr>
            <w:tcW w:type="dxa" w:w="28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9"/>
                <w:szCs w:val="19"/>
              </w:rPr>
              <w:t xml:space="preserve">IT Security Lead</w:t>
            </w:r>
          </w:p>
        </w:tc>
        <w:tc>
          <w:tcPr>
            <w:tcW w:type="dxa" w:w="65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[Name, Title — corporate IT security]</w:t>
            </w:r>
          </w:p>
        </w:tc>
      </w:tr>
      <w:tr>
        <w:tc>
          <w:tcPr>
            <w:tcW w:type="dxa" w:w="28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9"/>
                <w:szCs w:val="19"/>
              </w:rPr>
              <w:t xml:space="preserve">HSE Representative</w:t>
            </w:r>
          </w:p>
        </w:tc>
        <w:tc>
          <w:tcPr>
            <w:tcW w:type="dxa" w:w="65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[Name, Title — safety case and HSE integration]</w:t>
            </w:r>
          </w:p>
        </w:tc>
      </w:tr>
      <w:tr>
        <w:tc>
          <w:tcPr>
            <w:tcW w:type="dxa" w:w="28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9"/>
                <w:szCs w:val="19"/>
              </w:rPr>
              <w:t xml:space="preserve">Operations Representative</w:t>
            </w:r>
          </w:p>
        </w:tc>
        <w:tc>
          <w:tcPr>
            <w:tcW w:type="dxa" w:w="65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[Name, Title — production and control room liaison]</w:t>
            </w:r>
          </w:p>
        </w:tc>
      </w:tr>
      <w:tr>
        <w:tc>
          <w:tcPr>
            <w:tcW w:type="dxa" w:w="28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9"/>
                <w:szCs w:val="19"/>
              </w:rPr>
              <w:t xml:space="preserve">Maintenance Engineering</w:t>
            </w:r>
          </w:p>
        </w:tc>
        <w:tc>
          <w:tcPr>
            <w:tcW w:type="dxa" w:w="65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[Name, Title — asset management and change management]</w:t>
            </w:r>
          </w:p>
        </w:tc>
      </w:tr>
      <w:tr>
        <w:tc>
          <w:tcPr>
            <w:tcW w:type="dxa" w:w="28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9"/>
                <w:szCs w:val="19"/>
              </w:rPr>
              <w:t xml:space="preserve">Legal / Compliance</w:t>
            </w:r>
          </w:p>
        </w:tc>
        <w:tc>
          <w:tcPr>
            <w:tcW w:type="dxa" w:w="65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[Name, Title — regulatory and contractual obligations]</w:t>
            </w:r>
          </w:p>
        </w:tc>
      </w:tr>
      <w:tr>
        <w:tc>
          <w:tcPr>
            <w:tcW w:type="dxa" w:w="28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9"/>
                <w:szCs w:val="19"/>
              </w:rPr>
              <w:t xml:space="preserve">CSMS Steering Committee Chair</w:t>
            </w:r>
          </w:p>
        </w:tc>
        <w:tc>
          <w:tcPr>
            <w:tcW w:type="dxa" w:w="65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[Name, Title — if different from Sponsor]</w:t>
            </w:r>
          </w:p>
        </w:tc>
      </w:tr>
      <w:tr>
        <w:tc>
          <w:tcPr>
            <w:tcW w:type="dxa" w:w="28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9"/>
                <w:szCs w:val="19"/>
              </w:rPr>
              <w:t xml:space="preserve">Document Owner</w:t>
            </w:r>
          </w:p>
        </w:tc>
        <w:tc>
          <w:tcPr>
            <w:tcW w:type="dxa" w:w="65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[Name, Title — responsible for keeping this document current]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0"/>
          <w:szCs w:val="20"/>
        </w:rPr>
        <w:t xml:space="preserve"/>
      </w:r>
    </w:p>
    <w:p>
      <w:pPr>
        <w:pBdr>
          <w:bottom w:val="single" w:color="F4A261" w:sz="6" w:space="4"/>
        </w:pBdr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F4A261"/>
          <w:sz w:val="26"/>
          <w:szCs w:val="26"/>
        </w:rPr>
        <w:t xml:space="preserve">3. Roles and Responsibilities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0"/>
          <w:szCs w:val="20"/>
        </w:rPr>
        <w:t xml:space="preserve">Complete the responsibilities matrix for each role. Where a responsibility is shared, identify the primary owner (P) and the supporting role (S). All roles in Section 2 must appear here.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i w:val="false"/>
          <w:iCs w:val="false"/>
          <w:color w:val="F4A261"/>
          <w:sz w:val="22"/>
          <w:szCs w:val="22"/>
        </w:rPr>
        <w:t xml:space="preserve">3.1 CSMS Programme Sponsor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560"/>
        <w:gridCol w:w="1200"/>
        <w:gridCol w:w="1200"/>
        <w:gridCol w:w="1400"/>
      </w:tblGrid>
      <w:tr>
        <w:tc>
          <w:tcPr>
            <w:tcW w:type="dxa" w:w="5560"/>
            <w:tcBorders>
              <w:top w:val="single" w:color="F4A261" w:sz="2"/>
              <w:left w:val="single" w:color="F4A261" w:sz="2"/>
              <w:bottom w:val="single" w:color="F4A261" w:sz="2"/>
              <w:right w:val="single" w:color="F4A261" w:sz="2"/>
            </w:tcBorders>
            <w:shd w:fill="F4A2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Responsibility</w:t>
            </w:r>
          </w:p>
        </w:tc>
        <w:tc>
          <w:tcPr>
            <w:tcW w:type="dxa" w:w="1200"/>
            <w:tcBorders>
              <w:top w:val="single" w:color="F4A261" w:sz="2"/>
              <w:left w:val="single" w:color="F4A261" w:sz="2"/>
              <w:bottom w:val="single" w:color="F4A261" w:sz="2"/>
              <w:right w:val="single" w:color="F4A261" w:sz="2"/>
            </w:tcBorders>
            <w:shd w:fill="F4A2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Owner (P/S)</w:t>
            </w:r>
          </w:p>
        </w:tc>
        <w:tc>
          <w:tcPr>
            <w:tcW w:type="dxa" w:w="1200"/>
            <w:tcBorders>
              <w:top w:val="single" w:color="F4A261" w:sz="2"/>
              <w:left w:val="single" w:color="F4A261" w:sz="2"/>
              <w:bottom w:val="single" w:color="F4A261" w:sz="2"/>
              <w:right w:val="single" w:color="F4A261" w:sz="2"/>
            </w:tcBorders>
            <w:shd w:fill="F4A2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Frequency</w:t>
            </w:r>
          </w:p>
        </w:tc>
        <w:tc>
          <w:tcPr>
            <w:tcW w:type="dxa" w:w="1400"/>
            <w:tcBorders>
              <w:top w:val="single" w:color="F4A261" w:sz="2"/>
              <w:left w:val="single" w:color="F4A261" w:sz="2"/>
              <w:bottom w:val="single" w:color="F4A261" w:sz="2"/>
              <w:right w:val="single" w:color="F4A261" w:sz="2"/>
            </w:tcBorders>
            <w:shd w:fill="F4A2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Evidence</w:t>
            </w:r>
          </w:p>
        </w:tc>
      </w:tr>
      <w:tr>
        <w:tc>
          <w:tcPr>
            <w:tcW w:type="dxa" w:w="55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19"/>
                <w:szCs w:val="19"/>
              </w:rPr>
              <w:t xml:space="preserve">Provide executive endorsement for CSMS policies (§4.3.2.6.8 SHALL)</w:t>
            </w:r>
          </w:p>
        </w:tc>
        <w:tc>
          <w:tcPr>
            <w:tcW w:type="dxa" w:w="12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[P / S]</w:t>
            </w:r>
          </w:p>
        </w:tc>
        <w:tc>
          <w:tcPr>
            <w:tcW w:type="dxa" w:w="12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[Event-driven / Quarterly / Annual]</w:t>
            </w:r>
          </w:p>
        </w:tc>
        <w:tc>
          <w:tcPr>
            <w:tcW w:type="dxa" w:w="14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[Signature / Minutes / Report sign-off]</w:t>
            </w:r>
          </w:p>
        </w:tc>
      </w:tr>
      <w:tr>
        <w:tc>
          <w:tcPr>
            <w:tcW w:type="dxa" w:w="55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19"/>
                <w:szCs w:val="19"/>
              </w:rPr>
              <w:t xml:space="preserve">Allocate budget and resources to the CSMS programme</w:t>
            </w:r>
          </w:p>
        </w:tc>
        <w:tc>
          <w:tcPr>
            <w:tcW w:type="dxa" w:w="12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[P / S]</w:t>
            </w:r>
          </w:p>
        </w:tc>
        <w:tc>
          <w:tcPr>
            <w:tcW w:type="dxa" w:w="12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[Event-driven / Quarterly / Annual]</w:t>
            </w:r>
          </w:p>
        </w:tc>
        <w:tc>
          <w:tcPr>
            <w:tcW w:type="dxa" w:w="14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[Signature / Minutes / Report sign-off]</w:t>
            </w:r>
          </w:p>
        </w:tc>
      </w:tr>
      <w:tr>
        <w:tc>
          <w:tcPr>
            <w:tcW w:type="dxa" w:w="55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19"/>
                <w:szCs w:val="19"/>
              </w:rPr>
              <w:t xml:space="preserve">Receive and act on CSMS performance reports (KPIs and audit results)</w:t>
            </w:r>
          </w:p>
        </w:tc>
        <w:tc>
          <w:tcPr>
            <w:tcW w:type="dxa" w:w="12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[P / S]</w:t>
            </w:r>
          </w:p>
        </w:tc>
        <w:tc>
          <w:tcPr>
            <w:tcW w:type="dxa" w:w="12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[Event-driven / Quarterly / Annual]</w:t>
            </w:r>
          </w:p>
        </w:tc>
        <w:tc>
          <w:tcPr>
            <w:tcW w:type="dxa" w:w="14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[Signature / Minutes / Report sign-off]</w:t>
            </w:r>
          </w:p>
        </w:tc>
      </w:tr>
      <w:tr>
        <w:tc>
          <w:tcPr>
            <w:tcW w:type="dxa" w:w="55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19"/>
                <w:szCs w:val="19"/>
              </w:rPr>
              <w:t xml:space="preserve">Chair or delegate chairing of the CSMS Steering Committee</w:t>
            </w:r>
          </w:p>
        </w:tc>
        <w:tc>
          <w:tcPr>
            <w:tcW w:type="dxa" w:w="12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[P / S]</w:t>
            </w:r>
          </w:p>
        </w:tc>
        <w:tc>
          <w:tcPr>
            <w:tcW w:type="dxa" w:w="12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[Event-driven / Quarterly / Annual]</w:t>
            </w:r>
          </w:p>
        </w:tc>
        <w:tc>
          <w:tcPr>
            <w:tcW w:type="dxa" w:w="14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[Signature / Minutes / Report sign-off]</w:t>
            </w:r>
          </w:p>
        </w:tc>
      </w:tr>
      <w:tr>
        <w:tc>
          <w:tcPr>
            <w:tcW w:type="dxa" w:w="55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19"/>
                <w:szCs w:val="19"/>
              </w:rPr>
              <w:t xml:space="preserve">Approve CSMS scope changes (§4.3.2.2)</w:t>
            </w:r>
          </w:p>
        </w:tc>
        <w:tc>
          <w:tcPr>
            <w:tcW w:type="dxa" w:w="12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[P / S]</w:t>
            </w:r>
          </w:p>
        </w:tc>
        <w:tc>
          <w:tcPr>
            <w:tcW w:type="dxa" w:w="12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[Event-driven / Quarterly / Annual]</w:t>
            </w:r>
          </w:p>
        </w:tc>
        <w:tc>
          <w:tcPr>
            <w:tcW w:type="dxa" w:w="14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[Signature / Minutes / Report sign-off]</w:t>
            </w:r>
          </w:p>
        </w:tc>
      </w:tr>
      <w:tr>
        <w:tc>
          <w:tcPr>
            <w:tcW w:type="dxa" w:w="55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19"/>
                <w:szCs w:val="19"/>
              </w:rPr>
              <w:t xml:space="preserve">Make formal risk acceptance decisions for CRITICAL risks (CSMS-RA-008)</w:t>
            </w:r>
          </w:p>
        </w:tc>
        <w:tc>
          <w:tcPr>
            <w:tcW w:type="dxa" w:w="12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[P / S]</w:t>
            </w:r>
          </w:p>
        </w:tc>
        <w:tc>
          <w:tcPr>
            <w:tcW w:type="dxa" w:w="12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[Event-driven / Quarterly / Annual]</w:t>
            </w:r>
          </w:p>
        </w:tc>
        <w:tc>
          <w:tcPr>
            <w:tcW w:type="dxa" w:w="14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[Signature / Minutes / Report sign-off]</w:t>
            </w:r>
          </w:p>
        </w:tc>
      </w:tr>
      <w:tr>
        <w:tc>
          <w:tcPr>
            <w:tcW w:type="dxa" w:w="55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19"/>
                <w:szCs w:val="19"/>
              </w:rPr>
              <w:t xml:space="preserve">Represent CSMS programme to regulatory bodies if required</w:t>
            </w:r>
          </w:p>
        </w:tc>
        <w:tc>
          <w:tcPr>
            <w:tcW w:type="dxa" w:w="12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[P / S]</w:t>
            </w:r>
          </w:p>
        </w:tc>
        <w:tc>
          <w:tcPr>
            <w:tcW w:type="dxa" w:w="12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[Event-driven / Quarterly / Annual]</w:t>
            </w:r>
          </w:p>
        </w:tc>
        <w:tc>
          <w:tcPr>
            <w:tcW w:type="dxa" w:w="14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[Signature / Minutes / Report sign-off]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i w:val="false"/>
          <w:iCs w:val="false"/>
          <w:color w:val="F4A261"/>
          <w:sz w:val="22"/>
          <w:szCs w:val="22"/>
        </w:rPr>
        <w:t xml:space="preserve">3.2 CSMS Programme Manager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560"/>
        <w:gridCol w:w="1200"/>
        <w:gridCol w:w="1200"/>
        <w:gridCol w:w="1400"/>
      </w:tblGrid>
      <w:tr>
        <w:tc>
          <w:tcPr>
            <w:tcW w:type="dxa" w:w="5560"/>
            <w:tcBorders>
              <w:top w:val="single" w:color="0D1B2A" w:sz="2"/>
              <w:left w:val="single" w:color="0D1B2A" w:sz="2"/>
              <w:bottom w:val="single" w:color="0D1B2A" w:sz="2"/>
              <w:right w:val="single" w:color="0D1B2A" w:sz="2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Responsibility</w:t>
            </w:r>
          </w:p>
        </w:tc>
        <w:tc>
          <w:tcPr>
            <w:tcW w:type="dxa" w:w="1200"/>
            <w:tcBorders>
              <w:top w:val="single" w:color="0D1B2A" w:sz="2"/>
              <w:left w:val="single" w:color="0D1B2A" w:sz="2"/>
              <w:bottom w:val="single" w:color="0D1B2A" w:sz="2"/>
              <w:right w:val="single" w:color="0D1B2A" w:sz="2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Owner (P/S)</w:t>
            </w:r>
          </w:p>
        </w:tc>
        <w:tc>
          <w:tcPr>
            <w:tcW w:type="dxa" w:w="1200"/>
            <w:tcBorders>
              <w:top w:val="single" w:color="0D1B2A" w:sz="2"/>
              <w:left w:val="single" w:color="0D1B2A" w:sz="2"/>
              <w:bottom w:val="single" w:color="0D1B2A" w:sz="2"/>
              <w:right w:val="single" w:color="0D1B2A" w:sz="2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Frequency</w:t>
            </w:r>
          </w:p>
        </w:tc>
        <w:tc>
          <w:tcPr>
            <w:tcW w:type="dxa" w:w="1400"/>
            <w:tcBorders>
              <w:top w:val="single" w:color="0D1B2A" w:sz="2"/>
              <w:left w:val="single" w:color="0D1B2A" w:sz="2"/>
              <w:bottom w:val="single" w:color="0D1B2A" w:sz="2"/>
              <w:right w:val="single" w:color="0D1B2A" w:sz="2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Evidence</w:t>
            </w:r>
          </w:p>
        </w:tc>
      </w:tr>
      <w:tr>
        <w:tc>
          <w:tcPr>
            <w:tcW w:type="dxa" w:w="55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19"/>
                <w:szCs w:val="19"/>
              </w:rPr>
              <w:t xml:space="preserve">Own and maintain all CSMS documents (version control, distribution)</w:t>
            </w:r>
          </w:p>
        </w:tc>
        <w:tc>
          <w:tcPr>
            <w:tcW w:type="dxa" w:w="12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[P / S]</w:t>
            </w:r>
          </w:p>
        </w:tc>
        <w:tc>
          <w:tcPr>
            <w:tcW w:type="dxa" w:w="12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[Event-driven / Quarterly / Annual]</w:t>
            </w:r>
          </w:p>
        </w:tc>
        <w:tc>
          <w:tcPr>
            <w:tcW w:type="dxa" w:w="14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[Document / Report / Log reference]</w:t>
            </w:r>
          </w:p>
        </w:tc>
      </w:tr>
      <w:tr>
        <w:tc>
          <w:tcPr>
            <w:tcW w:type="dxa" w:w="55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19"/>
                <w:szCs w:val="19"/>
              </w:rPr>
              <w:t xml:space="preserve">Coordinate and deliver the risk assessment programme</w:t>
            </w:r>
          </w:p>
        </w:tc>
        <w:tc>
          <w:tcPr>
            <w:tcW w:type="dxa" w:w="12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[P / S]</w:t>
            </w:r>
          </w:p>
        </w:tc>
        <w:tc>
          <w:tcPr>
            <w:tcW w:type="dxa" w:w="12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[Event-driven / Quarterly / Annual]</w:t>
            </w:r>
          </w:p>
        </w:tc>
        <w:tc>
          <w:tcPr>
            <w:tcW w:type="dxa" w:w="14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[Document / Report / Log reference]</w:t>
            </w:r>
          </w:p>
        </w:tc>
      </w:tr>
      <w:tr>
        <w:tc>
          <w:tcPr>
            <w:tcW w:type="dxa" w:w="55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19"/>
                <w:szCs w:val="19"/>
              </w:rPr>
              <w:t xml:space="preserve">Manage the CSMS training programme (CSMS-POA-007)</w:t>
            </w:r>
          </w:p>
        </w:tc>
        <w:tc>
          <w:tcPr>
            <w:tcW w:type="dxa" w:w="12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[P / S]</w:t>
            </w:r>
          </w:p>
        </w:tc>
        <w:tc>
          <w:tcPr>
            <w:tcW w:type="dxa" w:w="12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[Event-driven / Quarterly / Annual]</w:t>
            </w:r>
          </w:p>
        </w:tc>
        <w:tc>
          <w:tcPr>
            <w:tcW w:type="dxa" w:w="14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[Document / Report / Log reference]</w:t>
            </w:r>
          </w:p>
        </w:tc>
      </w:tr>
      <w:tr>
        <w:tc>
          <w:tcPr>
            <w:tcW w:type="dxa" w:w="55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19"/>
                <w:szCs w:val="19"/>
              </w:rPr>
              <w:t xml:space="preserve">Coordinate the CSMS Steering Committee meetings</w:t>
            </w:r>
          </w:p>
        </w:tc>
        <w:tc>
          <w:tcPr>
            <w:tcW w:type="dxa" w:w="12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[P / S]</w:t>
            </w:r>
          </w:p>
        </w:tc>
        <w:tc>
          <w:tcPr>
            <w:tcW w:type="dxa" w:w="12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[Event-driven / Quarterly / Annual]</w:t>
            </w:r>
          </w:p>
        </w:tc>
        <w:tc>
          <w:tcPr>
            <w:tcW w:type="dxa" w:w="14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[Document / Report / Log reference]</w:t>
            </w:r>
          </w:p>
        </w:tc>
      </w:tr>
      <w:tr>
        <w:tc>
          <w:tcPr>
            <w:tcW w:type="dxa" w:w="55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19"/>
                <w:szCs w:val="19"/>
              </w:rPr>
              <w:t xml:space="preserve">Own the risk register (CSMS-RA-008) and ensure currency</w:t>
            </w:r>
          </w:p>
        </w:tc>
        <w:tc>
          <w:tcPr>
            <w:tcW w:type="dxa" w:w="12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[P / S]</w:t>
            </w:r>
          </w:p>
        </w:tc>
        <w:tc>
          <w:tcPr>
            <w:tcW w:type="dxa" w:w="12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[Event-driven / Quarterly / Annual]</w:t>
            </w:r>
          </w:p>
        </w:tc>
        <w:tc>
          <w:tcPr>
            <w:tcW w:type="dxa" w:w="14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[Document / Report / Log reference]</w:t>
            </w:r>
          </w:p>
        </w:tc>
      </w:tr>
      <w:tr>
        <w:tc>
          <w:tcPr>
            <w:tcW w:type="dxa" w:w="55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19"/>
                <w:szCs w:val="19"/>
              </w:rPr>
              <w:t xml:space="preserve">Report CSMS KPIs to Sponsor quarterly</w:t>
            </w:r>
          </w:p>
        </w:tc>
        <w:tc>
          <w:tcPr>
            <w:tcW w:type="dxa" w:w="12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[P / S]</w:t>
            </w:r>
          </w:p>
        </w:tc>
        <w:tc>
          <w:tcPr>
            <w:tcW w:type="dxa" w:w="12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[Event-driven / Quarterly / Annual]</w:t>
            </w:r>
          </w:p>
        </w:tc>
        <w:tc>
          <w:tcPr>
            <w:tcW w:type="dxa" w:w="14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[Document / Report / Log reference]</w:t>
            </w:r>
          </w:p>
        </w:tc>
      </w:tr>
      <w:tr>
        <w:tc>
          <w:tcPr>
            <w:tcW w:type="dxa" w:w="55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19"/>
                <w:szCs w:val="19"/>
              </w:rPr>
              <w:t xml:space="preserve">Initiate and coordinate reassessment triggers (CSMS-RA-009)</w:t>
            </w:r>
          </w:p>
        </w:tc>
        <w:tc>
          <w:tcPr>
            <w:tcW w:type="dxa" w:w="12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[P / S]</w:t>
            </w:r>
          </w:p>
        </w:tc>
        <w:tc>
          <w:tcPr>
            <w:tcW w:type="dxa" w:w="12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[Event-driven / Quarterly / Annual]</w:t>
            </w:r>
          </w:p>
        </w:tc>
        <w:tc>
          <w:tcPr>
            <w:tcW w:type="dxa" w:w="14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[Document / Report / Log reference]</w:t>
            </w:r>
          </w:p>
        </w:tc>
      </w:tr>
      <w:tr>
        <w:tc>
          <w:tcPr>
            <w:tcW w:type="dxa" w:w="55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19"/>
                <w:szCs w:val="19"/>
              </w:rPr>
              <w:t xml:space="preserve">Manage the CSMS audit programme (Stage 5)</w:t>
            </w:r>
          </w:p>
        </w:tc>
        <w:tc>
          <w:tcPr>
            <w:tcW w:type="dxa" w:w="12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[P / S]</w:t>
            </w:r>
          </w:p>
        </w:tc>
        <w:tc>
          <w:tcPr>
            <w:tcW w:type="dxa" w:w="12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[Event-driven / Quarterly / Annual]</w:t>
            </w:r>
          </w:p>
        </w:tc>
        <w:tc>
          <w:tcPr>
            <w:tcW w:type="dxa" w:w="14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[Document / Report / Log reference]</w:t>
            </w:r>
          </w:p>
        </w:tc>
      </w:tr>
      <w:tr>
        <w:tc>
          <w:tcPr>
            <w:tcW w:type="dxa" w:w="55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19"/>
                <w:szCs w:val="19"/>
              </w:rPr>
              <w:t xml:space="preserve">Ensure CSMS policies are reviewed annually</w:t>
            </w:r>
          </w:p>
        </w:tc>
        <w:tc>
          <w:tcPr>
            <w:tcW w:type="dxa" w:w="12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[P / S]</w:t>
            </w:r>
          </w:p>
        </w:tc>
        <w:tc>
          <w:tcPr>
            <w:tcW w:type="dxa" w:w="12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[Event-driven / Quarterly / Annual]</w:t>
            </w:r>
          </w:p>
        </w:tc>
        <w:tc>
          <w:tcPr>
            <w:tcW w:type="dxa" w:w="14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[Document / Report / Log reference]</w:t>
            </w:r>
          </w:p>
        </w:tc>
      </w:tr>
      <w:tr>
        <w:tc>
          <w:tcPr>
            <w:tcW w:type="dxa" w:w="55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19"/>
                <w:szCs w:val="19"/>
              </w:rPr>
              <w:t xml:space="preserve">Coordinate incident response execution (CSMS-IM-016 to 018)</w:t>
            </w:r>
          </w:p>
        </w:tc>
        <w:tc>
          <w:tcPr>
            <w:tcW w:type="dxa" w:w="12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[P / S]</w:t>
            </w:r>
          </w:p>
        </w:tc>
        <w:tc>
          <w:tcPr>
            <w:tcW w:type="dxa" w:w="12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[Event-driven / Quarterly / Annual]</w:t>
            </w:r>
          </w:p>
        </w:tc>
        <w:tc>
          <w:tcPr>
            <w:tcW w:type="dxa" w:w="14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[Document / Report / Log reference]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i w:val="false"/>
          <w:iCs w:val="false"/>
          <w:color w:val="F4A261"/>
          <w:sz w:val="22"/>
          <w:szCs w:val="22"/>
        </w:rPr>
        <w:t xml:space="preserve">3.3 OT Security Lead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560"/>
        <w:gridCol w:w="1200"/>
        <w:gridCol w:w="1200"/>
        <w:gridCol w:w="1400"/>
      </w:tblGrid>
      <w:tr>
        <w:tc>
          <w:tcPr>
            <w:tcW w:type="dxa" w:w="5560"/>
            <w:tcBorders>
              <w:top w:val="single" w:color="00A896" w:sz="2"/>
              <w:left w:val="single" w:color="00A896" w:sz="2"/>
              <w:bottom w:val="single" w:color="00A896" w:sz="2"/>
              <w:right w:val="single" w:color="00A896" w:sz="2"/>
            </w:tcBorders>
            <w:shd w:fill="00A8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Responsibility</w:t>
            </w:r>
          </w:p>
        </w:tc>
        <w:tc>
          <w:tcPr>
            <w:tcW w:type="dxa" w:w="1200"/>
            <w:tcBorders>
              <w:top w:val="single" w:color="00A896" w:sz="2"/>
              <w:left w:val="single" w:color="00A896" w:sz="2"/>
              <w:bottom w:val="single" w:color="00A896" w:sz="2"/>
              <w:right w:val="single" w:color="00A896" w:sz="2"/>
            </w:tcBorders>
            <w:shd w:fill="00A8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Owner (P/S)</w:t>
            </w:r>
          </w:p>
        </w:tc>
        <w:tc>
          <w:tcPr>
            <w:tcW w:type="dxa" w:w="1200"/>
            <w:tcBorders>
              <w:top w:val="single" w:color="00A896" w:sz="2"/>
              <w:left w:val="single" w:color="00A896" w:sz="2"/>
              <w:bottom w:val="single" w:color="00A896" w:sz="2"/>
              <w:right w:val="single" w:color="00A896" w:sz="2"/>
            </w:tcBorders>
            <w:shd w:fill="00A8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Frequency</w:t>
            </w:r>
          </w:p>
        </w:tc>
        <w:tc>
          <w:tcPr>
            <w:tcW w:type="dxa" w:w="1400"/>
            <w:tcBorders>
              <w:top w:val="single" w:color="00A896" w:sz="2"/>
              <w:left w:val="single" w:color="00A896" w:sz="2"/>
              <w:bottom w:val="single" w:color="00A896" w:sz="2"/>
              <w:right w:val="single" w:color="00A896" w:sz="2"/>
            </w:tcBorders>
            <w:shd w:fill="00A8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Evidence</w:t>
            </w:r>
          </w:p>
        </w:tc>
      </w:tr>
      <w:tr>
        <w:tc>
          <w:tcPr>
            <w:tcW w:type="dxa" w:w="55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19"/>
                <w:szCs w:val="19"/>
              </w:rPr>
              <w:t xml:space="preserve">Lead detailed vulnerability assessments on IACS systems (CSMS-RA-006)</w:t>
            </w:r>
          </w:p>
        </w:tc>
        <w:tc>
          <w:tcPr>
            <w:tcW w:type="dxa" w:w="12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[P / S]</w:t>
            </w:r>
          </w:p>
        </w:tc>
        <w:tc>
          <w:tcPr>
            <w:tcW w:type="dxa" w:w="12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[Event-driven / Monthly / Ongoing]</w:t>
            </w:r>
          </w:p>
        </w:tc>
        <w:tc>
          <w:tcPr>
            <w:tcW w:type="dxa" w:w="14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[Document / Log / Report reference]</w:t>
            </w:r>
          </w:p>
        </w:tc>
      </w:tr>
      <w:tr>
        <w:tc>
          <w:tcPr>
            <w:tcW w:type="dxa" w:w="55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19"/>
                <w:szCs w:val="19"/>
              </w:rPr>
              <w:t xml:space="preserve">Manage and update the IACS asset inventory (CSMS-RA-002)</w:t>
            </w:r>
          </w:p>
        </w:tc>
        <w:tc>
          <w:tcPr>
            <w:tcW w:type="dxa" w:w="12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[P / S]</w:t>
            </w:r>
          </w:p>
        </w:tc>
        <w:tc>
          <w:tcPr>
            <w:tcW w:type="dxa" w:w="12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[Event-driven / Monthly / Ongoing]</w:t>
            </w:r>
          </w:p>
        </w:tc>
        <w:tc>
          <w:tcPr>
            <w:tcW w:type="dxa" w:w="14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[Document / Log / Report reference]</w:t>
            </w:r>
          </w:p>
        </w:tc>
      </w:tr>
      <w:tr>
        <w:tc>
          <w:tcPr>
            <w:tcW w:type="dxa" w:w="55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19"/>
                <w:szCs w:val="19"/>
              </w:rPr>
              <w:t xml:space="preserve">Maintain and enforce the network segmentation architecture</w:t>
            </w:r>
          </w:p>
        </w:tc>
        <w:tc>
          <w:tcPr>
            <w:tcW w:type="dxa" w:w="12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[P / S]</w:t>
            </w:r>
          </w:p>
        </w:tc>
        <w:tc>
          <w:tcPr>
            <w:tcW w:type="dxa" w:w="12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[Event-driven / Monthly / Ongoing]</w:t>
            </w:r>
          </w:p>
        </w:tc>
        <w:tc>
          <w:tcPr>
            <w:tcW w:type="dxa" w:w="14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[Document / Log / Report reference]</w:t>
            </w:r>
          </w:p>
        </w:tc>
      </w:tr>
      <w:tr>
        <w:tc>
          <w:tcPr>
            <w:tcW w:type="dxa" w:w="55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19"/>
                <w:szCs w:val="19"/>
              </w:rPr>
              <w:t xml:space="preserve">Review and approve all IACS change requests (tech assessment)</w:t>
            </w:r>
          </w:p>
        </w:tc>
        <w:tc>
          <w:tcPr>
            <w:tcW w:type="dxa" w:w="12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[P / S]</w:t>
            </w:r>
          </w:p>
        </w:tc>
        <w:tc>
          <w:tcPr>
            <w:tcW w:type="dxa" w:w="12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[Event-driven / Monthly / Ongoing]</w:t>
            </w:r>
          </w:p>
        </w:tc>
        <w:tc>
          <w:tcPr>
            <w:tcW w:type="dxa" w:w="14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[Document / Log / Report reference]</w:t>
            </w:r>
          </w:p>
        </w:tc>
      </w:tr>
      <w:tr>
        <w:tc>
          <w:tcPr>
            <w:tcW w:type="dxa" w:w="55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19"/>
                <w:szCs w:val="19"/>
              </w:rPr>
              <w:t xml:space="preserve">Lead patch management process for OT systems (CSMS-IM-013)</w:t>
            </w:r>
          </w:p>
        </w:tc>
        <w:tc>
          <w:tcPr>
            <w:tcW w:type="dxa" w:w="12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[P / S]</w:t>
            </w:r>
          </w:p>
        </w:tc>
        <w:tc>
          <w:tcPr>
            <w:tcW w:type="dxa" w:w="12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[Event-driven / Monthly / Ongoing]</w:t>
            </w:r>
          </w:p>
        </w:tc>
        <w:tc>
          <w:tcPr>
            <w:tcW w:type="dxa" w:w="14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[Document / Log / Report reference]</w:t>
            </w:r>
          </w:p>
        </w:tc>
      </w:tr>
      <w:tr>
        <w:tc>
          <w:tcPr>
            <w:tcW w:type="dxa" w:w="55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19"/>
                <w:szCs w:val="19"/>
              </w:rPr>
              <w:t xml:space="preserve">Respond as technical lead during OT security incidents</w:t>
            </w:r>
          </w:p>
        </w:tc>
        <w:tc>
          <w:tcPr>
            <w:tcW w:type="dxa" w:w="12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[P / S]</w:t>
            </w:r>
          </w:p>
        </w:tc>
        <w:tc>
          <w:tcPr>
            <w:tcW w:type="dxa" w:w="12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[Event-driven / Monthly / Ongoing]</w:t>
            </w:r>
          </w:p>
        </w:tc>
        <w:tc>
          <w:tcPr>
            <w:tcW w:type="dxa" w:w="14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[Document / Log / Report reference]</w:t>
            </w:r>
          </w:p>
        </w:tc>
      </w:tr>
      <w:tr>
        <w:tc>
          <w:tcPr>
            <w:tcW w:type="dxa" w:w="55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19"/>
                <w:szCs w:val="19"/>
              </w:rPr>
              <w:t xml:space="preserve">Review ICS-CERT and vendor advisories for relevance to IACS inventory</w:t>
            </w:r>
          </w:p>
        </w:tc>
        <w:tc>
          <w:tcPr>
            <w:tcW w:type="dxa" w:w="12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[P / S]</w:t>
            </w:r>
          </w:p>
        </w:tc>
        <w:tc>
          <w:tcPr>
            <w:tcW w:type="dxa" w:w="12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[Event-driven / Monthly / Ongoing]</w:t>
            </w:r>
          </w:p>
        </w:tc>
        <w:tc>
          <w:tcPr>
            <w:tcW w:type="dxa" w:w="14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[Document / Log / Report reference]</w:t>
            </w:r>
          </w:p>
        </w:tc>
      </w:tr>
      <w:tr>
        <w:tc>
          <w:tcPr>
            <w:tcW w:type="dxa" w:w="55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19"/>
                <w:szCs w:val="19"/>
              </w:rPr>
              <w:t xml:space="preserve">Advise on countermeasure selection and implementation</w:t>
            </w:r>
          </w:p>
        </w:tc>
        <w:tc>
          <w:tcPr>
            <w:tcW w:type="dxa" w:w="12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[P / S]</w:t>
            </w:r>
          </w:p>
        </w:tc>
        <w:tc>
          <w:tcPr>
            <w:tcW w:type="dxa" w:w="12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[Event-driven / Monthly / Ongoing]</w:t>
            </w:r>
          </w:p>
        </w:tc>
        <w:tc>
          <w:tcPr>
            <w:tcW w:type="dxa" w:w="14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[Document / Log / Report reference]</w:t>
            </w:r>
          </w:p>
        </w:tc>
      </w:tr>
      <w:tr>
        <w:tc>
          <w:tcPr>
            <w:tcW w:type="dxa" w:w="55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19"/>
                <w:szCs w:val="19"/>
              </w:rPr>
              <w:t xml:space="preserve">Provide technical input to risk assessments</w:t>
            </w:r>
          </w:p>
        </w:tc>
        <w:tc>
          <w:tcPr>
            <w:tcW w:type="dxa" w:w="12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[P / S]</w:t>
            </w:r>
          </w:p>
        </w:tc>
        <w:tc>
          <w:tcPr>
            <w:tcW w:type="dxa" w:w="12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[Event-driven / Monthly / Ongoing]</w:t>
            </w:r>
          </w:p>
        </w:tc>
        <w:tc>
          <w:tcPr>
            <w:tcW w:type="dxa" w:w="14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[Document / Log / Report reference]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i w:val="false"/>
          <w:iCs w:val="false"/>
          <w:color w:val="F4A261"/>
          <w:sz w:val="22"/>
          <w:szCs w:val="22"/>
        </w:rPr>
        <w:t xml:space="preserve">3.4 All Employees with IACS Access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560"/>
        <w:gridCol w:w="3800"/>
      </w:tblGrid>
      <w:tr>
        <w:tc>
          <w:tcPr>
            <w:tcW w:type="dxa" w:w="5560"/>
            <w:tcBorders>
              <w:top w:val="single" w:color="455A64" w:sz="2"/>
              <w:left w:val="single" w:color="455A64" w:sz="2"/>
              <w:bottom w:val="single" w:color="455A64" w:sz="2"/>
              <w:right w:val="single" w:color="455A64" w:sz="2"/>
            </w:tcBorders>
            <w:shd w:fill="455A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Responsibility</w:t>
            </w:r>
          </w:p>
        </w:tc>
        <w:tc>
          <w:tcPr>
            <w:tcW w:type="dxa" w:w="3800"/>
            <w:tcBorders>
              <w:top w:val="single" w:color="455A64" w:sz="2"/>
              <w:left w:val="single" w:color="455A64" w:sz="2"/>
              <w:bottom w:val="single" w:color="455A64" w:sz="2"/>
              <w:right w:val="single" w:color="455A64" w:sz="2"/>
            </w:tcBorders>
            <w:shd w:fill="455A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Evidence / How Demonstrated</w:t>
            </w:r>
          </w:p>
        </w:tc>
      </w:tr>
      <w:tr>
        <w:tc>
          <w:tcPr>
            <w:tcW w:type="dxa" w:w="55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19"/>
                <w:szCs w:val="19"/>
              </w:rPr>
              <w:t xml:space="preserve">Complete all mandatory cyber security training within required timeframes</w:t>
            </w:r>
          </w:p>
        </w:tc>
        <w:tc>
          <w:tcPr>
            <w:tcW w:type="dxa" w:w="38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[Training record / Signed policy / Incident report]</w:t>
            </w:r>
          </w:p>
        </w:tc>
      </w:tr>
      <w:tr>
        <w:tc>
          <w:tcPr>
            <w:tcW w:type="dxa" w:w="55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19"/>
                <w:szCs w:val="19"/>
              </w:rPr>
              <w:t xml:space="preserve">Report any unusual system behaviour or suspected security incident immediately</w:t>
            </w:r>
          </w:p>
        </w:tc>
        <w:tc>
          <w:tcPr>
            <w:tcW w:type="dxa" w:w="38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[Training record / Signed policy / Incident report]</w:t>
            </w:r>
          </w:p>
        </w:tc>
      </w:tr>
      <w:tr>
        <w:tc>
          <w:tcPr>
            <w:tcW w:type="dxa" w:w="55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19"/>
                <w:szCs w:val="19"/>
              </w:rPr>
              <w:t xml:space="preserve">Comply with all CSMS policies and procedures</w:t>
            </w:r>
          </w:p>
        </w:tc>
        <w:tc>
          <w:tcPr>
            <w:tcW w:type="dxa" w:w="38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[Training record / Signed policy / Incident report]</w:t>
            </w:r>
          </w:p>
        </w:tc>
      </w:tr>
      <w:tr>
        <w:tc>
          <w:tcPr>
            <w:tcW w:type="dxa" w:w="55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19"/>
                <w:szCs w:val="19"/>
              </w:rPr>
              <w:t xml:space="preserve">Not introduce removable media to IACS systems without authorisation</w:t>
            </w:r>
          </w:p>
        </w:tc>
        <w:tc>
          <w:tcPr>
            <w:tcW w:type="dxa" w:w="38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[Training record / Signed policy / Incident report]</w:t>
            </w:r>
          </w:p>
        </w:tc>
      </w:tr>
      <w:tr>
        <w:tc>
          <w:tcPr>
            <w:tcW w:type="dxa" w:w="55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19"/>
                <w:szCs w:val="19"/>
              </w:rPr>
              <w:t xml:space="preserve">Not share passwords or bypass access controls</w:t>
            </w:r>
          </w:p>
        </w:tc>
        <w:tc>
          <w:tcPr>
            <w:tcW w:type="dxa" w:w="38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[Training record / Signed policy / Incident report]</w:t>
            </w:r>
          </w:p>
        </w:tc>
      </w:tr>
      <w:tr>
        <w:tc>
          <w:tcPr>
            <w:tcW w:type="dxa" w:w="55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19"/>
                <w:szCs w:val="19"/>
              </w:rPr>
              <w:t xml:space="preserve">Challenge unknown personnel in secure areas</w:t>
            </w:r>
          </w:p>
        </w:tc>
        <w:tc>
          <w:tcPr>
            <w:tcW w:type="dxa" w:w="38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[Training record / Signed policy / Incident report]</w:t>
            </w:r>
          </w:p>
        </w:tc>
      </w:tr>
      <w:tr>
        <w:tc>
          <w:tcPr>
            <w:tcW w:type="dxa" w:w="55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19"/>
                <w:szCs w:val="19"/>
              </w:rPr>
              <w:t xml:space="preserve">Report lost or stolen access cards immediately</w:t>
            </w:r>
          </w:p>
        </w:tc>
        <w:tc>
          <w:tcPr>
            <w:tcW w:type="dxa" w:w="38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[Training record / Signed policy / Incident report]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0"/>
          <w:szCs w:val="20"/>
        </w:rPr>
        <w:t xml:space="preserve"/>
      </w:r>
    </w:p>
    <w:p>
      <w:pPr>
        <w:pBdr>
          <w:bottom w:val="single" w:color="F4A261" w:sz="6" w:space="4"/>
        </w:pBdr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F4A261"/>
          <w:sz w:val="26"/>
          <w:szCs w:val="26"/>
        </w:rPr>
        <w:t xml:space="preserve">4. CSMS Steering Committee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9"/>
                <w:szCs w:val="19"/>
              </w:rPr>
              <w:t xml:space="preserve">Meeting Frequency</w:t>
            </w:r>
          </w:p>
        </w:tc>
        <w:tc>
          <w:tcPr>
            <w:tcW w:type="dxa" w:w="65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[Minimum: quarterly. Recommended: monthly during initial CSMS establishment]</w:t>
            </w:r>
          </w:p>
        </w:tc>
      </w:tr>
      <w:tr>
        <w:tc>
          <w:tcPr>
            <w:tcW w:type="dxa" w:w="28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9"/>
                <w:szCs w:val="19"/>
              </w:rPr>
              <w:t xml:space="preserve">Quorum Requirement</w:t>
            </w:r>
          </w:p>
        </w:tc>
        <w:tc>
          <w:tcPr>
            <w:tcW w:type="dxa" w:w="65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[e.g. Programme Sponsor (or delegate) + OT Security Lead + HSE Representative must be present]</w:t>
            </w:r>
          </w:p>
        </w:tc>
      </w:tr>
      <w:tr>
        <w:tc>
          <w:tcPr>
            <w:tcW w:type="dxa" w:w="28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9"/>
                <w:szCs w:val="19"/>
              </w:rPr>
              <w:t xml:space="preserve">Standing Agenda Items</w:t>
            </w:r>
          </w:p>
        </w:tc>
        <w:tc>
          <w:tcPr>
            <w:tcW w:type="dxa" w:w="65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[Risk register status / Open audit findings / KPI dashboard / Upcoming changes requiring CSMS attention / Training status]</w:t>
            </w:r>
          </w:p>
        </w:tc>
      </w:tr>
      <w:tr>
        <w:tc>
          <w:tcPr>
            <w:tcW w:type="dxa" w:w="28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9"/>
                <w:szCs w:val="19"/>
              </w:rPr>
              <w:t xml:space="preserve">Minutes Owner</w:t>
            </w:r>
          </w:p>
        </w:tc>
        <w:tc>
          <w:tcPr>
            <w:tcW w:type="dxa" w:w="65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[Name / Role responsible for taking and distributing minutes]</w:t>
            </w:r>
          </w:p>
        </w:tc>
      </w:tr>
      <w:tr>
        <w:tc>
          <w:tcPr>
            <w:tcW w:type="dxa" w:w="28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9"/>
                <w:szCs w:val="19"/>
              </w:rPr>
              <w:t xml:space="preserve">Minutes Distribution</w:t>
            </w:r>
          </w:p>
        </w:tc>
        <w:tc>
          <w:tcPr>
            <w:tcW w:type="dxa" w:w="65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[All Steering Committee members + document archive]</w:t>
            </w:r>
          </w:p>
        </w:tc>
      </w:tr>
      <w:tr>
        <w:tc>
          <w:tcPr>
            <w:tcW w:type="dxa" w:w="28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9"/>
                <w:szCs w:val="19"/>
              </w:rPr>
              <w:t xml:space="preserve">Decision Authority</w:t>
            </w:r>
          </w:p>
        </w:tc>
        <w:tc>
          <w:tcPr>
            <w:tcW w:type="dxa" w:w="65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[Describe what decisions the Steering Committee can make vs. what must escalate to the Sponsor]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0"/>
          <w:szCs w:val="20"/>
        </w:rPr>
        <w:t xml:space="preserve"/>
      </w:r>
    </w:p>
    <w:p>
      <w:pPr>
        <w:pBdr>
          <w:bottom w:val="single" w:color="F4A261" w:sz="6" w:space="4"/>
        </w:pBdr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F4A261"/>
          <w:sz w:val="26"/>
          <w:szCs w:val="26"/>
        </w:rPr>
        <w:t xml:space="preserve">5. Responsibility Assignment Matrix (RACI Summary)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00"/>
        <w:gridCol w:w="1200"/>
        <w:gridCol w:w="1200"/>
        <w:gridCol w:w="1200"/>
        <w:gridCol w:w="1200"/>
        <w:gridCol w:w="1200"/>
        <w:gridCol w:w="960"/>
      </w:tblGrid>
      <w:tr>
        <w:tc>
          <w:tcPr>
            <w:tcW w:type="dxa" w:w="3000"/>
            <w:tcBorders>
              <w:top w:val="single" w:color="0D1B2A" w:sz="2"/>
              <w:left w:val="single" w:color="0D1B2A" w:sz="2"/>
              <w:bottom w:val="single" w:color="0D1B2A" w:sz="2"/>
              <w:right w:val="single" w:color="0D1B2A" w:sz="2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CSMS Activity</w:t>
            </w:r>
          </w:p>
        </w:tc>
        <w:tc>
          <w:tcPr>
            <w:tcW w:type="dxa" w:w="1200"/>
            <w:tcBorders>
              <w:top w:val="single" w:color="0D1B2A" w:sz="2"/>
              <w:left w:val="single" w:color="0D1B2A" w:sz="2"/>
              <w:bottom w:val="single" w:color="0D1B2A" w:sz="2"/>
              <w:right w:val="single" w:color="0D1B2A" w:sz="2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Sponsor</w:t>
            </w:r>
          </w:p>
        </w:tc>
        <w:tc>
          <w:tcPr>
            <w:tcW w:type="dxa" w:w="1200"/>
            <w:tcBorders>
              <w:top w:val="single" w:color="0D1B2A" w:sz="2"/>
              <w:left w:val="single" w:color="0D1B2A" w:sz="2"/>
              <w:bottom w:val="single" w:color="0D1B2A" w:sz="2"/>
              <w:right w:val="single" w:color="0D1B2A" w:sz="2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CSMS Mgr</w:t>
            </w:r>
          </w:p>
        </w:tc>
        <w:tc>
          <w:tcPr>
            <w:tcW w:type="dxa" w:w="1200"/>
            <w:tcBorders>
              <w:top w:val="single" w:color="0D1B2A" w:sz="2"/>
              <w:left w:val="single" w:color="0D1B2A" w:sz="2"/>
              <w:bottom w:val="single" w:color="0D1B2A" w:sz="2"/>
              <w:right w:val="single" w:color="0D1B2A" w:sz="2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OT Sec</w:t>
            </w:r>
          </w:p>
        </w:tc>
        <w:tc>
          <w:tcPr>
            <w:tcW w:type="dxa" w:w="1200"/>
            <w:tcBorders>
              <w:top w:val="single" w:color="0D1B2A" w:sz="2"/>
              <w:left w:val="single" w:color="0D1B2A" w:sz="2"/>
              <w:bottom w:val="single" w:color="0D1B2A" w:sz="2"/>
              <w:right w:val="single" w:color="0D1B2A" w:sz="2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IT Sec</w:t>
            </w:r>
          </w:p>
        </w:tc>
        <w:tc>
          <w:tcPr>
            <w:tcW w:type="dxa" w:w="1200"/>
            <w:tcBorders>
              <w:top w:val="single" w:color="0D1B2A" w:sz="2"/>
              <w:left w:val="single" w:color="0D1B2A" w:sz="2"/>
              <w:bottom w:val="single" w:color="0D1B2A" w:sz="2"/>
              <w:right w:val="single" w:color="0D1B2A" w:sz="2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HSE</w:t>
            </w:r>
          </w:p>
        </w:tc>
        <w:tc>
          <w:tcPr>
            <w:tcW w:type="dxa" w:w="960"/>
            <w:tcBorders>
              <w:top w:val="single" w:color="0D1B2A" w:sz="2"/>
              <w:left w:val="single" w:color="0D1B2A" w:sz="2"/>
              <w:bottom w:val="single" w:color="0D1B2A" w:sz="2"/>
              <w:right w:val="single" w:color="0D1B2A" w:sz="2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Ops</w:t>
            </w:r>
          </w:p>
        </w:tc>
      </w:tr>
      <w:tr>
        <w:tc>
          <w:tcPr>
            <w:tcW w:type="dxa" w:w="30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2E"/>
                <w:sz w:val="19"/>
                <w:szCs w:val="19"/>
              </w:rPr>
              <w:t xml:space="preserve">Risk Assessment</w:t>
            </w:r>
          </w:p>
        </w:tc>
        <w:tc>
          <w:tcPr>
            <w:tcW w:type="dxa" w:w="12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[R/A/C/I]</w:t>
            </w:r>
          </w:p>
        </w:tc>
        <w:tc>
          <w:tcPr>
            <w:tcW w:type="dxa" w:w="12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[R/A/C/I]</w:t>
            </w:r>
          </w:p>
        </w:tc>
        <w:tc>
          <w:tcPr>
            <w:tcW w:type="dxa" w:w="12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[R/A/C/I]</w:t>
            </w:r>
          </w:p>
        </w:tc>
        <w:tc>
          <w:tcPr>
            <w:tcW w:type="dxa" w:w="12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[R/A/C/I]</w:t>
            </w:r>
          </w:p>
        </w:tc>
        <w:tc>
          <w:tcPr>
            <w:tcW w:type="dxa" w:w="12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[R/A/C/I]</w:t>
            </w:r>
          </w:p>
        </w:tc>
        <w:tc>
          <w:tcPr>
            <w:tcW w:type="dxa" w:w="12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[R/A/C/I]</w:t>
            </w:r>
          </w:p>
        </w:tc>
      </w:tr>
      <w:tr>
        <w:tc>
          <w:tcPr>
            <w:tcW w:type="dxa" w:w="30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2E"/>
                <w:sz w:val="19"/>
                <w:szCs w:val="19"/>
              </w:rPr>
              <w:t xml:space="preserve">Policy Development</w:t>
            </w:r>
          </w:p>
        </w:tc>
        <w:tc>
          <w:tcPr>
            <w:tcW w:type="dxa" w:w="12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[R/A/C/I]</w:t>
            </w:r>
          </w:p>
        </w:tc>
        <w:tc>
          <w:tcPr>
            <w:tcW w:type="dxa" w:w="12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[R/A/C/I]</w:t>
            </w:r>
          </w:p>
        </w:tc>
        <w:tc>
          <w:tcPr>
            <w:tcW w:type="dxa" w:w="12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[R/A/C/I]</w:t>
            </w:r>
          </w:p>
        </w:tc>
        <w:tc>
          <w:tcPr>
            <w:tcW w:type="dxa" w:w="12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[R/A/C/I]</w:t>
            </w:r>
          </w:p>
        </w:tc>
        <w:tc>
          <w:tcPr>
            <w:tcW w:type="dxa" w:w="12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[R/A/C/I]</w:t>
            </w:r>
          </w:p>
        </w:tc>
        <w:tc>
          <w:tcPr>
            <w:tcW w:type="dxa" w:w="12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[R/A/C/I]</w:t>
            </w:r>
          </w:p>
        </w:tc>
      </w:tr>
      <w:tr>
        <w:tc>
          <w:tcPr>
            <w:tcW w:type="dxa" w:w="30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2E"/>
                <w:sz w:val="19"/>
                <w:szCs w:val="19"/>
              </w:rPr>
              <w:t xml:space="preserve">Training Programme</w:t>
            </w:r>
          </w:p>
        </w:tc>
        <w:tc>
          <w:tcPr>
            <w:tcW w:type="dxa" w:w="12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[R/A/C/I]</w:t>
            </w:r>
          </w:p>
        </w:tc>
        <w:tc>
          <w:tcPr>
            <w:tcW w:type="dxa" w:w="12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[R/A/C/I]</w:t>
            </w:r>
          </w:p>
        </w:tc>
        <w:tc>
          <w:tcPr>
            <w:tcW w:type="dxa" w:w="12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[R/A/C/I]</w:t>
            </w:r>
          </w:p>
        </w:tc>
        <w:tc>
          <w:tcPr>
            <w:tcW w:type="dxa" w:w="12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[R/A/C/I]</w:t>
            </w:r>
          </w:p>
        </w:tc>
        <w:tc>
          <w:tcPr>
            <w:tcW w:type="dxa" w:w="12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[R/A/C/I]</w:t>
            </w:r>
          </w:p>
        </w:tc>
        <w:tc>
          <w:tcPr>
            <w:tcW w:type="dxa" w:w="12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[R/A/C/I]</w:t>
            </w:r>
          </w:p>
        </w:tc>
      </w:tr>
      <w:tr>
        <w:tc>
          <w:tcPr>
            <w:tcW w:type="dxa" w:w="30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2E"/>
                <w:sz w:val="19"/>
                <w:szCs w:val="19"/>
              </w:rPr>
              <w:t xml:space="preserve">Change Management Review</w:t>
            </w:r>
          </w:p>
        </w:tc>
        <w:tc>
          <w:tcPr>
            <w:tcW w:type="dxa" w:w="12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[R/A/C/I]</w:t>
            </w:r>
          </w:p>
        </w:tc>
        <w:tc>
          <w:tcPr>
            <w:tcW w:type="dxa" w:w="12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[R/A/C/I]</w:t>
            </w:r>
          </w:p>
        </w:tc>
        <w:tc>
          <w:tcPr>
            <w:tcW w:type="dxa" w:w="12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[R/A/C/I]</w:t>
            </w:r>
          </w:p>
        </w:tc>
        <w:tc>
          <w:tcPr>
            <w:tcW w:type="dxa" w:w="12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[R/A/C/I]</w:t>
            </w:r>
          </w:p>
        </w:tc>
        <w:tc>
          <w:tcPr>
            <w:tcW w:type="dxa" w:w="12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[R/A/C/I]</w:t>
            </w:r>
          </w:p>
        </w:tc>
        <w:tc>
          <w:tcPr>
            <w:tcW w:type="dxa" w:w="12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[R/A/C/I]</w:t>
            </w:r>
          </w:p>
        </w:tc>
      </w:tr>
      <w:tr>
        <w:tc>
          <w:tcPr>
            <w:tcW w:type="dxa" w:w="30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2E"/>
                <w:sz w:val="19"/>
                <w:szCs w:val="19"/>
              </w:rPr>
              <w:t xml:space="preserve">Incident Response</w:t>
            </w:r>
          </w:p>
        </w:tc>
        <w:tc>
          <w:tcPr>
            <w:tcW w:type="dxa" w:w="12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[R/A/C/I]</w:t>
            </w:r>
          </w:p>
        </w:tc>
        <w:tc>
          <w:tcPr>
            <w:tcW w:type="dxa" w:w="12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[R/A/C/I]</w:t>
            </w:r>
          </w:p>
        </w:tc>
        <w:tc>
          <w:tcPr>
            <w:tcW w:type="dxa" w:w="12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[R/A/C/I]</w:t>
            </w:r>
          </w:p>
        </w:tc>
        <w:tc>
          <w:tcPr>
            <w:tcW w:type="dxa" w:w="12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[R/A/C/I]</w:t>
            </w:r>
          </w:p>
        </w:tc>
        <w:tc>
          <w:tcPr>
            <w:tcW w:type="dxa" w:w="12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[R/A/C/I]</w:t>
            </w:r>
          </w:p>
        </w:tc>
        <w:tc>
          <w:tcPr>
            <w:tcW w:type="dxa" w:w="12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[R/A/C/I]</w:t>
            </w:r>
          </w:p>
        </w:tc>
      </w:tr>
      <w:tr>
        <w:tc>
          <w:tcPr>
            <w:tcW w:type="dxa" w:w="30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2E"/>
                <w:sz w:val="19"/>
                <w:szCs w:val="19"/>
              </w:rPr>
              <w:t xml:space="preserve">Audit Programme</w:t>
            </w:r>
          </w:p>
        </w:tc>
        <w:tc>
          <w:tcPr>
            <w:tcW w:type="dxa" w:w="12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[R/A/C/I]</w:t>
            </w:r>
          </w:p>
        </w:tc>
        <w:tc>
          <w:tcPr>
            <w:tcW w:type="dxa" w:w="12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[R/A/C/I]</w:t>
            </w:r>
          </w:p>
        </w:tc>
        <w:tc>
          <w:tcPr>
            <w:tcW w:type="dxa" w:w="12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[R/A/C/I]</w:t>
            </w:r>
          </w:p>
        </w:tc>
        <w:tc>
          <w:tcPr>
            <w:tcW w:type="dxa" w:w="12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[R/A/C/I]</w:t>
            </w:r>
          </w:p>
        </w:tc>
        <w:tc>
          <w:tcPr>
            <w:tcW w:type="dxa" w:w="12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[R/A/C/I]</w:t>
            </w:r>
          </w:p>
        </w:tc>
        <w:tc>
          <w:tcPr>
            <w:tcW w:type="dxa" w:w="12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[R/A/C/I]</w:t>
            </w:r>
          </w:p>
        </w:tc>
      </w:tr>
      <w:tr>
        <w:tc>
          <w:tcPr>
            <w:tcW w:type="dxa" w:w="30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2E"/>
                <w:sz w:val="19"/>
                <w:szCs w:val="19"/>
              </w:rPr>
              <w:t xml:space="preserve">KPI Reporting</w:t>
            </w:r>
          </w:p>
        </w:tc>
        <w:tc>
          <w:tcPr>
            <w:tcW w:type="dxa" w:w="12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[R/A/C/I]</w:t>
            </w:r>
          </w:p>
        </w:tc>
        <w:tc>
          <w:tcPr>
            <w:tcW w:type="dxa" w:w="12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[R/A/C/I]</w:t>
            </w:r>
          </w:p>
        </w:tc>
        <w:tc>
          <w:tcPr>
            <w:tcW w:type="dxa" w:w="12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[R/A/C/I]</w:t>
            </w:r>
          </w:p>
        </w:tc>
        <w:tc>
          <w:tcPr>
            <w:tcW w:type="dxa" w:w="12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[R/A/C/I]</w:t>
            </w:r>
          </w:p>
        </w:tc>
        <w:tc>
          <w:tcPr>
            <w:tcW w:type="dxa" w:w="12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[R/A/C/I]</w:t>
            </w:r>
          </w:p>
        </w:tc>
        <w:tc>
          <w:tcPr>
            <w:tcW w:type="dxa" w:w="12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[R/A/C/I]</w:t>
            </w:r>
          </w:p>
        </w:tc>
      </w:tr>
      <w:tr>
        <w:tc>
          <w:tcPr>
            <w:tcW w:type="dxa" w:w="30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2E"/>
                <w:sz w:val="19"/>
                <w:szCs w:val="19"/>
              </w:rPr>
              <w:t xml:space="preserve">Vendor Management</w:t>
            </w:r>
          </w:p>
        </w:tc>
        <w:tc>
          <w:tcPr>
            <w:tcW w:type="dxa" w:w="12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[R/A/C/I]</w:t>
            </w:r>
          </w:p>
        </w:tc>
        <w:tc>
          <w:tcPr>
            <w:tcW w:type="dxa" w:w="12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[R/A/C/I]</w:t>
            </w:r>
          </w:p>
        </w:tc>
        <w:tc>
          <w:tcPr>
            <w:tcW w:type="dxa" w:w="12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[R/A/C/I]</w:t>
            </w:r>
          </w:p>
        </w:tc>
        <w:tc>
          <w:tcPr>
            <w:tcW w:type="dxa" w:w="12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[R/A/C/I]</w:t>
            </w:r>
          </w:p>
        </w:tc>
        <w:tc>
          <w:tcPr>
            <w:tcW w:type="dxa" w:w="12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[R/A/C/I]</w:t>
            </w:r>
          </w:p>
        </w:tc>
        <w:tc>
          <w:tcPr>
            <w:tcW w:type="dxa" w:w="12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[R/A/C/I]</w:t>
            </w:r>
          </w:p>
        </w:tc>
      </w:tr>
      <w:tr>
        <w:tc>
          <w:tcPr>
            <w:tcW w:type="dxa" w:w="30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2E"/>
                <w:sz w:val="19"/>
                <w:szCs w:val="19"/>
              </w:rPr>
              <w:t xml:space="preserve">Regulatory Compliance</w:t>
            </w:r>
          </w:p>
        </w:tc>
        <w:tc>
          <w:tcPr>
            <w:tcW w:type="dxa" w:w="12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[R/A/C/I]</w:t>
            </w:r>
          </w:p>
        </w:tc>
        <w:tc>
          <w:tcPr>
            <w:tcW w:type="dxa" w:w="12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[R/A/C/I]</w:t>
            </w:r>
          </w:p>
        </w:tc>
        <w:tc>
          <w:tcPr>
            <w:tcW w:type="dxa" w:w="12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[R/A/C/I]</w:t>
            </w:r>
          </w:p>
        </w:tc>
        <w:tc>
          <w:tcPr>
            <w:tcW w:type="dxa" w:w="12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[R/A/C/I]</w:t>
            </w:r>
          </w:p>
        </w:tc>
        <w:tc>
          <w:tcPr>
            <w:tcW w:type="dxa" w:w="12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[R/A/C/I]</w:t>
            </w:r>
          </w:p>
        </w:tc>
        <w:tc>
          <w:tcPr>
            <w:tcW w:type="dxa" w:w="12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[R/A/C/I]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455A64"/>
          <w:sz w:val="18"/>
          <w:szCs w:val="18"/>
        </w:rPr>
        <w:t xml:space="preserve">R = Responsible (does the work)  ·  A = Accountable (signs off)  ·  C = Consulted (input required)  ·  I = Informed (kept updated)</w:t>
      </w:r>
    </w:p>
    <w:p>
      <w:pPr>
        <w:spacing w:after="0" w:before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0"/>
          <w:szCs w:val="20"/>
        </w:rPr>
        <w:t xml:space="preserve"/>
      </w:r>
    </w:p>
    <w:p>
      <w:pPr>
        <w:pBdr>
          <w:bottom w:val="single" w:color="E8EEF4" w:sz="4" w:space="2"/>
        </w:pBdr>
        <w:spacing w:after="1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0"/>
          <w:szCs w:val="20"/>
        </w:rPr>
        <w:t xml:space="preserve"/>
      </w:r>
    </w:p>
    <w:p>
      <w:pPr>
        <w:pBdr>
          <w:bottom w:val="single" w:color="F4A261" w:sz="6" w:space="4"/>
        </w:pBdr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F4A261"/>
          <w:sz w:val="26"/>
          <w:szCs w:val="26"/>
        </w:rPr>
        <w:t xml:space="preserve">Document Review and Approval History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D1B2A" w:sz="2"/>
              <w:left w:val="single" w:color="0D1B2A" w:sz="2"/>
              <w:bottom w:val="single" w:color="0D1B2A" w:sz="2"/>
              <w:right w:val="single" w:color="0D1B2A" w:sz="2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Prepared By</w:t>
            </w:r>
          </w:p>
        </w:tc>
        <w:tc>
          <w:tcPr>
            <w:tcW w:type="dxa" w:w="2340"/>
            <w:tcBorders>
              <w:top w:val="single" w:color="0D1B2A" w:sz="2"/>
              <w:left w:val="single" w:color="0D1B2A" w:sz="2"/>
              <w:bottom w:val="single" w:color="0D1B2A" w:sz="2"/>
              <w:right w:val="single" w:color="0D1B2A" w:sz="2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Reviewed By</w:t>
            </w:r>
          </w:p>
        </w:tc>
        <w:tc>
          <w:tcPr>
            <w:tcW w:type="dxa" w:w="2340"/>
            <w:tcBorders>
              <w:top w:val="single" w:color="0D1B2A" w:sz="2"/>
              <w:left w:val="single" w:color="0D1B2A" w:sz="2"/>
              <w:bottom w:val="single" w:color="0D1B2A" w:sz="2"/>
              <w:right w:val="single" w:color="0D1B2A" w:sz="2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Approved By</w:t>
            </w:r>
          </w:p>
        </w:tc>
        <w:tc>
          <w:tcPr>
            <w:tcW w:type="dxa" w:w="2340"/>
            <w:tcBorders>
              <w:top w:val="single" w:color="0D1B2A" w:sz="2"/>
              <w:left w:val="single" w:color="0D1B2A" w:sz="2"/>
              <w:bottom w:val="single" w:color="0D1B2A" w:sz="2"/>
              <w:right w:val="single" w:color="0D1B2A" w:sz="2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Next Review</w:t>
            </w:r>
          </w:p>
        </w:tc>
      </w:tr>
      <w:tr>
        <w:tc>
          <w:tcPr>
            <w:tcW w:type="dxa" w:w="234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[Name]
[Title]
[Signature]
[Date]</w:t>
            </w:r>
          </w:p>
        </w:tc>
        <w:tc>
          <w:tcPr>
            <w:tcW w:type="dxa" w:w="234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[Name]
[Title]
[Signature]
[Date]</w:t>
            </w:r>
          </w:p>
        </w:tc>
        <w:tc>
          <w:tcPr>
            <w:tcW w:type="dxa" w:w="234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[Name]
[Title]
[Signature]
[Date]</w:t>
            </w:r>
          </w:p>
        </w:tc>
        <w:tc>
          <w:tcPr>
            <w:tcW w:type="dxa" w:w="234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[Date — minimum annual]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A8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/>
            </w:r>
          </w:p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A896"/>
                <w:sz w:val="19"/>
                <w:szCs w:val="19"/>
              </w:rPr>
              <w:t xml:space="preserve">Version Control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9"/>
                <w:szCs w:val="19"/>
              </w:rPr>
              <w:t xml:space="preserve">All amendments must be recorded below. No change is valid without written approval from the document owner. Superseded versions are archived and retained for a minimum of five years.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0"/>
        <w:gridCol w:w="1600"/>
        <w:gridCol w:w="2400"/>
        <w:gridCol w:w="4160"/>
      </w:tblGrid>
      <w:tr>
        <w:tc>
          <w:tcPr>
            <w:tcW w:type="dxa" w:w="1200"/>
            <w:tcBorders>
              <w:top w:val="single" w:color="455A64" w:sz="2"/>
              <w:left w:val="single" w:color="455A64" w:sz="2"/>
              <w:bottom w:val="single" w:color="455A64" w:sz="2"/>
              <w:right w:val="single" w:color="455A64" w:sz="2"/>
            </w:tcBorders>
            <w:shd w:fill="455A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Ver</w:t>
            </w:r>
          </w:p>
        </w:tc>
        <w:tc>
          <w:tcPr>
            <w:tcW w:type="dxa" w:w="1600"/>
            <w:tcBorders>
              <w:top w:val="single" w:color="455A64" w:sz="2"/>
              <w:left w:val="single" w:color="455A64" w:sz="2"/>
              <w:bottom w:val="single" w:color="455A64" w:sz="2"/>
              <w:right w:val="single" w:color="455A64" w:sz="2"/>
            </w:tcBorders>
            <w:shd w:fill="455A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455A64" w:sz="2"/>
              <w:left w:val="single" w:color="455A64" w:sz="2"/>
              <w:bottom w:val="single" w:color="455A64" w:sz="2"/>
              <w:right w:val="single" w:color="455A64" w:sz="2"/>
            </w:tcBorders>
            <w:shd w:fill="455A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Author</w:t>
            </w:r>
          </w:p>
        </w:tc>
        <w:tc>
          <w:tcPr>
            <w:tcW w:type="dxa" w:w="4160"/>
            <w:tcBorders>
              <w:top w:val="single" w:color="455A64" w:sz="2"/>
              <w:left w:val="single" w:color="455A64" w:sz="2"/>
              <w:bottom w:val="single" w:color="455A64" w:sz="2"/>
              <w:right w:val="single" w:color="455A64" w:sz="2"/>
            </w:tcBorders>
            <w:shd w:fill="455A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Summary of Changes</w:t>
            </w:r>
          </w:p>
        </w:tc>
      </w:tr>
      <w:tr>
        <w:tc>
          <w:tcPr>
            <w:tcW w:type="dxa" w:w="12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19"/>
                <w:szCs w:val="19"/>
              </w:rPr>
              <w:t xml:space="preserve">1.0</w:t>
            </w:r>
          </w:p>
        </w:tc>
        <w:tc>
          <w:tcPr>
            <w:tcW w:type="dxa" w:w="16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[Date]</w:t>
            </w:r>
          </w:p>
        </w:tc>
        <w:tc>
          <w:tcPr>
            <w:tcW w:type="dxa" w:w="24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[Name]</w:t>
            </w:r>
          </w:p>
        </w:tc>
        <w:tc>
          <w:tcPr>
            <w:tcW w:type="dxa" w:w="41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19"/>
                <w:szCs w:val="19"/>
              </w:rPr>
              <w:t xml:space="preserve">Initial issue</w:t>
            </w:r>
          </w:p>
        </w:tc>
      </w:tr>
      <w:tr>
        <w:tc>
          <w:tcPr>
            <w:tcW w:type="dxa" w:w="12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0"/>
          <w:szCs w:val="20"/>
        </w:rPr>
        <w:t xml:space="preserve"/>
      </w:r>
    </w:p>
    <w:p>
      <w:pPr>
        <w:spacing w:after="4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B0BEC5"/>
          <w:sz w:val="17"/>
          <w:szCs w:val="17"/>
        </w:rPr>
        <w:t xml:space="preserve">Document Reference: F4A261  ·  Classification: RESTRICTED  ·  © [Organisation Name]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EEF4" w:sz="4" w:space="4"/>
      </w:pBdr>
      <w:tabs>
        <w:tab w:val="right" w:pos="9360"/>
      </w:tabs>
      <w:spacing w:after="0" w:before="80"/>
    </w:pPr>
    <w:r>
      <w:rPr>
        <w:rFonts w:ascii="Arial" w:cs="Arial" w:eastAsia="Arial" w:hAnsi="Arial"/>
        <w:b w:val="false"/>
        <w:bCs w:val="false"/>
        <w:i w:val="false"/>
        <w:iCs w:val="false"/>
        <w:color w:val="B0BEC5"/>
        <w:sz w:val="16"/>
        <w:szCs w:val="16"/>
      </w:rPr>
      <w:t xml:space="preserve">Security Organisation and Responsibilities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olor w:val="B0BEC5"/>
        <w:sz w:val="16"/>
        <w:szCs w:val="16"/>
      </w:rPr>
      <w:t xml:space="preserve">Page </w:t>
    </w:r>
    <w:r>
      <w:rPr>
        <w:rFonts w:ascii="Arial" w:cs="Arial" w:eastAsia="Arial" w:hAnsi="Arial"/>
        <w:color w:val="B0BEC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EEF4" w:sz="4" w:space="4"/>
      </w:pBdr>
      <w:tabs>
        <w:tab w:val="right" w:pos="9360"/>
      </w:tabs>
      <w:spacing w:after="80" w:before="0"/>
    </w:pPr>
    <w:r>
      <w:rPr>
        <w:rFonts w:ascii="Arial" w:cs="Arial" w:eastAsia="Arial" w:hAnsi="Arial"/>
        <w:b w:val="false"/>
        <w:bCs w:val="false"/>
        <w:i w:val="false"/>
        <w:iCs w:val="false"/>
        <w:color w:val="B0BEC5"/>
        <w:sz w:val="16"/>
        <w:szCs w:val="16"/>
      </w:rPr>
      <w:t xml:space="preserve">IEC 62443-2-1:2010 CSMS  ·  CSMS-POA-003  ·  [Organisation Name]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b/>
        <w:bCs/>
        <w:i w:val="false"/>
        <w:iCs w:val="false"/>
        <w:color w:val="E76F51"/>
        <w:sz w:val="16"/>
        <w:szCs w:val="16"/>
      </w:rPr>
      <w:t xml:space="preserve">RESTRICTED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2026-05-07T05:00:25.146Z</dcterms:created>
  <dcterms:modified xsi:type="dcterms:W3CDTF">2026-05-07T05:00:25.146Z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