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60" w:before="60"/>
              <w:jc w:val="center"/>
            </w:pPr>
            <w:r>
              <w:rPr>
                <w:rFonts w:ascii="Arial" w:cs="Arial" w:eastAsia="Arial" w:hAnsi="Arial"/>
                <w:b/>
                <w:bCs/>
                <w:i w:val="false"/>
                <w:iCs w:val="false"/>
                <w:color w:val="FFFFFF"/>
                <w:sz w:val="17"/>
                <w:szCs w:val="17"/>
              </w:rPr>
              <w:t xml:space="preserve">CLASSIFICATION: RESTRICTED  |  IEC 62443-2-1:2010 CSMS DOCUMENT  |  IACS USE ONLY</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180"/>
            <w:tcBorders>
              <w:top w:val="none" w:color="FFFFFF" w:sz="0"/>
              <w:left w:val="none" w:color="FFFFFF" w:sz="0"/>
              <w:bottom w:val="none" w:color="FFFFFF" w:sz="0"/>
              <w:right w:val="none" w:color="FFFFFF" w:sz="0"/>
            </w:tcBorders>
            <w:shd w:fill="F8FAFB" w:val="clear"/>
            <w:tcMar>
              <w:top w:type="dxa" w:w="80"/>
              <w:left w:type="dxa" w:w="120"/>
              <w:bottom w:type="dxa" w:w="80"/>
              <w:right w:type="dxa" w:w="120"/>
            </w:tcMar>
            <w:vAlign w:val="top"/>
          </w:tcPr>
          <w:p>
            <w:pPr>
              <w:spacing w:after="30" w:before="80"/>
            </w:pPr>
            <w:r>
              <w:rPr>
                <w:rFonts w:ascii="Arial" w:cs="Arial" w:eastAsia="Arial" w:hAnsi="Arial"/>
                <w:b/>
                <w:bCs/>
                <w:i w:val="false"/>
                <w:iCs w:val="false"/>
                <w:color w:val="F4A261"/>
                <w:sz w:val="17"/>
                <w:szCs w:val="17"/>
              </w:rPr>
              <w:t xml:space="preserve">IEC 62443-2-1:2010  ·  §4.3.2.4.1 / §4.3.2.4.2 SHALL</w:t>
            </w:r>
          </w:p>
          <w:p>
            <w:pPr>
              <w:spacing w:after="30" w:before="30"/>
            </w:pPr>
            <w:r>
              <w:rPr>
                <w:rFonts w:ascii="Arial" w:cs="Arial" w:eastAsia="Arial" w:hAnsi="Arial"/>
                <w:b/>
                <w:bCs/>
                <w:i w:val="false"/>
                <w:iCs w:val="false"/>
                <w:color w:val="0D1B2A"/>
                <w:sz w:val="38"/>
                <w:szCs w:val="38"/>
              </w:rPr>
              <w:t xml:space="preserve">Cyber Security Training Programme</w:t>
            </w:r>
          </w:p>
          <w:p>
            <w:pPr>
              <w:spacing w:after="80" w:before="30"/>
            </w:pPr>
            <w:r>
              <w:rPr>
                <w:rFonts w:ascii="Arial" w:cs="Arial" w:eastAsia="Arial" w:hAnsi="Arial"/>
                <w:b w:val="false"/>
                <w:bCs w:val="false"/>
                <w:i w:val="false"/>
                <w:iCs w:val="false"/>
                <w:color w:val="455A64"/>
                <w:sz w:val="17"/>
                <w:szCs w:val="17"/>
              </w:rPr>
              <w:t xml:space="preserve">CSMS Document Reference: CSMS-POA-004  ·  Stage 3 — Policy, Organisation &amp; Awareness</w:t>
            </w:r>
          </w:p>
        </w:tc>
      </w:tr>
    </w:tbl>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200"/>
        <w:gridCol w:w="1200"/>
        <w:gridCol w:w="1560"/>
        <w:gridCol w:w="2040"/>
        <w:gridCol w:w="1800"/>
      </w:tblGrid>
      <w:tr>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 Ref</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Version</w:t>
            </w:r>
          </w:p>
        </w:tc>
        <w:tc>
          <w:tcPr>
            <w:tcW w:type="dxa" w:w="12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Status</w:t>
            </w:r>
          </w:p>
        </w:tc>
        <w:tc>
          <w:tcPr>
            <w:tcW w:type="dxa" w:w="1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Issue Date</w:t>
            </w:r>
          </w:p>
        </w:tc>
        <w:tc>
          <w:tcPr>
            <w:tcW w:type="dxa" w:w="20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Document Owner</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r>
      <w:tr>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CSMS-POA-004</w:t>
            </w:r>
          </w:p>
        </w:tc>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200"/>
            <w:tcBorders>
              <w:top w:val="single" w:color="F4A261" w:sz="4"/>
              <w:left w:val="single" w:color="F4A261" w:sz="4"/>
              <w:bottom w:val="single" w:color="F4A261" w:sz="4"/>
              <w:right w:val="single" w:color="F4A261" w:sz="4"/>
            </w:tcBorders>
            <w:shd w:fill="FEF3E8"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F4A261"/>
                <w:sz w:val="19"/>
                <w:szCs w:val="19"/>
              </w:rPr>
              <w:t xml:space="preserve">DRAFT</w:t>
            </w:r>
          </w:p>
        </w:tc>
        <w:tc>
          <w:tcPr>
            <w:tcW w:type="dxa" w:w="1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c>
          <w:tcPr>
            <w:tcW w:type="dxa" w:w="20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Title]</w:t>
            </w:r>
          </w:p>
        </w:tc>
      </w:tr>
    </w:tbl>
    <w:p>
      <w:pPr>
        <w:spacing w:after="0" w:before="60"/>
      </w:pPr>
      <w:r>
        <w:rPr>
          <w:rFonts w:ascii="Arial" w:cs="Arial" w:eastAsia="Arial" w:hAnsi="Arial"/>
          <w:b w:val="false"/>
          <w:bCs w:val="false"/>
          <w:i w:val="false"/>
          <w:iCs w:val="false"/>
          <w:color w:val="1C1C2E"/>
          <w:sz w:val="20"/>
          <w:szCs w:val="20"/>
        </w:rPr>
        <w:t xml:space="preserve"/>
      </w:r>
    </w:p>
    <w:p>
      <w:pPr>
        <w:pBdr>
          <w:bottom w:val="single" w:color="F4A261"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1. Purpose</w:t>
      </w:r>
    </w:p>
    <w:p>
      <w:pPr>
        <w:spacing w:after="60" w:before="60"/>
        <w:jc w:val="left"/>
      </w:pPr>
      <w:r>
        <w:rPr>
          <w:rFonts w:ascii="Arial" w:cs="Arial" w:eastAsia="Arial" w:hAnsi="Arial"/>
          <w:b w:val="false"/>
          <w:bCs w:val="false"/>
          <w:i w:val="false"/>
          <w:iCs w:val="false"/>
          <w:color w:val="1C1C2E"/>
          <w:sz w:val="20"/>
          <w:szCs w:val="20"/>
        </w:rPr>
        <w:t xml:space="preserve">This document defines the cyber security training programme required by IEC 62443-2-1:2010 §4.3.2.4.1 (SHALL — design and implement a training programme) and §4.3.2.4.2 (SHALL — all personnel receive procedure and security training). Training is not optional — it is a SHALL requirement and a primary evidence item in any CSMS audit. A CSMS whose controls are not understood by the people who operate them provides no real risk reduction.</w:t>
      </w:r>
    </w:p>
    <w:p>
      <w:pPr>
        <w:spacing w:after="0" w:before="12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F4A26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EF3E8"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F4A261"/>
                <w:sz w:val="19"/>
                <w:szCs w:val="19"/>
              </w:rPr>
              <w:t xml:space="preserve">The OT Training Gap</w:t>
            </w:r>
          </w:p>
          <w:p>
            <w:pPr>
              <w:spacing w:after="80" w:before="0"/>
            </w:pPr>
            <w:r>
              <w:rPr>
                <w:rFonts w:ascii="Arial" w:cs="Arial" w:eastAsia="Arial" w:hAnsi="Arial"/>
                <w:b w:val="false"/>
                <w:bCs w:val="false"/>
                <w:i w:val="false"/>
                <w:iCs w:val="false"/>
                <w:color w:val="455A64"/>
                <w:sz w:val="19"/>
                <w:szCs w:val="19"/>
              </w:rPr>
              <w:t xml:space="preserve">Standard IT security awareness training is inadequate for OT environments. Operators need to understand threats specific to control systems — USB introduction risk, vendor access manipulation, social engineering targeting shift changes, and how to report anomalous system behaviour. Generic corporate training will not meet this standard.</w:t>
            </w:r>
          </w:p>
        </w:tc>
      </w:tr>
    </w:tbl>
    <w:p>
      <w:pPr>
        <w:spacing w:after="0" w:before="8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2. Programme Governance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Programme Owner</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and role — responsible for designing, delivering, and updating the programme]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Training Delivery Method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Internal delivery / External provider / Blended / eLearning platform]</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Training Platform / LMS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of learning management system or training delivery tool, if applicable]</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Training Record Custodian</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 / role responsible for maintaining completion records]</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Records Retention Period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Employment duration + 5 years minimum]</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Programme Review Frequency</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[Minimum: annually, or when: policies change, new threat type identified, incident reveals gap]</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Last Programme Review</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Next Scheduled Review</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[DD-MMM-YYYY]</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3. Audience and Role Matrix</w:t>
      </w:r>
    </w:p>
    <w:p>
      <w:pPr>
        <w:spacing w:after="60" w:before="60"/>
        <w:jc w:val="left"/>
      </w:pPr>
      <w:r>
        <w:rPr>
          <w:rFonts w:ascii="Arial" w:cs="Arial" w:eastAsia="Arial" w:hAnsi="Arial"/>
          <w:b w:val="false"/>
          <w:bCs w:val="false"/>
          <w:i w:val="false"/>
          <w:iCs w:val="false"/>
          <w:color w:val="1C1C2E"/>
          <w:sz w:val="20"/>
          <w:szCs w:val="20"/>
        </w:rPr>
        <w:t xml:space="preserve">Define the training requirements for each role group. Mark each module as Mandatory (M), Recommended (R), or Not Required (—). New personnel must complete mandatory modules before unsupervised IACS access is granted.</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100"/>
        <w:gridCol w:w="1100"/>
        <w:gridCol w:w="1100"/>
        <w:gridCol w:w="1100"/>
        <w:gridCol w:w="1100"/>
        <w:gridCol w:w="1100"/>
        <w:gridCol w:w="780"/>
      </w:tblGrid>
      <w:tr>
        <w:tc>
          <w:tcPr>
            <w:tcW w:type="dxa" w:w="20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Training Module</w:t>
            </w:r>
          </w:p>
        </w:tc>
        <w:tc>
          <w:tcPr>
            <w:tcW w:type="dxa" w:w="11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All Staff</w:t>
            </w:r>
          </w:p>
        </w:tc>
        <w:tc>
          <w:tcPr>
            <w:tcW w:type="dxa" w:w="11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Control Room Ops</w:t>
            </w:r>
          </w:p>
        </w:tc>
        <w:tc>
          <w:tcPr>
            <w:tcW w:type="dxa" w:w="11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OT Engineers</w:t>
            </w:r>
          </w:p>
        </w:tc>
        <w:tc>
          <w:tcPr>
            <w:tcW w:type="dxa" w:w="11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IT / Network</w:t>
            </w:r>
          </w:p>
        </w:tc>
        <w:tc>
          <w:tcPr>
            <w:tcW w:type="dxa" w:w="11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Mgmt</w:t>
            </w:r>
          </w:p>
        </w:tc>
        <w:tc>
          <w:tcPr>
            <w:tcW w:type="dxa" w:w="110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3rd Party Vendor</w:t>
            </w:r>
          </w:p>
        </w:tc>
        <w:tc>
          <w:tcPr>
            <w:tcW w:type="dxa" w:w="780"/>
            <w:tcBorders>
              <w:top w:val="single" w:color="F4A261" w:sz="2"/>
              <w:left w:val="single" w:color="F4A261" w:sz="2"/>
              <w:bottom w:val="single" w:color="F4A261" w:sz="2"/>
              <w:right w:val="single" w:color="F4A261" w:sz="2"/>
            </w:tcBorders>
            <w:shd w:fill="F4A261"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Duration</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IACS Cyber Security Awareness</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 hr</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CSMS Overview and Scope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2 hrs</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Removable Media and USB Policy</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30 min</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Incident Reporting Procedure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 hr</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OT-Specific Threats (phishing, vendor impersonation, HMI manipulation)</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3 hrs</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Change Management Procedure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2 hrs</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Access Control and Password Policy</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 hr</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Physical Security and Visitor Policy</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30 min</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Vendor / Third-Party Obligations</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 hr</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Management Briefing — Risk and CSMS Status</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M</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w:t>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2 hrs</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[Organisation-specific module]</w:t>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11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c>
          <w:tcPr>
            <w:tcW w:type="dxa" w:w="78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4. Training Module Specifications</w:t>
      </w:r>
    </w:p>
    <w:p>
      <w:pPr>
        <w:spacing w:after="60" w:before="60"/>
        <w:jc w:val="left"/>
      </w:pPr>
      <w:r>
        <w:rPr>
          <w:rFonts w:ascii="Arial" w:cs="Arial" w:eastAsia="Arial" w:hAnsi="Arial"/>
          <w:b w:val="false"/>
          <w:bCs w:val="false"/>
          <w:i w:val="false"/>
          <w:iCs w:val="false"/>
          <w:color w:val="1C1C2E"/>
          <w:sz w:val="20"/>
          <w:szCs w:val="20"/>
        </w:rPr>
        <w:t xml:space="preserve">Complete one row per mandatory training module. These specifications are the basis for content development, procurement, or outsourced delivery.</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1800"/>
        <w:gridCol w:w="1400"/>
        <w:gridCol w:w="1400"/>
        <w:gridCol w:w="2760"/>
      </w:tblGrid>
      <w:tr>
        <w:tc>
          <w:tcPr>
            <w:tcW w:type="dxa" w:w="20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Module Name</w:t>
            </w:r>
          </w:p>
        </w:tc>
        <w:tc>
          <w:tcPr>
            <w:tcW w:type="dxa" w:w="1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Learning Objectives</w:t>
            </w:r>
          </w:p>
        </w:tc>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Delivery Method</w:t>
            </w:r>
          </w:p>
        </w:tc>
        <w:tc>
          <w:tcPr>
            <w:tcW w:type="dxa" w:w="1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Assessment</w:t>
            </w:r>
          </w:p>
        </w:tc>
        <w:tc>
          <w:tcPr>
            <w:tcW w:type="dxa" w:w="27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Content Owner / Provider</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IACS Cyber Security Awareness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Understand cyber threats to OT. Know how to report. Understand personal responsibility.</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Classroom / eLearning</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Knowledge check quiz (pass mark 80%)</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[Internal / External provider name]</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Removable Media Policy</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Know the rule. Know the risk. Know what to do if found.</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Short video + quiz</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Scenario-based question</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[Internal]</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Incident Reporting Procedure</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Identify anomalous behaviour. Know who to call. Know not to investigate alone.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Classroom walkthrough of procedure</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Tabletop scenario</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[CSMS Programme Manager]</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OT-Specific Threats</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Social engineering in OT. USB drop attacks. Vendor impersonation. HMI alarm flooding.</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Classroom with OT examples</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Practical scenario</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Security Lead]</w:t>
            </w:r>
          </w:p>
        </w:tc>
      </w:tr>
      <w:tr>
        <w:tc>
          <w:tcPr>
            <w:tcW w:type="dxa" w:w="20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1C1C2E"/>
                <w:sz w:val="19"/>
                <w:szCs w:val="19"/>
              </w:rPr>
              <w:t xml:space="preserve">Change Management</w:t>
            </w:r>
          </w:p>
        </w:tc>
        <w:tc>
          <w:tcPr>
            <w:tcW w:type="dxa" w:w="1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When to raise an RFC. Separation of duties. What to do if a vendor wants to 'just quickly' change something.</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Procedure walkthrough</w:t>
            </w:r>
          </w:p>
        </w:tc>
        <w:tc>
          <w:tcPr>
            <w:tcW w:type="dxa" w:w="1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Signed procedure acknowledgement</w:t>
            </w:r>
          </w:p>
        </w:tc>
        <w:tc>
          <w:tcPr>
            <w:tcW w:type="dxa" w:w="27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[OT Security Lead]</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5. New Employee and Contractor Onboarding</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E76F51"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FDE8E4"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E76F51"/>
                <w:sz w:val="19"/>
                <w:szCs w:val="19"/>
              </w:rPr>
              <w:t xml:space="preserve">Pre-Access Requirement — §4.3.2.4.2</w:t>
            </w:r>
          </w:p>
          <w:p>
            <w:pPr>
              <w:spacing w:after="80" w:before="0"/>
            </w:pPr>
            <w:r>
              <w:rPr>
                <w:rFonts w:ascii="Arial" w:cs="Arial" w:eastAsia="Arial" w:hAnsi="Arial"/>
                <w:b w:val="false"/>
                <w:bCs w:val="false"/>
                <w:i w:val="false"/>
                <w:iCs w:val="false"/>
                <w:color w:val="455A64"/>
                <w:sz w:val="19"/>
                <w:szCs w:val="19"/>
              </w:rPr>
              <w:t xml:space="preserve">All personnel SHALL receive procedure and security training. For IACS-specific roles, mandatory training must be completed BEFORE unsupervised access to any in-scope IACS system is granted. Build this into your site induction and access provisioning process.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800"/>
        <w:gridCol w:w="6560"/>
      </w:tblGrid>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Mandatory pre-access modules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[List modules that must be completed before IACS access is granted — e.g. Awareness + Removable Media + Incident Reporting + Physical Security]</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Verification process</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[How is training completion verified before access is provisioned? e.g. Training completion record checked by IT/OT Security before account creation]</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Refresher frequency — all staff</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Awareness training: annually. Procedure-specific: on policy change. Scenario exercises: annually minimum.]</w:t>
            </w:r>
          </w:p>
        </w:tc>
      </w:tr>
      <w:tr>
        <w:tc>
          <w:tcPr>
            <w:tcW w:type="dxa" w:w="2800"/>
            <w:tcBorders>
              <w:top w:val="single" w:color="E8EEF4" w:sz="4"/>
              <w:left w:val="single" w:color="E8EEF4" w:sz="4"/>
              <w:bottom w:val="single" w:color="E8EEF4" w:sz="4"/>
              <w:right w:val="single" w:color="E8EEF4" w:sz="4"/>
            </w:tcBorders>
            <w:shd w:fill="F2F5F9" w:val="clear"/>
            <w:tcMar>
              <w:top w:type="dxa" w:w="80"/>
              <w:left w:type="dxa" w:w="120"/>
              <w:bottom w:type="dxa" w:w="80"/>
              <w:right w:type="dxa" w:w="120"/>
            </w:tcMar>
            <w:vAlign w:val="top"/>
          </w:tcPr>
          <w:p>
            <w:pPr>
              <w:spacing w:after="70" w:before="70"/>
            </w:pPr>
            <w:r>
              <w:rPr>
                <w:rFonts w:ascii="Arial" w:cs="Arial" w:eastAsia="Arial" w:hAnsi="Arial"/>
                <w:b/>
                <w:bCs/>
                <w:i w:val="false"/>
                <w:iCs w:val="false"/>
                <w:color w:val="0D1B2A"/>
                <w:sz w:val="19"/>
                <w:szCs w:val="19"/>
              </w:rPr>
              <w:t xml:space="preserve">Competency validation method</w:t>
            </w:r>
          </w:p>
        </w:tc>
        <w:tc>
          <w:tcPr>
            <w:tcW w:type="dxa" w:w="6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[How do you verify training is effective, not just completed? e.g. Practical scenario, supervisor observation, drill performance]</w:t>
            </w:r>
          </w:p>
        </w:tc>
      </w:tr>
    </w:tbl>
    <w:p>
      <w:pPr>
        <w:spacing w:after="0" w:before="12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6. Training Effectiveness Validation</w:t>
      </w:r>
    </w:p>
    <w:p>
      <w:pPr>
        <w:spacing w:after="60" w:before="60"/>
        <w:jc w:val="left"/>
      </w:pPr>
      <w:r>
        <w:rPr>
          <w:rFonts w:ascii="Arial" w:cs="Arial" w:eastAsia="Arial" w:hAnsi="Arial"/>
          <w:b w:val="false"/>
          <w:bCs w:val="false"/>
          <w:i w:val="false"/>
          <w:iCs w:val="false"/>
          <w:color w:val="1C1C2E"/>
          <w:sz w:val="20"/>
          <w:szCs w:val="20"/>
        </w:rPr>
        <w:t xml:space="preserve">§4.3.2.4.4 (SHOULD) requires ongoing validation that training remains effective. Record the validation approach and findings.</w:t>
      </w:r>
    </w:p>
    <w:p>
      <w:pPr>
        <w:spacing w:after="0" w:before="6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2400"/>
        <w:gridCol w:w="2560"/>
        <w:gridCol w:w="2800"/>
      </w:tblGrid>
      <w:tr>
        <w:tc>
          <w:tcPr>
            <w:tcW w:type="dxa" w:w="16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Validation Date</w:t>
            </w:r>
          </w:p>
        </w:tc>
        <w:tc>
          <w:tcPr>
            <w:tcW w:type="dxa" w:w="24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Method Used</w:t>
            </w:r>
          </w:p>
        </w:tc>
        <w:tc>
          <w:tcPr>
            <w:tcW w:type="dxa" w:w="256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Metric / Finding</w:t>
            </w:r>
          </w:p>
        </w:tc>
        <w:tc>
          <w:tcPr>
            <w:tcW w:type="dxa" w:w="280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Programme Adjustment Made</w:t>
            </w:r>
          </w:p>
        </w:tc>
      </w:tr>
      <w:tr>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[Quiz scores / Drill results / Incident reporting rate / Phishing simulation]</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'3 of 12 operators failed USB scenario — below 80% pass threshold']</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'Module redesigned with new OT-specific scenarios. Redelivered Q3.']</w:t>
            </w:r>
          </w:p>
        </w:tc>
      </w:tr>
      <w:tr>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[Quiz scores / Drill results / Incident reporting rate / Phishing simulation]</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'3 of 12 operators failed USB scenario — below 80% pass threshold']</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'Module redesigned with new OT-specific scenarios. Redelivered Q3.']</w:t>
            </w:r>
          </w:p>
        </w:tc>
      </w:tr>
      <w:tr>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[Quiz scores / Drill results / Incident reporting rate / Phishing simulation]</w:t>
            </w:r>
          </w:p>
        </w:tc>
        <w:tc>
          <w:tcPr>
            <w:tcW w:type="dxa" w:w="25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'3 of 12 operators failed USB scenario — below 80% pass threshold']</w:t>
            </w:r>
          </w:p>
        </w:tc>
        <w:tc>
          <w:tcPr>
            <w:tcW w:type="dxa" w:w="28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[e.g. 'Module redesigned with new OT-specific scenarios. Redelivered Q3.']</w:t>
            </w:r>
          </w:p>
        </w:tc>
      </w:tr>
    </w:tbl>
    <w:p>
      <w:pPr>
        <w:spacing w:after="0" w:before="200"/>
      </w:pPr>
      <w:r>
        <w:rPr>
          <w:rFonts w:ascii="Arial" w:cs="Arial" w:eastAsia="Arial" w:hAnsi="Arial"/>
          <w:b w:val="false"/>
          <w:bCs w:val="false"/>
          <w:i w:val="false"/>
          <w:iCs w:val="false"/>
          <w:color w:val="1C1C2E"/>
          <w:sz w:val="20"/>
          <w:szCs w:val="20"/>
        </w:rPr>
        <w:t xml:space="preserve"/>
      </w:r>
    </w:p>
    <w:p>
      <w:pPr>
        <w:pBdr>
          <w:bottom w:val="single" w:color="E8EEF4" w:sz="4" w:space="2"/>
        </w:pBdr>
        <w:spacing w:after="100" w:before="100"/>
      </w:pPr>
      <w:r>
        <w:rPr>
          <w:rFonts w:ascii="Arial" w:cs="Arial" w:eastAsia="Arial" w:hAnsi="Arial"/>
          <w:b w:val="false"/>
          <w:bCs w:val="false"/>
          <w:i w:val="false"/>
          <w:iCs w:val="false"/>
          <w:color w:val="1C1C2E"/>
          <w:sz w:val="20"/>
          <w:szCs w:val="20"/>
        </w:rPr>
        <w:t xml:space="preserve"/>
      </w:r>
    </w:p>
    <w:p>
      <w:pPr>
        <w:pBdr>
          <w:bottom w:val="single" w:color="F4A261" w:sz="6" w:space="4"/>
        </w:pBdr>
        <w:spacing w:after="100" w:before="280"/>
      </w:pPr>
      <w:r>
        <w:rPr>
          <w:rFonts w:ascii="Arial" w:cs="Arial" w:eastAsia="Arial" w:hAnsi="Arial"/>
          <w:b/>
          <w:bCs/>
          <w:i w:val="false"/>
          <w:iCs w:val="false"/>
          <w:color w:val="F4A261"/>
          <w:sz w:val="26"/>
          <w:szCs w:val="26"/>
        </w:rPr>
        <w:t xml:space="preserve">Document Review and Approval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Prepared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Reviewed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Approved By</w:t>
            </w:r>
          </w:p>
        </w:tc>
        <w:tc>
          <w:tcPr>
            <w:tcW w:type="dxa" w:w="2340"/>
            <w:tcBorders>
              <w:top w:val="single" w:color="0D1B2A" w:sz="2"/>
              <w:left w:val="single" w:color="0D1B2A" w:sz="2"/>
              <w:bottom w:val="single" w:color="0D1B2A" w:sz="2"/>
              <w:right w:val="single" w:color="0D1B2A" w:sz="2"/>
            </w:tcBorders>
            <w:shd w:fill="0D1B2A"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Next Review</w:t>
            </w:r>
          </w:p>
        </w:tc>
      </w:tr>
      <w:tr>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[Name]
[Title]
[Signature]
[Date]</w:t>
            </w:r>
          </w:p>
        </w:tc>
        <w:tc>
          <w:tcPr>
            <w:tcW w:type="dxa" w:w="234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60" w:before="60"/>
              <w:jc w:val="left"/>
            </w:pPr>
            <w:r>
              <w:rPr>
                <w:rFonts w:ascii="Arial" w:cs="Arial" w:eastAsia="Arial" w:hAnsi="Arial"/>
                <w:b w:val="false"/>
                <w:bCs w:val="false"/>
                <w:i w:val="false"/>
                <w:iCs w:val="false"/>
                <w:color w:val="1C1C2E"/>
                <w:sz w:val="20"/>
                <w:szCs w:val="20"/>
              </w:rPr>
              <w:t xml:space="preserve">[Date — minimum annual]</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0A896" w:val="clear"/>
            <w:tcMar>
              <w:top w:type="dxa" w:w="80"/>
              <w:left w:type="dxa" w:w="120"/>
              <w:bottom w:type="dxa" w:w="80"/>
              <w:right w:type="dxa" w:w="120"/>
            </w:tcMar>
            <w:vAlign w:val="top"/>
          </w:tcPr>
          <w:p>
            <w:pPr>
              <w:spacing w:after="0" w:before="0"/>
            </w:pPr>
            <w:r>
              <w:rPr>
                <w:rFonts w:ascii="Arial" w:cs="Arial" w:eastAsia="Arial" w:hAnsi="Arial"/>
                <w:b w:val="false"/>
                <w:bCs w:val="false"/>
                <w:i w:val="false"/>
                <w:iCs w:val="false"/>
                <w:color w:val="1C1C2E"/>
                <w:sz w:val="20"/>
                <w:szCs w:val="20"/>
              </w:rPr>
              <w:t xml:space="preserve"/>
            </w:r>
          </w:p>
        </w:tc>
        <w:tc>
          <w:tcPr>
            <w:tcW w:type="dxa" w:w="9200"/>
            <w:tcBorders>
              <w:top w:val="none" w:color="FFFFFF" w:sz="0"/>
              <w:left w:val="none" w:color="FFFFFF" w:sz="0"/>
              <w:bottom w:val="none" w:color="FFFFFF" w:sz="0"/>
              <w:right w:val="none" w:color="FFFFFF" w:sz="0"/>
            </w:tcBorders>
            <w:shd w:fill="E0F7F5" w:val="clear"/>
            <w:tcMar>
              <w:top w:type="dxa" w:w="80"/>
              <w:left w:type="dxa" w:w="120"/>
              <w:bottom w:type="dxa" w:w="80"/>
              <w:right w:type="dxa" w:w="120"/>
            </w:tcMar>
            <w:vAlign w:val="top"/>
          </w:tcPr>
          <w:p>
            <w:pPr>
              <w:spacing w:after="40" w:before="80"/>
            </w:pPr>
            <w:r>
              <w:rPr>
                <w:rFonts w:ascii="Arial" w:cs="Arial" w:eastAsia="Arial" w:hAnsi="Arial"/>
                <w:b/>
                <w:bCs/>
                <w:i w:val="false"/>
                <w:iCs w:val="false"/>
                <w:color w:val="00A896"/>
                <w:sz w:val="19"/>
                <w:szCs w:val="19"/>
              </w:rPr>
              <w:t xml:space="preserve">Version Control</w:t>
            </w:r>
          </w:p>
          <w:p>
            <w:pPr>
              <w:spacing w:after="80" w:before="0"/>
            </w:pPr>
            <w:r>
              <w:rPr>
                <w:rFonts w:ascii="Arial" w:cs="Arial" w:eastAsia="Arial" w:hAnsi="Arial"/>
                <w:b w:val="false"/>
                <w:bCs w:val="false"/>
                <w:i w:val="false"/>
                <w:iCs w:val="false"/>
                <w:color w:val="455A64"/>
                <w:sz w:val="19"/>
                <w:szCs w:val="19"/>
              </w:rPr>
              <w:t xml:space="preserve">All amendments must be recorded below. No change is valid without written approval from the document owner. Superseded versions are archived and retained for a minimum of five years.</w:t>
            </w:r>
          </w:p>
        </w:tc>
      </w:tr>
    </w:tbl>
    <w:p>
      <w:pPr>
        <w:spacing w:after="0" w:before="80"/>
      </w:pPr>
      <w:r>
        <w:rPr>
          <w:rFonts w:ascii="Arial" w:cs="Arial" w:eastAsia="Arial" w:hAnsi="Arial"/>
          <w:b w:val="false"/>
          <w:bCs w:val="false"/>
          <w:i w:val="false"/>
          <w:iCs w:val="false"/>
          <w:color w:val="1C1C2E"/>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0"/>
        <w:gridCol w:w="1600"/>
        <w:gridCol w:w="2400"/>
        <w:gridCol w:w="4160"/>
      </w:tblGrid>
      <w:tr>
        <w:tc>
          <w:tcPr>
            <w:tcW w:type="dxa" w:w="12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Ver</w:t>
            </w:r>
          </w:p>
        </w:tc>
        <w:tc>
          <w:tcPr>
            <w:tcW w:type="dxa" w:w="16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Date</w:t>
            </w:r>
          </w:p>
        </w:tc>
        <w:tc>
          <w:tcPr>
            <w:tcW w:type="dxa" w:w="240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Author</w:t>
            </w:r>
          </w:p>
        </w:tc>
        <w:tc>
          <w:tcPr>
            <w:tcW w:type="dxa" w:w="4160"/>
            <w:tcBorders>
              <w:top w:val="single" w:color="455A64" w:sz="2"/>
              <w:left w:val="single" w:color="455A64" w:sz="2"/>
              <w:bottom w:val="single" w:color="455A64" w:sz="2"/>
              <w:right w:val="single" w:color="455A64" w:sz="2"/>
            </w:tcBorders>
            <w:shd w:fill="455A64" w:val="clear"/>
            <w:tcMar>
              <w:top w:type="dxa" w:w="80"/>
              <w:left w:type="dxa" w:w="120"/>
              <w:bottom w:type="dxa" w:w="80"/>
              <w:right w:type="dxa" w:w="120"/>
            </w:tcMar>
            <w:vAlign w:val="top"/>
          </w:tcPr>
          <w:p>
            <w:pPr>
              <w:spacing w:after="80" w:before="80"/>
            </w:pPr>
            <w:r>
              <w:rPr>
                <w:rFonts w:ascii="Arial" w:cs="Arial" w:eastAsia="Arial" w:hAnsi="Arial"/>
                <w:b/>
                <w:bCs/>
                <w:i w:val="false"/>
                <w:iCs w:val="false"/>
                <w:color w:val="FFFFFF"/>
                <w:sz w:val="19"/>
                <w:szCs w:val="19"/>
              </w:rPr>
              <w:t xml:space="preserve">Summary of Changes</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1.0</w:t>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[Date]</w:t>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[Name]</w:t>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b w:val="false"/>
                <w:bCs w:val="false"/>
                <w:i w:val="false"/>
                <w:iCs w:val="false"/>
                <w:color w:val="1C1C2E"/>
                <w:sz w:val="19"/>
                <w:szCs w:val="19"/>
              </w:rPr>
              <w:t xml:space="preserve">Initial issue</w:t>
            </w:r>
          </w:p>
        </w:tc>
      </w:tr>
      <w:tr>
        <w:tc>
          <w:tcPr>
            <w:tcW w:type="dxa" w:w="12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16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240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c>
          <w:tcPr>
            <w:tcW w:type="dxa" w:w="4160"/>
            <w:tcBorders>
              <w:top w:val="single" w:color="E8EEF4" w:sz="4"/>
              <w:left w:val="single" w:color="E8EEF4" w:sz="4"/>
              <w:bottom w:val="single" w:color="E8EEF4" w:sz="4"/>
              <w:right w:val="single" w:color="E8EEF4" w:sz="4"/>
            </w:tcBorders>
            <w:shd w:fill="FFFFFF" w:val="clear"/>
            <w:tcMar>
              <w:top w:type="dxa" w:w="80"/>
              <w:left w:type="dxa" w:w="120"/>
              <w:bottom w:type="dxa" w:w="80"/>
              <w:right w:type="dxa" w:w="120"/>
            </w:tcMar>
            <w:vAlign w:val="top"/>
          </w:tcPr>
          <w:p>
            <w:pPr>
              <w:spacing w:after="70" w:before="70"/>
            </w:pPr>
            <w:r>
              <w:rPr>
                <w:rFonts w:ascii="Arial" w:cs="Arial" w:eastAsia="Arial" w:hAnsi="Arial"/>
                <w:i/>
                <w:iCs/>
                <w:color w:val="B0BEC5"/>
                <w:sz w:val="20"/>
                <w:szCs w:val="20"/>
              </w:rPr>
              <w:t xml:space="preserve"/>
            </w:r>
          </w:p>
        </w:tc>
      </w:tr>
    </w:tbl>
    <w:p>
      <w:pPr>
        <w:spacing w:after="0" w:before="60"/>
      </w:pPr>
      <w:r>
        <w:rPr>
          <w:rFonts w:ascii="Arial" w:cs="Arial" w:eastAsia="Arial" w:hAnsi="Arial"/>
          <w:b w:val="false"/>
          <w:bCs w:val="false"/>
          <w:i w:val="false"/>
          <w:iCs w:val="false"/>
          <w:color w:val="1C1C2E"/>
          <w:sz w:val="20"/>
          <w:szCs w:val="20"/>
        </w:rPr>
        <w:t xml:space="preserve"/>
      </w:r>
    </w:p>
    <w:p>
      <w:pPr>
        <w:spacing w:after="40" w:before="80"/>
        <w:jc w:val="left"/>
      </w:pPr>
      <w:r>
        <w:rPr>
          <w:rFonts w:ascii="Arial" w:cs="Arial" w:eastAsia="Arial" w:hAnsi="Arial"/>
          <w:b w:val="false"/>
          <w:bCs w:val="false"/>
          <w:i w:val="false"/>
          <w:iCs w:val="false"/>
          <w:color w:val="B0BEC5"/>
          <w:sz w:val="17"/>
          <w:szCs w:val="17"/>
        </w:rPr>
        <w:t xml:space="preserve">Document Reference: F4A261  ·  Classification: RESTRICTED  ·  © [Organisation Name]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EF4" w:sz="4" w:space="4"/>
      </w:pBdr>
      <w:tabs>
        <w:tab w:val="right" w:pos="9360"/>
      </w:tabs>
      <w:spacing w:after="0" w:before="80"/>
    </w:pPr>
    <w:r>
      <w:rPr>
        <w:rFonts w:ascii="Arial" w:cs="Arial" w:eastAsia="Arial" w:hAnsi="Arial"/>
        <w:b w:val="false"/>
        <w:bCs w:val="false"/>
        <w:i w:val="false"/>
        <w:iCs w:val="false"/>
        <w:color w:val="B0BEC5"/>
        <w:sz w:val="16"/>
        <w:szCs w:val="16"/>
      </w:rPr>
      <w:t xml:space="preserve">Cyber Security Training Programme</w:t>
    </w:r>
    <w:r>
      <w:rPr>
        <w:rFonts w:ascii="Arial" w:cs="Arial" w:eastAsia="Arial" w:hAnsi="Arial"/>
        <w:sz w:val="16"/>
        <w:szCs w:val="16"/>
      </w:rPr>
      <w:t xml:space="preserve">	</w:t>
    </w:r>
    <w:r>
      <w:rPr>
        <w:rFonts w:ascii="Arial" w:cs="Arial" w:eastAsia="Arial" w:hAnsi="Arial"/>
        <w:b w:val="false"/>
        <w:bCs w:val="false"/>
        <w:i w:val="false"/>
        <w:iCs w:val="false"/>
        <w:color w:val="B0BEC5"/>
        <w:sz w:val="16"/>
        <w:szCs w:val="16"/>
      </w:rPr>
      <w:t xml:space="preserve">Page </w:t>
    </w:r>
    <w:r>
      <w:rPr>
        <w:rFonts w:ascii="Arial" w:cs="Arial" w:eastAsia="Arial" w:hAnsi="Arial"/>
        <w:color w:val="B0BEC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EF4" w:sz="4" w:space="4"/>
      </w:pBdr>
      <w:tabs>
        <w:tab w:val="right" w:pos="9360"/>
      </w:tabs>
      <w:spacing w:after="80" w:before="0"/>
    </w:pPr>
    <w:r>
      <w:rPr>
        <w:rFonts w:ascii="Arial" w:cs="Arial" w:eastAsia="Arial" w:hAnsi="Arial"/>
        <w:b w:val="false"/>
        <w:bCs w:val="false"/>
        <w:i w:val="false"/>
        <w:iCs w:val="false"/>
        <w:color w:val="B0BEC5"/>
        <w:sz w:val="16"/>
        <w:szCs w:val="16"/>
      </w:rPr>
      <w:t xml:space="preserve">IEC 62443-2-1:2010 CSMS  ·  CSMS-POA-004  ·  [Organisation Name]</w:t>
    </w:r>
    <w:r>
      <w:rPr>
        <w:rFonts w:ascii="Arial" w:cs="Arial" w:eastAsia="Arial" w:hAnsi="Arial"/>
        <w:sz w:val="16"/>
        <w:szCs w:val="16"/>
      </w:rPr>
      <w:t xml:space="preserve">	</w:t>
    </w:r>
    <w:r>
      <w:rPr>
        <w:rFonts w:ascii="Arial" w:cs="Arial" w:eastAsia="Arial" w:hAnsi="Arial"/>
        <w:b/>
        <w:bCs/>
        <w:i w:val="false"/>
        <w:iCs w:val="false"/>
        <w:color w:val="E76F51"/>
        <w:sz w:val="16"/>
        <w:szCs w:val="16"/>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2026-05-07T05:00:25.328Z</dcterms:created>
  <dcterms:modified xsi:type="dcterms:W3CDTF">2026-05-07T05:00:25.328Z</dcterms:modified>
</cp:coreProperties>
</file>

<file path=docProps/custom.xml><?xml version="1.0" encoding="utf-8"?>
<Properties xmlns="http://schemas.openxmlformats.org/officeDocument/2006/custom-properties" xmlns:vt="http://schemas.openxmlformats.org/officeDocument/2006/docPropsVTypes"/>
</file>