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7"/>
                <w:szCs w:val="17"/>
              </w:rPr>
              <w:t xml:space="preserve">CLASSIFICATION: RESTRICTED  |  IEC 62443-2-1:2010 CSMS DOCUMENT  |  IACS USE ONLY</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180"/>
            <w:tcBorders>
              <w:top w:val="none" w:color="FFFFFF" w:sz="0"/>
              <w:left w:val="none" w:color="FFFFFF" w:sz="0"/>
              <w:bottom w:val="none" w:color="FFFFFF" w:sz="0"/>
              <w:right w:val="none" w:color="FFFFFF" w:sz="0"/>
            </w:tcBorders>
            <w:shd w:fill="F8FAFB" w:val="clear"/>
            <w:tcMar>
              <w:top w:type="dxa" w:w="80"/>
              <w:left w:type="dxa" w:w="120"/>
              <w:bottom w:type="dxa" w:w="80"/>
              <w:right w:type="dxa" w:w="120"/>
            </w:tcMar>
            <w:vAlign w:val="top"/>
          </w:tcPr>
          <w:p>
            <w:pPr>
              <w:spacing w:after="30" w:before="80"/>
            </w:pPr>
            <w:r>
              <w:rPr>
                <w:rFonts w:ascii="Arial" w:cs="Arial" w:eastAsia="Arial" w:hAnsi="Arial"/>
                <w:b/>
                <w:bCs/>
                <w:i w:val="false"/>
                <w:iCs w:val="false"/>
                <w:color w:val="F4A261"/>
                <w:sz w:val="17"/>
                <w:szCs w:val="17"/>
              </w:rPr>
              <w:t xml:space="preserve">IEC 62443-2-1:2010  ·  §4.3.2.4.5 SHALL</w:t>
            </w:r>
          </w:p>
          <w:p>
            <w:pPr>
              <w:spacing w:after="30" w:before="30"/>
            </w:pPr>
            <w:r>
              <w:rPr>
                <w:rFonts w:ascii="Arial" w:cs="Arial" w:eastAsia="Arial" w:hAnsi="Arial"/>
                <w:b/>
                <w:bCs/>
                <w:i w:val="false"/>
                <w:iCs w:val="false"/>
                <w:color w:val="0D1B2A"/>
                <w:sz w:val="38"/>
                <w:szCs w:val="38"/>
              </w:rPr>
              <w:t xml:space="preserve">Training Programme Revision Procedure</w:t>
            </w:r>
          </w:p>
          <w:p>
            <w:pPr>
              <w:spacing w:after="80" w:before="30"/>
            </w:pPr>
            <w:r>
              <w:rPr>
                <w:rFonts w:ascii="Arial" w:cs="Arial" w:eastAsia="Arial" w:hAnsi="Arial"/>
                <w:b w:val="false"/>
                <w:bCs w:val="false"/>
                <w:i w:val="false"/>
                <w:iCs w:val="false"/>
                <w:color w:val="455A64"/>
                <w:sz w:val="17"/>
                <w:szCs w:val="17"/>
              </w:rPr>
              <w:t xml:space="preserve">CSMS Document Reference: CSMS-POA-005  ·  Stage 3 — Policy, Organisation &amp; Awareness</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200"/>
        <w:gridCol w:w="1200"/>
        <w:gridCol w:w="1560"/>
        <w:gridCol w:w="2040"/>
        <w:gridCol w:w="1800"/>
      </w:tblGrid>
      <w:tr>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Issue Date</w:t>
            </w:r>
          </w:p>
        </w:tc>
        <w:tc>
          <w:tcPr>
            <w:tcW w:type="dxa" w:w="20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Document Owner</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r>
      <w:tr>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CSMS-POA-005</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200"/>
            <w:tcBorders>
              <w:top w:val="single" w:color="F4A261" w:sz="4"/>
              <w:left w:val="single" w:color="F4A261" w:sz="4"/>
              <w:bottom w:val="single" w:color="F4A261" w:sz="4"/>
              <w:right w:val="single" w:color="F4A261" w:sz="4"/>
            </w:tcBorders>
            <w:shd w:fill="FEF3E8"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F4A261"/>
                <w:sz w:val="19"/>
                <w:szCs w:val="19"/>
              </w:rPr>
              <w:t xml:space="preserve">DRAFT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20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r>
    </w:tbl>
    <w:p>
      <w:pPr>
        <w:spacing w:after="0" w:before="60"/>
      </w:pPr>
      <w:r>
        <w:rPr>
          <w:rFonts w:ascii="Arial" w:cs="Arial" w:eastAsia="Arial" w:hAnsi="Arial"/>
          <w:b w:val="false"/>
          <w:bCs w:val="false"/>
          <w:i w:val="false"/>
          <w:iCs w:val="false"/>
          <w:color w:val="1C1C2E"/>
          <w:sz w:val="20"/>
          <w:szCs w:val="20"/>
        </w:rPr>
        <w:t xml:space="preserve"/>
      </w:r>
    </w:p>
    <w:p>
      <w:pPr>
        <w:pBdr>
          <w:bottom w:val="single" w:color="F4A261"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1. Purpose</w:t>
      </w:r>
    </w:p>
    <w:p>
      <w:pPr>
        <w:spacing w:after="60" w:before="60"/>
        <w:jc w:val="left"/>
      </w:pPr>
      <w:r>
        <w:rPr>
          <w:rFonts w:ascii="Arial" w:cs="Arial" w:eastAsia="Arial" w:hAnsi="Arial"/>
          <w:b w:val="false"/>
          <w:bCs w:val="false"/>
          <w:i w:val="false"/>
          <w:iCs w:val="false"/>
          <w:color w:val="1C1C2E"/>
          <w:sz w:val="20"/>
          <w:szCs w:val="20"/>
        </w:rPr>
        <w:t xml:space="preserve">IEC 62443-2-1:2010 §4.3.2.4.5 (SHALL) requires the cyber security training programme to be revised as required. Training that does not reflect current threats, policies, and system configurations provides false assurance. This procedure defines the triggers, process, and accountability for revising the training programme in CSMS-POA-004.</w:t>
      </w:r>
    </w:p>
    <w:p>
      <w:pPr>
        <w:spacing w:after="0" w:before="12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FEF3E8"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F4A261"/>
                <w:sz w:val="19"/>
                <w:szCs w:val="19"/>
              </w:rPr>
              <w:t xml:space="preserve">Why Revision Matters</w:t>
            </w:r>
          </w:p>
          <w:p>
            <w:pPr>
              <w:spacing w:after="80" w:before="0"/>
            </w:pPr>
            <w:r>
              <w:rPr>
                <w:rFonts w:ascii="Arial" w:cs="Arial" w:eastAsia="Arial" w:hAnsi="Arial"/>
                <w:b w:val="false"/>
                <w:bCs w:val="false"/>
                <w:i w:val="false"/>
                <w:iCs w:val="false"/>
                <w:color w:val="455A64"/>
                <w:sz w:val="19"/>
                <w:szCs w:val="19"/>
              </w:rPr>
              <w:t xml:space="preserve">An organisation's threat landscape changes. New IACS systems are added. Procedures are updated. Incidents reveal gaps. A training programme that was effective at launch can become dangerously outdated within 12–18 months. This procedure ensures training tracks reality.</w:t>
            </w:r>
          </w:p>
        </w:tc>
      </w:tr>
    </w:tbl>
    <w:p>
      <w:pPr>
        <w:spacing w:after="0" w:before="8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2. Revision Triggers</w:t>
      </w:r>
    </w:p>
    <w:p>
      <w:pPr>
        <w:spacing w:after="60" w:before="60"/>
        <w:jc w:val="left"/>
      </w:pPr>
      <w:r>
        <w:rPr>
          <w:rFonts w:ascii="Arial" w:cs="Arial" w:eastAsia="Arial" w:hAnsi="Arial"/>
          <w:b w:val="false"/>
          <w:bCs w:val="false"/>
          <w:i w:val="false"/>
          <w:iCs w:val="false"/>
          <w:color w:val="1C1C2E"/>
          <w:sz w:val="20"/>
          <w:szCs w:val="20"/>
        </w:rPr>
        <w:t xml:space="preserve">Training revision is mandatory when any of the following conditions occur. The Training Programme Owner must assess impact within 10 working days of a trigger event.</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
        <w:gridCol w:w="2400"/>
        <w:gridCol w:w="2800"/>
        <w:gridCol w:w="2000"/>
        <w:gridCol w:w="1860"/>
      </w:tblGrid>
      <w:tr>
        <w:tc>
          <w:tcPr>
            <w:tcW w:type="dxa" w:w="3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w:t>
            </w:r>
          </w:p>
        </w:tc>
        <w:tc>
          <w:tcPr>
            <w:tcW w:type="dxa" w:w="24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Trigger Event</w:t>
            </w:r>
          </w:p>
        </w:tc>
        <w:tc>
          <w:tcPr>
            <w:tcW w:type="dxa" w:w="28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Training Likely Affected</w:t>
            </w:r>
          </w:p>
        </w:tc>
        <w:tc>
          <w:tcPr>
            <w:tcW w:type="dxa" w:w="20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Assessment Owner</w:t>
            </w:r>
          </w:p>
        </w:tc>
        <w:tc>
          <w:tcPr>
            <w:tcW w:type="dxa" w:w="186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Response Time</w:t>
            </w:r>
          </w:p>
        </w:tc>
      </w:tr>
      <w:tr>
        <w:tc>
          <w:tcPr>
            <w:tcW w:type="dxa" w:w="3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T01</w:t>
            </w:r>
          </w:p>
        </w:tc>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 policy or procedure updated</w:t>
            </w:r>
          </w:p>
        </w:tc>
        <w:tc>
          <w:tcPr>
            <w:tcW w:type="dxa" w:w="2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All modules referencing that policy/procedure</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Programme Owner</w:t>
            </w:r>
          </w:p>
        </w:tc>
        <w:tc>
          <w:tcPr>
            <w:tcW w:type="dxa" w:w="18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Revise affected module(s) within 30 days of policy issue</w:t>
            </w:r>
          </w:p>
        </w:tc>
      </w:tr>
      <w:tr>
        <w:tc>
          <w:tcPr>
            <w:tcW w:type="dxa" w:w="3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T02</w:t>
            </w:r>
          </w:p>
        </w:tc>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Security incident reveals a training gap (e.g. operator did not recognise a phishing attempt, USB was introduced without authorisation)</w:t>
            </w:r>
          </w:p>
        </w:tc>
        <w:tc>
          <w:tcPr>
            <w:tcW w:type="dxa" w:w="2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Specific module relevant to the gap, plus consider adjacent modules</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Programme Owner + OT Security Lead</w:t>
            </w:r>
          </w:p>
        </w:tc>
        <w:tc>
          <w:tcPr>
            <w:tcW w:type="dxa" w:w="18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Targeted revision within 30 days. Emergency briefing to all staff within 5 days if gap is systemic</w:t>
            </w:r>
          </w:p>
        </w:tc>
      </w:tr>
      <w:tr>
        <w:tc>
          <w:tcPr>
            <w:tcW w:type="dxa" w:w="3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T03</w:t>
            </w:r>
          </w:p>
        </w:tc>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New IACS system or technology added to scope</w:t>
            </w:r>
          </w:p>
        </w:tc>
        <w:tc>
          <w:tcPr>
            <w:tcW w:type="dxa" w:w="2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OT-specific threats module; Change Management; any procedure-specific content referencing the system</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OT Security Lead + Programme Owner</w:t>
            </w:r>
          </w:p>
        </w:tc>
        <w:tc>
          <w:tcPr>
            <w:tcW w:type="dxa" w:w="18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Before the new system is commissioned</w:t>
            </w:r>
          </w:p>
        </w:tc>
      </w:tr>
      <w:tr>
        <w:tc>
          <w:tcPr>
            <w:tcW w:type="dxa" w:w="3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T04</w:t>
            </w:r>
          </w:p>
        </w:tc>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New threat intelligence relevant to this IACS type published</w:t>
            </w:r>
          </w:p>
        </w:tc>
        <w:tc>
          <w:tcPr>
            <w:tcW w:type="dxa" w:w="2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Threats module; Incident Reporting</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OT Security Lead</w:t>
            </w:r>
          </w:p>
        </w:tc>
        <w:tc>
          <w:tcPr>
            <w:tcW w:type="dxa" w:w="18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Module update within 60 days</w:t>
            </w:r>
          </w:p>
        </w:tc>
      </w:tr>
      <w:tr>
        <w:tc>
          <w:tcPr>
            <w:tcW w:type="dxa" w:w="3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T05</w:t>
            </w:r>
          </w:p>
        </w:tc>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Regulatory requirement changes training content</w:t>
            </w:r>
          </w:p>
        </w:tc>
        <w:tc>
          <w:tcPr>
            <w:tcW w:type="dxa" w:w="2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Compliance-related modules</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 Programme Manager</w:t>
            </w:r>
          </w:p>
        </w:tc>
        <w:tc>
          <w:tcPr>
            <w:tcW w:type="dxa" w:w="18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Before regulatory deadline</w:t>
            </w:r>
          </w:p>
        </w:tc>
      </w:tr>
      <w:tr>
        <w:tc>
          <w:tcPr>
            <w:tcW w:type="dxa" w:w="3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T06</w:t>
            </w:r>
          </w:p>
        </w:tc>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Training effectiveness validation fails (pass rate below threshold)</w:t>
            </w:r>
          </w:p>
        </w:tc>
        <w:tc>
          <w:tcPr>
            <w:tcW w:type="dxa" w:w="2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The failing module specifically</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Programme Owner</w:t>
            </w:r>
          </w:p>
        </w:tc>
        <w:tc>
          <w:tcPr>
            <w:tcW w:type="dxa" w:w="18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Investigation within 14 days; revised content within 30 days</w:t>
            </w:r>
          </w:p>
        </w:tc>
      </w:tr>
      <w:tr>
        <w:tc>
          <w:tcPr>
            <w:tcW w:type="dxa" w:w="3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T07</w:t>
            </w:r>
          </w:p>
        </w:tc>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Elapsed time — scheduled review</w:t>
            </w:r>
          </w:p>
        </w:tc>
        <w:tc>
          <w:tcPr>
            <w:tcW w:type="dxa" w:w="2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All modules — currency check</w:t>
            </w:r>
          </w:p>
        </w:tc>
        <w:tc>
          <w:tcPr>
            <w:tcW w:type="dxa" w:w="20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Programme Owner</w:t>
            </w:r>
          </w:p>
        </w:tc>
        <w:tc>
          <w:tcPr>
            <w:tcW w:type="dxa" w:w="18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Annual cycle — schedule 8 weeks before anniversary</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3. Revision Process</w:t>
      </w:r>
    </w:p>
    <w:p>
      <w:pPr>
        <w:spacing w:after="60" w:before="60"/>
        <w:jc w:val="left"/>
      </w:pPr>
      <w:r>
        <w:rPr>
          <w:rFonts w:ascii="Arial" w:cs="Arial" w:eastAsia="Arial" w:hAnsi="Arial"/>
          <w:b w:val="false"/>
          <w:bCs w:val="false"/>
          <w:i w:val="false"/>
          <w:iCs w:val="false"/>
          <w:color w:val="1C1C2E"/>
          <w:sz w:val="20"/>
          <w:szCs w:val="20"/>
        </w:rPr>
        <w:t xml:space="preserve">Follow this process for all triggered revisions. Document each step.</w:t>
      </w:r>
    </w:p>
    <w:p>
      <w:pPr>
        <w:spacing w:after="0" w:before="60"/>
      </w:pPr>
      <w:r>
        <w:rPr>
          <w:rFonts w:ascii="Arial" w:cs="Arial" w:eastAsia="Arial" w:hAnsi="Arial"/>
          <w:b w:val="false"/>
          <w:bCs w:val="false"/>
          <w:i w:val="false"/>
          <w:iCs w:val="false"/>
          <w:color w:val="1C1C2E"/>
          <w:sz w:val="20"/>
          <w:szCs w:val="20"/>
        </w:rPr>
        <w:t xml:space="preserve"/>
      </w:r>
    </w:p>
    <w:p>
      <w:pPr>
        <w:spacing w:after="60" w:before="160"/>
      </w:pPr>
      <w:r>
        <w:rPr>
          <w:rFonts w:ascii="Arial" w:cs="Arial" w:eastAsia="Arial" w:hAnsi="Arial"/>
          <w:b/>
          <w:bCs/>
          <w:i w:val="false"/>
          <w:iCs w:val="false"/>
          <w:color w:val="455A64"/>
          <w:sz w:val="20"/>
          <w:szCs w:val="20"/>
        </w:rPr>
        <w:t xml:space="preserve">Step 1: Trigger Assessment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5360"/>
        <w:gridCol w:w="1600"/>
      </w:tblGrid>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Action Required</w:t>
            </w:r>
          </w:p>
        </w:tc>
        <w:tc>
          <w:tcPr>
            <w:tcW w:type="dxa" w:w="5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Identify which training module(s) are affected by the trigger event. Rate the urgency (Immediate / 30 days / 60 days / Annual). Document in the Revision Log (Section 4).</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Programme Owner</w:t>
            </w:r>
          </w:p>
        </w:tc>
      </w:tr>
    </w:tbl>
    <w:p>
      <w:pPr>
        <w:spacing w:after="0" w:before="60"/>
      </w:pPr>
      <w:r>
        <w:rPr>
          <w:rFonts w:ascii="Arial" w:cs="Arial" w:eastAsia="Arial" w:hAnsi="Arial"/>
          <w:b w:val="false"/>
          <w:bCs w:val="false"/>
          <w:i w:val="false"/>
          <w:iCs w:val="false"/>
          <w:color w:val="1C1C2E"/>
          <w:sz w:val="20"/>
          <w:szCs w:val="20"/>
        </w:rPr>
        <w:t xml:space="preserve"/>
      </w:r>
    </w:p>
    <w:p>
      <w:pPr>
        <w:spacing w:after="60" w:before="160"/>
      </w:pPr>
      <w:r>
        <w:rPr>
          <w:rFonts w:ascii="Arial" w:cs="Arial" w:eastAsia="Arial" w:hAnsi="Arial"/>
          <w:b/>
          <w:bCs/>
          <w:i w:val="false"/>
          <w:iCs w:val="false"/>
          <w:color w:val="455A64"/>
          <w:sz w:val="20"/>
          <w:szCs w:val="20"/>
        </w:rPr>
        <w:t xml:space="preserve">Step 2: Content Review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5360"/>
        <w:gridCol w:w="1600"/>
      </w:tblGrid>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Action Required</w:t>
            </w:r>
          </w:p>
        </w:tc>
        <w:tc>
          <w:tcPr>
            <w:tcW w:type="dxa" w:w="5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Review the affected module(s) against the trigger. Identify specific content to be added, removed, or updated. Consult OT Security Lead for technical content. Consult Legal for regulatory content.</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Programme Owner + subject matter expert</w:t>
            </w:r>
          </w:p>
        </w:tc>
      </w:tr>
    </w:tbl>
    <w:p>
      <w:pPr>
        <w:spacing w:after="0" w:before="60"/>
      </w:pPr>
      <w:r>
        <w:rPr>
          <w:rFonts w:ascii="Arial" w:cs="Arial" w:eastAsia="Arial" w:hAnsi="Arial"/>
          <w:b w:val="false"/>
          <w:bCs w:val="false"/>
          <w:i w:val="false"/>
          <w:iCs w:val="false"/>
          <w:color w:val="1C1C2E"/>
          <w:sz w:val="20"/>
          <w:szCs w:val="20"/>
        </w:rPr>
        <w:t xml:space="preserve"/>
      </w:r>
    </w:p>
    <w:p>
      <w:pPr>
        <w:spacing w:after="60" w:before="160"/>
      </w:pPr>
      <w:r>
        <w:rPr>
          <w:rFonts w:ascii="Arial" w:cs="Arial" w:eastAsia="Arial" w:hAnsi="Arial"/>
          <w:b/>
          <w:bCs/>
          <w:i w:val="false"/>
          <w:iCs w:val="false"/>
          <w:color w:val="455A64"/>
          <w:sz w:val="20"/>
          <w:szCs w:val="20"/>
        </w:rPr>
        <w:t xml:space="preserve">Step 3: Content Development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5360"/>
        <w:gridCol w:w="1600"/>
      </w:tblGrid>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Action Required</w:t>
            </w:r>
          </w:p>
        </w:tc>
        <w:tc>
          <w:tcPr>
            <w:tcW w:type="dxa" w:w="5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Develop revised content. Where external delivery is used, brief the provider. Include: updated examples, current threat scenarios, and any new policy references. Review for OT relevance.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Programme Owner</w:t>
            </w:r>
          </w:p>
        </w:tc>
      </w:tr>
    </w:tbl>
    <w:p>
      <w:pPr>
        <w:spacing w:after="0" w:before="60"/>
      </w:pPr>
      <w:r>
        <w:rPr>
          <w:rFonts w:ascii="Arial" w:cs="Arial" w:eastAsia="Arial" w:hAnsi="Arial"/>
          <w:b w:val="false"/>
          <w:bCs w:val="false"/>
          <w:i w:val="false"/>
          <w:iCs w:val="false"/>
          <w:color w:val="1C1C2E"/>
          <w:sz w:val="20"/>
          <w:szCs w:val="20"/>
        </w:rPr>
        <w:t xml:space="preserve"/>
      </w:r>
    </w:p>
    <w:p>
      <w:pPr>
        <w:spacing w:after="60" w:before="160"/>
      </w:pPr>
      <w:r>
        <w:rPr>
          <w:rFonts w:ascii="Arial" w:cs="Arial" w:eastAsia="Arial" w:hAnsi="Arial"/>
          <w:b/>
          <w:bCs/>
          <w:i w:val="false"/>
          <w:iCs w:val="false"/>
          <w:color w:val="455A64"/>
          <w:sz w:val="20"/>
          <w:szCs w:val="20"/>
        </w:rPr>
        <w:t xml:space="preserve">Step 4: Review and Approval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5360"/>
        <w:gridCol w:w="1600"/>
      </w:tblGrid>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Action Required</w:t>
            </w:r>
          </w:p>
        </w:tc>
        <w:tc>
          <w:tcPr>
            <w:tcW w:type="dxa" w:w="5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Submit revised content for review by CSMS Programme Manager. Approve by document owner. For major revisions (new module or &gt;50% content change), CSMS Steering Committee endorsement.</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 Programme Manager</w:t>
            </w:r>
          </w:p>
        </w:tc>
      </w:tr>
    </w:tbl>
    <w:p>
      <w:pPr>
        <w:spacing w:after="0" w:before="60"/>
      </w:pPr>
      <w:r>
        <w:rPr>
          <w:rFonts w:ascii="Arial" w:cs="Arial" w:eastAsia="Arial" w:hAnsi="Arial"/>
          <w:b w:val="false"/>
          <w:bCs w:val="false"/>
          <w:i w:val="false"/>
          <w:iCs w:val="false"/>
          <w:color w:val="1C1C2E"/>
          <w:sz w:val="20"/>
          <w:szCs w:val="20"/>
        </w:rPr>
        <w:t xml:space="preserve"/>
      </w:r>
    </w:p>
    <w:p>
      <w:pPr>
        <w:spacing w:after="60" w:before="160"/>
      </w:pPr>
      <w:r>
        <w:rPr>
          <w:rFonts w:ascii="Arial" w:cs="Arial" w:eastAsia="Arial" w:hAnsi="Arial"/>
          <w:b/>
          <w:bCs/>
          <w:i w:val="false"/>
          <w:iCs w:val="false"/>
          <w:color w:val="455A64"/>
          <w:sz w:val="20"/>
          <w:szCs w:val="20"/>
        </w:rPr>
        <w:t xml:space="preserve">Step 5: Distribution and Redelivery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5360"/>
        <w:gridCol w:w="1600"/>
      </w:tblGrid>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Action Required</w:t>
            </w:r>
          </w:p>
        </w:tc>
        <w:tc>
          <w:tcPr>
            <w:tcW w:type="dxa" w:w="5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Issue revised module to all affected audience groups. For mandatory updates, set a completion deadline. Update the training matrix in CSMS-POA-004. Issue communication to all affected staff.</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Programme Owner</w:t>
            </w:r>
          </w:p>
        </w:tc>
      </w:tr>
    </w:tbl>
    <w:p>
      <w:pPr>
        <w:spacing w:after="0" w:before="60"/>
      </w:pPr>
      <w:r>
        <w:rPr>
          <w:rFonts w:ascii="Arial" w:cs="Arial" w:eastAsia="Arial" w:hAnsi="Arial"/>
          <w:b w:val="false"/>
          <w:bCs w:val="false"/>
          <w:i w:val="false"/>
          <w:iCs w:val="false"/>
          <w:color w:val="1C1C2E"/>
          <w:sz w:val="20"/>
          <w:szCs w:val="20"/>
        </w:rPr>
        <w:t xml:space="preserve"/>
      </w:r>
    </w:p>
    <w:p>
      <w:pPr>
        <w:spacing w:after="60" w:before="160"/>
      </w:pPr>
      <w:r>
        <w:rPr>
          <w:rFonts w:ascii="Arial" w:cs="Arial" w:eastAsia="Arial" w:hAnsi="Arial"/>
          <w:b/>
          <w:bCs/>
          <w:i w:val="false"/>
          <w:iCs w:val="false"/>
          <w:color w:val="455A64"/>
          <w:sz w:val="20"/>
          <w:szCs w:val="20"/>
        </w:rPr>
        <w:t xml:space="preserve">Step 6: Record Update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5360"/>
        <w:gridCol w:w="1600"/>
      </w:tblGrid>
      <w:tr>
        <w:tc>
          <w:tcPr>
            <w:tcW w:type="dxa" w:w="24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Action Required</w:t>
            </w:r>
          </w:p>
        </w:tc>
        <w:tc>
          <w:tcPr>
            <w:tcW w:type="dxa" w:w="53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Update training completion records in CSMS-POA-006 to reflect redelivery. Archive the previous version of the module. Record revision in Section 4 of this document.</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Programme Owner</w:t>
            </w:r>
          </w:p>
        </w:tc>
      </w:tr>
    </w:tbl>
    <w:p>
      <w:pPr>
        <w:spacing w:after="0" w:before="60"/>
      </w:pPr>
      <w:r>
        <w:rPr>
          <w:rFonts w:ascii="Arial" w:cs="Arial" w:eastAsia="Arial" w:hAnsi="Arial"/>
          <w:b w:val="false"/>
          <w:bCs w:val="false"/>
          <w:i w:val="false"/>
          <w:iCs w:val="false"/>
          <w:color w:val="1C1C2E"/>
          <w:sz w:val="20"/>
          <w:szCs w:val="20"/>
        </w:rPr>
        <w:t xml:space="preserve"/>
      </w:r>
    </w:p>
    <w:p>
      <w:pPr>
        <w:spacing w:after="0" w:before="6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4. Training Revision Log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1200"/>
        <w:gridCol w:w="1600"/>
        <w:gridCol w:w="1800"/>
        <w:gridCol w:w="1400"/>
        <w:gridCol w:w="1200"/>
        <w:gridCol w:w="1460"/>
      </w:tblGrid>
      <w:tr>
        <w:tc>
          <w:tcPr>
            <w:tcW w:type="dxa" w:w="7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 ID</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1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Trigger Event</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Module(s) Revised</w:t>
            </w:r>
          </w:p>
        </w:tc>
        <w:tc>
          <w:tcPr>
            <w:tcW w:type="dxa" w:w="1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Summary of Change</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c>
          <w:tcPr>
            <w:tcW w:type="dxa" w:w="14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Redelivery By</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R001</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[Trigger ID from Section 2]</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[Module name]</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[Brief description of change]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4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R002</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[Trigger ID from Section 2]</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[Module name]</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[Brief description of change]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4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R003</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[Trigger ID from Section 2]</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[Module name]</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[Brief description of change]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4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7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R004</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[Trigger ID from Section 2]</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[Module name]</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[Brief description of change]</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w:t>
            </w:r>
          </w:p>
        </w:tc>
        <w:tc>
          <w:tcPr>
            <w:tcW w:type="dxa" w:w="14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bl>
    <w:p>
      <w:pPr>
        <w:spacing w:after="0" w:before="200"/>
      </w:pPr>
      <w:r>
        <w:rPr>
          <w:rFonts w:ascii="Arial" w:cs="Arial" w:eastAsia="Arial" w:hAnsi="Arial"/>
          <w:b w:val="false"/>
          <w:bCs w:val="false"/>
          <w:i w:val="false"/>
          <w:iCs w:val="false"/>
          <w:color w:val="1C1C2E"/>
          <w:sz w:val="20"/>
          <w:szCs w:val="20"/>
        </w:rPr>
        <w:t xml:space="preserve"/>
      </w:r>
    </w:p>
    <w:p>
      <w:pPr>
        <w:pBdr>
          <w:bottom w:val="single" w:color="E8EEF4"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Document Review and Approval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Prepared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Next Review</w:t>
            </w:r>
          </w:p>
        </w:tc>
      </w:tr>
      <w:tr>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[Date — minimum annual]</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Version Control</w:t>
            </w:r>
          </w:p>
          <w:p>
            <w:pPr>
              <w:spacing w:after="80" w:before="0"/>
            </w:pPr>
            <w:r>
              <w:rPr>
                <w:rFonts w:ascii="Arial" w:cs="Arial" w:eastAsia="Arial" w:hAnsi="Arial"/>
                <w:b w:val="false"/>
                <w:bCs w:val="false"/>
                <w:i w:val="false"/>
                <w:iCs w:val="false"/>
                <w:color w:val="455A64"/>
                <w:sz w:val="19"/>
                <w:szCs w:val="19"/>
              </w:rPr>
              <w:t xml:space="preserve">All amendments must be recorded below. No change is valid without written approval from the document owner. Superseded versions are archived and retained for a minimum of five years.</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600"/>
        <w:gridCol w:w="2400"/>
        <w:gridCol w:w="4160"/>
      </w:tblGrid>
      <w:tr>
        <w:tc>
          <w:tcPr>
            <w:tcW w:type="dxa" w:w="12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w:t>
            </w:r>
          </w:p>
        </w:tc>
        <w:tc>
          <w:tcPr>
            <w:tcW w:type="dxa" w:w="16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24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Author</w:t>
            </w:r>
          </w:p>
        </w:tc>
        <w:tc>
          <w:tcPr>
            <w:tcW w:type="dxa" w:w="416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Summary of Changes</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Initial issue</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bl>
    <w:p>
      <w:pPr>
        <w:spacing w:after="0" w:before="60"/>
      </w:pPr>
      <w:r>
        <w:rPr>
          <w:rFonts w:ascii="Arial" w:cs="Arial" w:eastAsia="Arial" w:hAnsi="Arial"/>
          <w:b w:val="false"/>
          <w:bCs w:val="false"/>
          <w:i w:val="false"/>
          <w:iCs w:val="false"/>
          <w:color w:val="1C1C2E"/>
          <w:sz w:val="20"/>
          <w:szCs w:val="20"/>
        </w:rPr>
        <w:t xml:space="preserve"/>
      </w:r>
    </w:p>
    <w:p>
      <w:pPr>
        <w:spacing w:after="40" w:before="80"/>
        <w:jc w:val="left"/>
      </w:pPr>
      <w:r>
        <w:rPr>
          <w:rFonts w:ascii="Arial" w:cs="Arial" w:eastAsia="Arial" w:hAnsi="Arial"/>
          <w:b w:val="false"/>
          <w:bCs w:val="false"/>
          <w:i w:val="false"/>
          <w:iCs w:val="false"/>
          <w:color w:val="B0BEC5"/>
          <w:sz w:val="17"/>
          <w:szCs w:val="17"/>
        </w:rPr>
        <w:t xml:space="preserve">Document Reference: F4A261  ·  Classification: RESTRICTED  ·  © [Organisation Name]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EF4" w:sz="4" w:space="4"/>
      </w:pBdr>
      <w:tabs>
        <w:tab w:val="right" w:pos="9360"/>
      </w:tabs>
      <w:spacing w:after="0" w:before="80"/>
    </w:pPr>
    <w:r>
      <w:rPr>
        <w:rFonts w:ascii="Arial" w:cs="Arial" w:eastAsia="Arial" w:hAnsi="Arial"/>
        <w:b w:val="false"/>
        <w:bCs w:val="false"/>
        <w:i w:val="false"/>
        <w:iCs w:val="false"/>
        <w:color w:val="B0BEC5"/>
        <w:sz w:val="16"/>
        <w:szCs w:val="16"/>
      </w:rPr>
      <w:t xml:space="preserve">Training Programme Revision Procedure</w:t>
    </w:r>
    <w:r>
      <w:rPr>
        <w:rFonts w:ascii="Arial" w:cs="Arial" w:eastAsia="Arial" w:hAnsi="Arial"/>
        <w:sz w:val="16"/>
        <w:szCs w:val="16"/>
      </w:rPr>
      <w:t xml:space="preserve">	</w:t>
    </w:r>
    <w:r>
      <w:rPr>
        <w:rFonts w:ascii="Arial" w:cs="Arial" w:eastAsia="Arial" w:hAnsi="Arial"/>
        <w:b w:val="false"/>
        <w:bCs w:val="false"/>
        <w:i w:val="false"/>
        <w:iCs w:val="false"/>
        <w:color w:val="B0BEC5"/>
        <w:sz w:val="16"/>
        <w:szCs w:val="16"/>
      </w:rPr>
      <w:t xml:space="preserve">Page </w:t>
    </w:r>
    <w:r>
      <w:rPr>
        <w:rFonts w:ascii="Arial" w:cs="Arial" w:eastAsia="Arial" w:hAnsi="Arial"/>
        <w:color w:val="B0BEC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EF4" w:sz="4" w:space="4"/>
      </w:pBdr>
      <w:tabs>
        <w:tab w:val="right" w:pos="9360"/>
      </w:tabs>
      <w:spacing w:after="80" w:before="0"/>
    </w:pPr>
    <w:r>
      <w:rPr>
        <w:rFonts w:ascii="Arial" w:cs="Arial" w:eastAsia="Arial" w:hAnsi="Arial"/>
        <w:b w:val="false"/>
        <w:bCs w:val="false"/>
        <w:i w:val="false"/>
        <w:iCs w:val="false"/>
        <w:color w:val="B0BEC5"/>
        <w:sz w:val="16"/>
        <w:szCs w:val="16"/>
      </w:rPr>
      <w:t xml:space="preserve">IEC 62443-2-1:2010 CSMS  ·  CSMS-POA-005  ·  [Organisation Name]</w:t>
    </w:r>
    <w:r>
      <w:rPr>
        <w:rFonts w:ascii="Arial" w:cs="Arial" w:eastAsia="Arial" w:hAnsi="Arial"/>
        <w:sz w:val="16"/>
        <w:szCs w:val="16"/>
      </w:rPr>
      <w:t xml:space="preserve">	</w:t>
    </w:r>
    <w:r>
      <w:rPr>
        <w:rFonts w:ascii="Arial" w:cs="Arial" w:eastAsia="Arial" w:hAnsi="Arial"/>
        <w:b/>
        <w:bCs/>
        <w:i w:val="false"/>
        <w:iCs w:val="false"/>
        <w:color w:val="E76F51"/>
        <w:sz w:val="16"/>
        <w:szCs w:val="16"/>
      </w:rPr>
      <w:t xml:space="preserve">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2026-05-07T05:00:25.490Z</dcterms:created>
  <dcterms:modified xsi:type="dcterms:W3CDTF">2026-05-07T05:00:25.490Z</dcterms:modified>
</cp:coreProperties>
</file>

<file path=docProps/custom.xml><?xml version="1.0" encoding="utf-8"?>
<Properties xmlns="http://schemas.openxmlformats.org/officeDocument/2006/custom-properties" xmlns:vt="http://schemas.openxmlformats.org/officeDocument/2006/docPropsVTypes"/>
</file>