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§4.3.2.5.6 SHALL</w:t>
            </w:r>
          </w:p>
          <w:p>
            <w:pPr>
              <w:spacing w:after="30" w:before="30"/>
            </w:pPr>
            <w:r>
              <w:rPr>
                <w:rFonts w:ascii="Arial" w:cs="Arial" w:eastAsia="Arial" w:hAnsi="Arial"/>
                <w:b/>
                <w:bCs/>
                <w:i w:val="false"/>
                <w:iCs w:val="false"/>
                <w:color w:val="0D1B2A"/>
                <w:sz w:val="38"/>
                <w:szCs w:val="38"/>
              </w:rPr>
              <w:t xml:space="preserve">IACS Backup and Restore Procedures</w:t>
            </w:r>
          </w:p>
          <w:p>
            <w:pPr>
              <w:spacing w:after="80" w:before="30"/>
            </w:pPr>
            <w:r>
              <w:rPr>
                <w:rFonts w:ascii="Arial" w:cs="Arial" w:eastAsia="Arial" w:hAnsi="Arial"/>
                <w:b w:val="false"/>
                <w:bCs w:val="false"/>
                <w:i w:val="false"/>
                <w:iCs w:val="false"/>
                <w:color w:val="455A64"/>
                <w:sz w:val="17"/>
                <w:szCs w:val="17"/>
              </w:rPr>
              <w:t xml:space="preserve">CSMS Document Reference: CSMS-POA-008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CSMS-POA-008</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defines the backup and restore procedures for all IACS systems in scope in accordance with IEC 62443-2-1:2010 §4.3.2.5.6 (SHALL). It specifies what must be backed up, how often, where it is stored, how it is protected, and the step-by-step process for restoration. Regular, tested backups are the most reliable recovery mechanism for a cyber incident affecting IACS availability.</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OT Backup is Not IT Backup</w:t>
            </w:r>
          </w:p>
          <w:p>
            <w:pPr>
              <w:spacing w:after="80" w:before="0"/>
            </w:pPr>
            <w:r>
              <w:rPr>
                <w:rFonts w:ascii="Arial" w:cs="Arial" w:eastAsia="Arial" w:hAnsi="Arial"/>
                <w:b w:val="false"/>
                <w:bCs w:val="false"/>
                <w:i w:val="false"/>
                <w:iCs w:val="false"/>
                <w:color w:val="455A64"/>
                <w:sz w:val="19"/>
                <w:szCs w:val="19"/>
              </w:rPr>
              <w:t xml:space="preserve">IACS backup must include: PLC logic and firmware, DCS configuration databases, HMI graphics and setpoint values, SIS cause-and-effect matrices, historian configuration, and network device configurations. These are not captured by standard IT backup tools. Backup sets must be validated by a qualified control system engineer — not just a file-size check.</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Backup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Procedure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Backup Custodian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executing and verifying backups]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Backup Verification Officer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independently verifies backup completeness and integrity (separation of duties)]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Primary Backup Storage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[Location — must be physically separate from the IACS being backed up]</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Secondary Backup Storage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[Offsite or offline location — protection against site-level disaster or ransomware]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Backup Classification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RESTRICTED — backup sets contain full system configurations and are as sensitive as the systems themselves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Media Protection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Encrypted at rest / Physically locked / Access controlled — specify]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Media Rotation Policy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3-2-1 rule: 3 copies, 2 media types, 1 offsite]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Backup Schedule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800"/>
        <w:gridCol w:w="1200"/>
        <w:gridCol w:w="1600"/>
        <w:gridCol w:w="1200"/>
        <w:gridCol w:w="1560"/>
      </w:tblGrid>
      <w:tr>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IACS System</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Backup Type</w:t>
            </w:r>
          </w:p>
        </w:tc>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Frequency</w:t>
            </w:r>
          </w:p>
        </w:tc>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Retention Period</w:t>
            </w:r>
          </w:p>
        </w:tc>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Verified By</w:t>
            </w:r>
          </w:p>
        </w:tc>
        <w:tc>
          <w:tcPr>
            <w:tcW w:type="dxa" w:w="15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Last Verified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DCS — Full configuration</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DCS — Incremental</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PLC Logic (all units)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SIS Cause &amp; Effect Matrix</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HMI Graphics and Config</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SCADA Database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Historian Configuration</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Network Device Configs (firewall, switches)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Engineering Workstation image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[Other]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Incremental / Differential]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[Daily / Weekly / Post-change]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90 days / 1 year / Indefinite for baseline]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Backup Procedure — Step by Step</w:t>
      </w:r>
    </w:p>
    <w:p>
      <w:pPr>
        <w:spacing w:after="60" w:before="60"/>
        <w:jc w:val="left"/>
      </w:pPr>
      <w:r>
        <w:rPr>
          <w:rFonts w:ascii="Arial" w:cs="Arial" w:eastAsia="Arial" w:hAnsi="Arial"/>
          <w:b w:val="false"/>
          <w:bCs w:val="false"/>
          <w:i w:val="false"/>
          <w:iCs w:val="false"/>
          <w:color w:val="1C1C2E"/>
          <w:sz w:val="20"/>
          <w:szCs w:val="20"/>
        </w:rPr>
        <w:t xml:space="preserve">This procedure must be followed for every scheduled backup execution. Deviations must be documented.</w:t>
      </w:r>
    </w:p>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1: Pre-Backup Verification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Before executing backup: (a) Confirm the target system is in a stable operational state. (b) Verify sufficient storage space at backup destination. (c) Confirm backup destination is accessible. (d) Notify Operations if backup process may cause any monitoring interruption.</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Engineer / Backup Custodian</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2: Execute Backup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Execute the backup using the approved tool / method for this system type. Do NOT use generic IT backup tools on IACS systems without vendor approval. Capture: all configuration databases, logic files, firmware versions, setpoint tables, historian archive, and any site-specific customisations.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Engineer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3: Verify Backup Integrity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 Confirm file count and size match previous backup (significant discrepancy = investigate). (b) Perform a test restore of a small, non-critical data set to confirm the backup is readable. (c) Confirm backup timestamp is correct. (d) For SIS: independently verify the backed-up logic against the current safety requirement specification.</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Backup Verification Officer (different person from Step 2)</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4: Label and Store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Label backup media with: System name / Backup date / Version / Operator name / Classification: RESTRICTED. Transfer to primary storage. Transfer copy to secondary/offsite storage. Update backup log in Section 6.</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Backup Custodian</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5: Dispose of Superseded Backups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When a backup set exceeds the retention period, destroy it using approved method: overwrite (digital) or physical destruction (physical media). Log disposal in Section 6. Never reuse media without confirmed sanitisation.</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Backup Custodian</w:t>
            </w:r>
          </w:p>
        </w:tc>
      </w:tr>
    </w:tbl>
    <w:p>
      <w:pPr>
        <w:spacing w:after="0" w:before="60"/>
      </w:pPr>
      <w:r>
        <w:rPr>
          <w:rFonts w:ascii="Arial" w:cs="Arial" w:eastAsia="Arial" w:hAnsi="Arial"/>
          <w:b w:val="false"/>
          <w:bCs w:val="false"/>
          <w:i w:val="false"/>
          <w:iCs w:val="false"/>
          <w:color w:val="1C1C2E"/>
          <w:sz w:val="20"/>
          <w:szCs w:val="20"/>
        </w:rPr>
        <w:t xml:space="preserve"/>
      </w:r>
    </w:p>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Restoration Procedure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Before Restoring — Critical OT Check</w:t>
            </w:r>
          </w:p>
          <w:p>
            <w:pPr>
              <w:spacing w:after="80" w:before="0"/>
            </w:pPr>
            <w:r>
              <w:rPr>
                <w:rFonts w:ascii="Arial" w:cs="Arial" w:eastAsia="Arial" w:hAnsi="Arial"/>
                <w:b w:val="false"/>
                <w:bCs w:val="false"/>
                <w:i w:val="false"/>
                <w:iCs w:val="false"/>
                <w:color w:val="455A64"/>
                <w:sz w:val="19"/>
                <w:szCs w:val="19"/>
              </w:rPr>
              <w:t xml:space="preserve">NEVER restore an IACS backup without first: (1) Confirming the backup pre-dates the incident (a backup taken AFTER infection may restore malware). (2) Obtaining written authorisation from the CSMS Programme Manager and Operations Manager. (3) Confirming the restore plan with the system vendor if applicable. (4) Coordinating with HSE — the system will be offline during restore.</w:t>
            </w:r>
          </w:p>
        </w:tc>
      </w:tr>
    </w:tbl>
    <w:p>
      <w:pPr>
        <w:spacing w:after="0" w:before="8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1: Authorisation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Obtain written authorisation: CSMS Programme Manager approval + Operations Manager approval + HSE Manager awareness. Document incident reference number and reason for restore. Select backup set — confirm it pre-dates the incident.</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2: Environment Preparation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Isolate the target system from the network before restoration begins. Prepare a clean hardware environment if hardware compromise is suspected. Confirm the restoration team has access to the backup media and all required restore tools/licences.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3: Execute Restore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Follow system-specific restore procedure. Restore in the correct sequence (operating system / firmware first, then application, then configuration, then data). Document each restore action with timestamp.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Engineer (vendor-assisted if required)</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4: Validation Testing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After restore: run all system self-tests and diagnostics. Verify all critical setpoints, interlocks, and cause-and-effect logic are correct. Conduct a witnessed functional test with Operations and Safety sign-off before returning to service.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Engineer + Operations + HSE</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5: Return to Service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Reconnect to network (if appropriate). Notify Operations that control is returned. Update incident log. Initiate a post-incident review.</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Operations Manager + OT Security Lead</w:t>
            </w:r>
          </w:p>
        </w:tc>
      </w:tr>
    </w:tbl>
    <w:p>
      <w:pPr>
        <w:spacing w:after="0" w:before="60"/>
      </w:pPr>
      <w:r>
        <w:rPr>
          <w:rFonts w:ascii="Arial" w:cs="Arial" w:eastAsia="Arial" w:hAnsi="Arial"/>
          <w:b w:val="false"/>
          <w:bCs w:val="false"/>
          <w:i w:val="false"/>
          <w:iCs w:val="false"/>
          <w:color w:val="1C1C2E"/>
          <w:sz w:val="20"/>
          <w:szCs w:val="20"/>
        </w:rPr>
        <w:t xml:space="preserve"/>
      </w:r>
    </w:p>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Backup Execution Log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800"/>
        <w:gridCol w:w="1600"/>
        <w:gridCol w:w="1200"/>
        <w:gridCol w:w="1200"/>
        <w:gridCol w:w="1160"/>
        <w:gridCol w:w="1200"/>
      </w:tblGrid>
      <w:tr>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Type</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Executed By</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Verified By</w:t>
            </w:r>
          </w:p>
        </w:tc>
        <w:tc>
          <w:tcPr>
            <w:tcW w:type="dxa" w:w="11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Result</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Storage Location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Fail]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[Location]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Fail]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[Location]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Fail]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[Location]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 Incr]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1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 / Fail]</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[Location]</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Backup and Restore Procedures</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CSMS-POA-008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2026-05-07T05:00:25.721Z</dcterms:created>
  <dcterms:modified xsi:type="dcterms:W3CDTF">2026-05-07T05:00:25.721Z</dcterms:modified>
</cp:coreProperties>
</file>

<file path=docProps/custom.xml><?xml version="1.0" encoding="utf-8"?>
<Properties xmlns="http://schemas.openxmlformats.org/officeDocument/2006/custom-properties" xmlns:vt="http://schemas.openxmlformats.org/officeDocument/2006/docPropsVTypes"/>
</file>