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§4.3.2.6.1 / §4.3.2.6.4 / §4.3.2.6.8 SHALL</w:t>
            </w:r>
          </w:p>
          <w:p>
            <w:pPr>
              <w:spacing w:after="30" w:before="30"/>
            </w:pPr>
            <w:r>
              <w:rPr>
                <w:rFonts w:ascii="Arial" w:cs="Arial" w:eastAsia="Arial" w:hAnsi="Arial"/>
                <w:b/>
                <w:bCs/>
                <w:i w:val="false"/>
                <w:iCs w:val="false"/>
                <w:color w:val="0D1B2A"/>
                <w:sz w:val="38"/>
                <w:szCs w:val="38"/>
              </w:rPr>
              <w:t xml:space="preserve">IACS Cyber Security Policy — High-Level</w:t>
            </w:r>
          </w:p>
          <w:p>
            <w:pPr>
              <w:spacing w:after="80" w:before="30"/>
            </w:pPr>
            <w:r>
              <w:rPr>
                <w:rFonts w:ascii="Arial" w:cs="Arial" w:eastAsia="Arial" w:hAnsi="Arial"/>
                <w:b w:val="false"/>
                <w:bCs w:val="false"/>
                <w:i w:val="false"/>
                <w:iCs w:val="false"/>
                <w:color w:val="455A64"/>
                <w:sz w:val="17"/>
                <w:szCs w:val="17"/>
              </w:rPr>
              <w:t xml:space="preserve">CSMS Document Reference: CSMS-POA-010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CSMS-POA-010</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This document is the high-level IACS Cyber Security Policy required by IEC 62443-2-1:2010 §4.3.2.6.1 (SHALL). It establishes the organisation's overall commitment, mandatory requirements, and governance framework for cyber security of all Industrial Automation and Control Systems within the CSMS scope. All subsequent CSMS procedures and technical controls derive their authority from this policy. It is endorsed by senior leadership and communicated to all relevant personnel.</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Policy Hierarchy</w:t>
            </w:r>
          </w:p>
          <w:p>
            <w:pPr>
              <w:spacing w:after="80" w:before="0"/>
            </w:pPr>
            <w:r>
              <w:rPr>
                <w:rFonts w:ascii="Arial" w:cs="Arial" w:eastAsia="Arial" w:hAnsi="Arial"/>
                <w:b w:val="false"/>
                <w:bCs w:val="false"/>
                <w:i w:val="false"/>
                <w:iCs w:val="false"/>
                <w:color w:val="455A64"/>
                <w:sz w:val="19"/>
                <w:szCs w:val="19"/>
              </w:rPr>
              <w:t xml:space="preserve">This is a Level 1 Policy — the apex of the CSMS policy hierarchy. It does not contain operational detail. Its purpose is to establish authority, obligation, and accountability. Detailed procedures (Level 3) are defined in separate CSMS documents referenced throughout.</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Scope and Applicability</w:t>
      </w:r>
    </w:p>
    <w:p>
      <w:pPr>
        <w:spacing w:after="60" w:before="60"/>
        <w:jc w:val="left"/>
      </w:pPr>
      <w:r>
        <w:rPr>
          <w:rFonts w:ascii="Arial" w:cs="Arial" w:eastAsia="Arial" w:hAnsi="Arial"/>
          <w:b w:val="false"/>
          <w:bCs w:val="false"/>
          <w:i w:val="false"/>
          <w:iCs w:val="false"/>
          <w:color w:val="1C1C2E"/>
          <w:sz w:val="20"/>
          <w:szCs w:val="20"/>
        </w:rPr>
        <w:t xml:space="preserve">This policy applies to:</w:t>
      </w:r>
    </w:p>
    <w:p>
      <w:pPr>
        <w:spacing w:after="0" w:before="40"/>
      </w:pPr>
      <w:r>
        <w:rPr>
          <w:rFonts w:ascii="Arial" w:cs="Arial" w:eastAsia="Arial" w:hAnsi="Arial"/>
          <w:b w:val="false"/>
          <w:bCs w:val="false"/>
          <w:i w:val="false"/>
          <w:iCs w:val="false"/>
          <w:color w:val="1C1C2E"/>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1C1C2E"/>
          <w:sz w:val="20"/>
          <w:szCs w:val="20"/>
        </w:rPr>
        <w:t xml:space="preserve">All IACS within the scope defined in CSMS-POA-001 (CSMS Scope Document)</w:t>
      </w:r>
    </w:p>
    <w:p>
      <w:pPr>
        <w:pStyle w:val="ListParagraph"/>
        <w:numPr>
          <w:ilvl w:val="0"/>
          <w:numId w:val="2"/>
        </w:numPr>
        <w:spacing w:after="40" w:before="40"/>
      </w:pPr>
      <w:r>
        <w:rPr>
          <w:rFonts w:ascii="Arial" w:cs="Arial" w:eastAsia="Arial" w:hAnsi="Arial"/>
          <w:b w:val="false"/>
          <w:bCs w:val="false"/>
          <w:i w:val="false"/>
          <w:iCs w:val="false"/>
          <w:color w:val="1C1C2E"/>
          <w:sz w:val="20"/>
          <w:szCs w:val="20"/>
        </w:rPr>
        <w:t xml:space="preserve">All employees, contractors, and third-party personnel with physical or logical access to in-scope IACS</w:t>
      </w:r>
    </w:p>
    <w:p>
      <w:pPr>
        <w:pStyle w:val="ListParagraph"/>
        <w:numPr>
          <w:ilvl w:val="0"/>
          <w:numId w:val="2"/>
        </w:numPr>
        <w:spacing w:after="40" w:before="40"/>
      </w:pPr>
      <w:r>
        <w:rPr>
          <w:rFonts w:ascii="Arial" w:cs="Arial" w:eastAsia="Arial" w:hAnsi="Arial"/>
          <w:b w:val="false"/>
          <w:bCs w:val="false"/>
          <w:i w:val="false"/>
          <w:iCs w:val="false"/>
          <w:color w:val="1C1C2E"/>
          <w:sz w:val="20"/>
          <w:szCs w:val="20"/>
        </w:rPr>
        <w:t xml:space="preserve">All vendors supplying hardware, software, or services to in-scope IACS</w:t>
      </w:r>
    </w:p>
    <w:p>
      <w:pPr>
        <w:pStyle w:val="ListParagraph"/>
        <w:numPr>
          <w:ilvl w:val="0"/>
          <w:numId w:val="2"/>
        </w:numPr>
        <w:spacing w:after="40" w:before="40"/>
      </w:pPr>
      <w:r>
        <w:rPr>
          <w:rFonts w:ascii="Arial" w:cs="Arial" w:eastAsia="Arial" w:hAnsi="Arial"/>
          <w:b w:val="false"/>
          <w:bCs w:val="false"/>
          <w:i w:val="false"/>
          <w:iCs w:val="false"/>
          <w:color w:val="1C1C2E"/>
          <w:sz w:val="20"/>
          <w:szCs w:val="20"/>
        </w:rPr>
        <w:t xml:space="preserve">All lifecycle stages of in-scope IACS: design, procurement, commissioning, operation, maintenance, and decommissioning</w:t>
      </w:r>
    </w:p>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Policy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 responsible for policy currency and distribution]</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Executive Endorsement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title of signing executive — §4.3.2.6.8 SHALL requires visible leadership endorsement]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Effective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minimum annual review]</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Policy Statements</w:t>
      </w:r>
    </w:p>
    <w:p>
      <w:pPr>
        <w:spacing w:after="60" w:before="60"/>
        <w:jc w:val="left"/>
      </w:pPr>
      <w:r>
        <w:rPr>
          <w:rFonts w:ascii="Arial" w:cs="Arial" w:eastAsia="Arial" w:hAnsi="Arial"/>
          <w:b w:val="false"/>
          <w:bCs w:val="false"/>
          <w:i w:val="false"/>
          <w:iCs w:val="false"/>
          <w:color w:val="1C1C2E"/>
          <w:sz w:val="20"/>
          <w:szCs w:val="20"/>
        </w:rPr>
        <w:t xml:space="preserve">The following statements constitute the mandatory IACS cyber security policy of this organisation. These are not guidelines — compliance is required of all persons within scope.</w:t>
      </w:r>
    </w:p>
    <w:p>
      <w:pPr>
        <w:spacing w:after="0" w:before="6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3.1 Risk Management</w:t>
      </w:r>
    </w:p>
    <w:p>
      <w:pPr>
        <w:spacing w:after="60" w:before="60"/>
        <w:jc w:val="left"/>
      </w:pPr>
      <w:r>
        <w:rPr>
          <w:rFonts w:ascii="Arial" w:cs="Arial" w:eastAsia="Arial" w:hAnsi="Arial"/>
          <w:b w:val="false"/>
          <w:bCs w:val="false"/>
          <w:i w:val="false"/>
          <w:iCs w:val="false"/>
          <w:color w:val="1C1C2E"/>
          <w:sz w:val="20"/>
          <w:szCs w:val="20"/>
        </w:rPr>
        <w:t xml:space="preserve">The organisation shall manage IACS cyber security risk systematically. A formal risk assessment, conducted using the methodology defined in CSMS-RA-001, shall be performed on all in-scope IACS, and the results shall be documented and acted upon. All risks rated HIGH or CRITICAL shall have assigned countermeasures and responsible owners. Risk shall be reviewed at minimum annually and on the occurrence of defined reassessment triggers (CSMS-RA-009).</w:t>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3.2 Access Control</w:t>
      </w:r>
    </w:p>
    <w:p>
      <w:pPr>
        <w:spacing w:after="60" w:before="60"/>
        <w:jc w:val="left"/>
      </w:pPr>
      <w:r>
        <w:rPr>
          <w:rFonts w:ascii="Arial" w:cs="Arial" w:eastAsia="Arial" w:hAnsi="Arial"/>
          <w:b w:val="false"/>
          <w:bCs w:val="false"/>
          <w:i w:val="false"/>
          <w:iCs w:val="false"/>
          <w:color w:val="1C1C2E"/>
          <w:sz w:val="20"/>
          <w:szCs w:val="20"/>
        </w:rPr>
        <w:t xml:space="preserve">Access to all IACS systems and networks shall be granted on a need-to-access basis and shall be explicitly authorised. No default, shared, or vendor passwords shall remain in use once a system enters service. All remote access to IACS shall be authorised, logged, and terminated upon completion. Accounts of departed or transferred personnel shall be removed within 24 hours of departure. Full access control requirements are defined in CSMS-CM-003 to CSMS-CM-005.</w:t>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3.3 Network Segmentation</w:t>
      </w:r>
    </w:p>
    <w:p>
      <w:pPr>
        <w:spacing w:after="60" w:before="60"/>
        <w:jc w:val="left"/>
      </w:pPr>
      <w:r>
        <w:rPr>
          <w:rFonts w:ascii="Arial" w:cs="Arial" w:eastAsia="Arial" w:hAnsi="Arial"/>
          <w:b w:val="false"/>
          <w:bCs w:val="false"/>
          <w:i w:val="false"/>
          <w:iCs w:val="false"/>
          <w:color w:val="1C1C2E"/>
          <w:sz w:val="20"/>
          <w:szCs w:val="20"/>
        </w:rPr>
        <w:t xml:space="preserve">All in-scope IACS shall be separated from corporate IT networks and the internet by approved network barrier devices configured to deny all traffic not explicitly required. Zone boundaries and permitted traffic shall be documented and reviewed annually. No wireless communication shall be permitted in control zones without explicit risk assessment approval. Network segmentation requirements are defined in CSMS-CM-002.</w:t>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3.4 Change Management</w:t>
      </w:r>
    </w:p>
    <w:p>
      <w:pPr>
        <w:spacing w:after="60" w:before="60"/>
        <w:jc w:val="left"/>
      </w:pPr>
      <w:r>
        <w:rPr>
          <w:rFonts w:ascii="Arial" w:cs="Arial" w:eastAsia="Arial" w:hAnsi="Arial"/>
          <w:b w:val="false"/>
          <w:bCs w:val="false"/>
          <w:i w:val="false"/>
          <w:iCs w:val="false"/>
          <w:color w:val="1C1C2E"/>
          <w:sz w:val="20"/>
          <w:szCs w:val="20"/>
        </w:rPr>
        <w:t xml:space="preserve">No change to in-scope IACS hardware, software, firmware, configuration, or network connectivity shall be made without following the formal change management procedure (CSMS-IM-011). Changes shall be assessed for cyber security and HSE risk by technically qualified personnel. The person who approves a change shall not be the same person who implements it. Emergency changes shall be retrospectively documented within 24 hours.</w:t>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3.5 Patch and Vulnerability Management</w:t>
      </w:r>
    </w:p>
    <w:p>
      <w:pPr>
        <w:spacing w:after="60" w:before="60"/>
        <w:jc w:val="left"/>
      </w:pPr>
      <w:r>
        <w:rPr>
          <w:rFonts w:ascii="Arial" w:cs="Arial" w:eastAsia="Arial" w:hAnsi="Arial"/>
          <w:b w:val="false"/>
          <w:bCs w:val="false"/>
          <w:i w:val="false"/>
          <w:iCs w:val="false"/>
          <w:color w:val="1C1C2E"/>
          <w:sz w:val="20"/>
          <w:szCs w:val="20"/>
        </w:rPr>
        <w:t xml:space="preserve">All critical security vulnerabilities affecting in-scope IACS shall be assessed for risk and a documented treatment decision made within 14 days of identification. Patches shall be tested in a staging environment before production deployment. No patch shall be applied to a live IACS system without an approved change request. The patch management procedure is defined in CSMS-IM-013.</w:t>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3.6 Training and Awareness</w:t>
      </w:r>
    </w:p>
    <w:p>
      <w:pPr>
        <w:spacing w:after="60" w:before="60"/>
        <w:jc w:val="left"/>
      </w:pPr>
      <w:r>
        <w:rPr>
          <w:rFonts w:ascii="Arial" w:cs="Arial" w:eastAsia="Arial" w:hAnsi="Arial"/>
          <w:b w:val="false"/>
          <w:bCs w:val="false"/>
          <w:i w:val="false"/>
          <w:iCs w:val="false"/>
          <w:color w:val="1C1C2E"/>
          <w:sz w:val="20"/>
          <w:szCs w:val="20"/>
        </w:rPr>
        <w:t xml:space="preserve">All personnel within scope — employees, contractors, and vendors — shall complete the mandatory cyber security training modules defined in CSMS-POA-004 before being granted unsupervised IACS access. Training shall be refreshed annually and updated whenever this policy or its supporting procedures change.</w:t>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3.7 Incident Reporting</w:t>
      </w:r>
    </w:p>
    <w:p>
      <w:pPr>
        <w:spacing w:after="60" w:before="60"/>
        <w:jc w:val="left"/>
      </w:pPr>
      <w:r>
        <w:rPr>
          <w:rFonts w:ascii="Arial" w:cs="Arial" w:eastAsia="Arial" w:hAnsi="Arial"/>
          <w:b w:val="false"/>
          <w:bCs w:val="false"/>
          <w:i w:val="false"/>
          <w:iCs w:val="false"/>
          <w:color w:val="1C1C2E"/>
          <w:sz w:val="20"/>
          <w:szCs w:val="20"/>
        </w:rPr>
        <w:t xml:space="preserve">All personnel are required to report any suspected or confirmed cyber security incident, near-miss, or unusual system behaviour immediately to [Name/Role/Contact — specify]. Failure to report is a policy breach. Personnel shall not attempt to investigate a suspected incident independently. The incident response procedure is defined in CSMS-IM-016 to CSMS-IM-018.</w:t>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3.8 Physical Security</w:t>
      </w:r>
    </w:p>
    <w:p>
      <w:pPr>
        <w:spacing w:after="60" w:before="60"/>
        <w:jc w:val="left"/>
      </w:pPr>
      <w:r>
        <w:rPr>
          <w:rFonts w:ascii="Arial" w:cs="Arial" w:eastAsia="Arial" w:hAnsi="Arial"/>
          <w:b w:val="false"/>
          <w:bCs w:val="false"/>
          <w:i w:val="false"/>
          <w:iCs w:val="false"/>
          <w:color w:val="1C1C2E"/>
          <w:sz w:val="20"/>
          <w:szCs w:val="20"/>
        </w:rPr>
        <w:t xml:space="preserve">Physical access to IACS equipment — control rooms, server rooms, junction boxes, and field devices — shall be restricted to authorised personnel. Visitor access shall be escorted and logged. Tailgating into secure areas is a policy breach. Removable media shall not be connected to any IACS system without prior authorisation and scanning. Physical security requirements are defined in CSMS-CM-006.</w:t>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3.9 Vendor and Third-Party Security</w:t>
      </w:r>
    </w:p>
    <w:p>
      <w:pPr>
        <w:spacing w:after="60" w:before="60"/>
        <w:jc w:val="left"/>
      </w:pPr>
      <w:r>
        <w:rPr>
          <w:rFonts w:ascii="Arial" w:cs="Arial" w:eastAsia="Arial" w:hAnsi="Arial"/>
          <w:b w:val="false"/>
          <w:bCs w:val="false"/>
          <w:i w:val="false"/>
          <w:iCs w:val="false"/>
          <w:color w:val="1C1C2E"/>
          <w:sz w:val="20"/>
          <w:szCs w:val="20"/>
        </w:rPr>
        <w:t xml:space="preserve">All third-party vendors and contractors with IACS access shall be subject to the same security requirements as employees. Vendor access shall be supervised, time-limited, and logged. Vendors shall be informed of and required to comply with this policy as a condition of contract. Vendor remote access shall be managed per CSMS-CM-005.</w:t>
      </w:r>
    </w:p>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3.10 Compliance and Consequences</w:t>
      </w:r>
    </w:p>
    <w:p>
      <w:pPr>
        <w:spacing w:after="60" w:before="60"/>
        <w:jc w:val="left"/>
      </w:pPr>
      <w:r>
        <w:rPr>
          <w:rFonts w:ascii="Arial" w:cs="Arial" w:eastAsia="Arial" w:hAnsi="Arial"/>
          <w:b w:val="false"/>
          <w:bCs w:val="false"/>
          <w:i w:val="false"/>
          <w:iCs w:val="false"/>
          <w:color w:val="1C1C2E"/>
          <w:sz w:val="20"/>
          <w:szCs w:val="20"/>
        </w:rPr>
        <w:t xml:space="preserve">Compliance with this policy and all associated CSMS procedures is mandatory. Non-compliance shall be managed through the organisation's disciplinary procedures for employees, and through contract enforcement for third parties. Deliberate breach may result in termination of employment or contract. Security audit findings shall be reported to the CSMS Steering Committee and corrective actions tracked to closure.</w:t>
      </w:r>
    </w:p>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Risk Tolerance Statement (§4.3.2.6.5 SHALL)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DE8E4"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E76F51"/>
                <w:sz w:val="19"/>
                <w:szCs w:val="19"/>
              </w:rPr>
              <w:t xml:space="preserve">Mandatory Requirement</w:t>
            </w:r>
          </w:p>
          <w:p>
            <w:pPr>
              <w:spacing w:after="80" w:before="0"/>
            </w:pPr>
            <w:r>
              <w:rPr>
                <w:rFonts w:ascii="Arial" w:cs="Arial" w:eastAsia="Arial" w:hAnsi="Arial"/>
                <w:b w:val="false"/>
                <w:bCs w:val="false"/>
                <w:i w:val="false"/>
                <w:iCs w:val="false"/>
                <w:color w:val="455A64"/>
                <w:sz w:val="19"/>
                <w:szCs w:val="19"/>
              </w:rPr>
              <w:t xml:space="preserve">§4.3.2.6.5 (SHALL) requires the organisation to determine and document its risk tolerance. This statement is the formal expression of that tolerance.</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8EEF4" w:sz="4"/>
              <w:left w:val="single" w:color="E8EEF4" w:sz="4"/>
              <w:bottom w:val="single" w:color="E8EEF4" w:sz="4"/>
              <w:right w:val="single" w:color="E8EEF4" w:sz="4"/>
            </w:tcBorders>
            <w:shd w:fill="F8FAFB"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20"/>
                <w:szCs w:val="20"/>
              </w:rPr>
              <w:t xml:space="preserve">RISK TOLERANCE STATEMENT</w:t>
            </w:r>
          </w:p>
          <w:p>
            <w:pPr>
              <w:spacing w:after="80" w:before="40"/>
            </w:pPr>
            <w:r>
              <w:rPr>
                <w:rFonts w:ascii="Arial" w:cs="Arial" w:eastAsia="Arial" w:hAnsi="Arial"/>
                <w:i/>
                <w:iCs/>
                <w:color w:val="B0BEC5"/>
                <w:sz w:val="20"/>
                <w:szCs w:val="20"/>
              </w:rPr>
              <w:t xml:space="preserve">[Complete this statement for your organisation. Example:
This organisation will not accept any IACS cyber risk that could:
(a) Result in injury or fatality to any person;
(b) Cause an unplanned production outage exceeding [X] hours;
(c) Result in a significant environmental release;
(d) Result in regulatory enforcement action.
All CRITICAL risks must have assigned countermeasures within [30] days of identification.
All HIGH risks must have assigned countermeasures within [90] days of identification.
Risks may only be formally accepted with written approval from [Name / Title].]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Executive Endorsement (§4.3.2.6.8 SHALL)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Name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Title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Signature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[Signature]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IACS Cyber Security Policy — High-Level</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CSMS-POA-010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2026-05-07T05:00:25.824Z</dcterms:created>
  <dcterms:modified xsi:type="dcterms:W3CDTF">2026-05-07T05:00:25.824Z</dcterms:modified>
</cp:coreProperties>
</file>

<file path=docProps/custom.xml><?xml version="1.0" encoding="utf-8"?>
<Properties xmlns="http://schemas.openxmlformats.org/officeDocument/2006/custom-properties" xmlns:vt="http://schemas.openxmlformats.org/officeDocument/2006/docPropsVTypes"/>
</file>