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§4.3.2.6.2 / §4.3.2.6.4 SHALL</w:t>
            </w:r>
          </w:p>
          <w:p>
            <w:pPr>
              <w:spacing w:after="30" w:before="30"/>
            </w:pPr>
            <w:r>
              <w:rPr>
                <w:rFonts w:ascii="Arial" w:cs="Arial" w:eastAsia="Arial" w:hAnsi="Arial"/>
                <w:b/>
                <w:bCs/>
                <w:i w:val="false"/>
                <w:iCs w:val="false"/>
                <w:color w:val="0D1B2A"/>
                <w:sz w:val="38"/>
                <w:szCs w:val="38"/>
              </w:rPr>
              <w:t xml:space="preserve">CSMS Procedures Register and Control Framework</w:t>
            </w:r>
          </w:p>
          <w:p>
            <w:pPr>
              <w:spacing w:after="80" w:before="30"/>
            </w:pPr>
            <w:r>
              <w:rPr>
                <w:rFonts w:ascii="Arial" w:cs="Arial" w:eastAsia="Arial" w:hAnsi="Arial"/>
                <w:b w:val="false"/>
                <w:bCs w:val="false"/>
                <w:i w:val="false"/>
                <w:iCs w:val="false"/>
                <w:color w:val="455A64"/>
                <w:sz w:val="17"/>
                <w:szCs w:val="17"/>
              </w:rPr>
              <w:t xml:space="preserve">CSMS Document Reference: CSMS-POA-011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CSMS-POA-011</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§4.3.2.6.2 (SHALL) requires the organisation to develop approved cyber security procedures derived from the high-level policies in CSMS-POA-010. This document serves as the master register and control framework for all CSMS procedures — it defines what procedures exist, their purpose, their approval status, and their relationship to the policy they implement. Each procedure listed here is a separate CSMS document.</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Policy to Procedure Traceability</w:t>
            </w:r>
          </w:p>
          <w:p>
            <w:pPr>
              <w:spacing w:after="80" w:before="0"/>
            </w:pPr>
            <w:r>
              <w:rPr>
                <w:rFonts w:ascii="Arial" w:cs="Arial" w:eastAsia="Arial" w:hAnsi="Arial"/>
                <w:b w:val="false"/>
                <w:bCs w:val="false"/>
                <w:i w:val="false"/>
                <w:iCs w:val="false"/>
                <w:color w:val="455A64"/>
                <w:sz w:val="19"/>
                <w:szCs w:val="19"/>
              </w:rPr>
              <w:t xml:space="preserve">Every operational requirement in CSMS-POA-010 must be traceable to at least one procedure that tells personnel HOW to comply. Procedures without parent policies are orphans. Policies without child procedures are aspirations. This register ensures complete coverage.</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Procedure Hierarchy and Naming Convention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600"/>
        <w:gridCol w:w="2400"/>
        <w:gridCol w:w="3560"/>
      </w:tblGrid>
      <w:tr>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Prefix</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Category</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Coverage</w:t>
            </w:r>
          </w:p>
        </w:tc>
        <w:tc>
          <w:tcPr>
            <w:tcW w:type="dxa" w:w="3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Examples</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Policy &amp; Org &amp; Awareness</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Governance, training, business continuity, high-level policy</w:t>
            </w:r>
          </w:p>
        </w:tc>
        <w:tc>
          <w:tcPr>
            <w:tcW w:type="dxa" w:w="3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CSMS-POA-010 (Policy), CSMS-POA-004 (Training)</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Countermeasures</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Technical and physical controls</w:t>
            </w:r>
          </w:p>
        </w:tc>
        <w:tc>
          <w:tcPr>
            <w:tcW w:type="dxa" w:w="3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CSMS-CM-001 (Personnel Sec), CSMS-CM-002 (Network Seg)</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CSMS-IM-</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Implementation</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Change mgmt, patch, incident response</w:t>
            </w:r>
          </w:p>
        </w:tc>
        <w:tc>
          <w:tcPr>
            <w:tcW w:type="dxa" w:w="3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CSMS-IM-011 (Change Mgmt), CSMS-IM-016 (IRP)</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Risk Analysis</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Risk and vulnerability assessment</w:t>
            </w:r>
          </w:p>
        </w:tc>
        <w:tc>
          <w:tcPr>
            <w:tcW w:type="dxa" w:w="3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CSMS-RA-008 (Risk Register)</w:t>
            </w:r>
          </w:p>
        </w:tc>
      </w:tr>
      <w:tr>
        <w:tc>
          <w:tcPr>
            <w:tcW w:type="dxa" w:w="1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CSMS-AU-</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Audit &amp; Monitoring</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Conformance, KPIs, improvement</w:t>
            </w:r>
          </w:p>
        </w:tc>
        <w:tc>
          <w:tcPr>
            <w:tcW w:type="dxa" w:w="3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CSMS-AU-001 (Audit Programme)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Procedures Register</w:t>
      </w:r>
    </w:p>
    <w:p>
      <w:pPr>
        <w:spacing w:after="60" w:before="60"/>
        <w:jc w:val="left"/>
      </w:pPr>
      <w:r>
        <w:rPr>
          <w:rFonts w:ascii="Arial" w:cs="Arial" w:eastAsia="Arial" w:hAnsi="Arial"/>
          <w:b w:val="false"/>
          <w:bCs w:val="false"/>
          <w:i w:val="false"/>
          <w:iCs w:val="false"/>
          <w:color w:val="1C1C2E"/>
          <w:sz w:val="20"/>
          <w:szCs w:val="20"/>
        </w:rPr>
        <w:t xml:space="preserve">Every approved CSMS procedure must appear in this register. This register is updated when procedures are issued, revised, or withdrawn.</w:t>
      </w:r>
    </w:p>
    <w:p>
      <w:pPr>
        <w:spacing w:after="0" w:before="6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3.1 Risk Analysis Procedures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2400"/>
        <w:gridCol w:w="1200"/>
        <w:gridCol w:w="1000"/>
        <w:gridCol w:w="1400"/>
        <w:gridCol w:w="1560"/>
        <w:gridCol w:w="1200"/>
      </w:tblGrid>
      <w:tr>
        <w:tc>
          <w:tcPr>
            <w:tcW w:type="dxa" w:w="1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2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Clause</w:t>
            </w:r>
          </w:p>
        </w:tc>
        <w:tc>
          <w:tcPr>
            <w:tcW w:type="dxa" w:w="1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4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Owner</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Due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Methodology Selection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§4.2.3.1</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CSMS-RA-002</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IACS Asset Inventory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§4.2.3.4</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CSMS-RA-003</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Network Diagrams Register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§4.2.3.5</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CSMS-RA-004</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System Prioritisation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§4.2.3.6</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CSMS-RA-005</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High-Level Risk Assessment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CSMS-RA-006</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Detailed Vulnerability Assessment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§4.2.3.7</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CSMS-RA-007</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Detailed Risk Assessment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§4.2.3.9</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CSMS-RA-008</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Risk Register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§4.2.3.13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CSMS-RA-009</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Reassessment Trigger Register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§4.2.3.10</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CSMS-RA-010</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Vulnerability Assessment Records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§4.2.3.13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bl>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3.2 Policy, Organisation &amp; Awareness Procedures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2400"/>
        <w:gridCol w:w="1200"/>
        <w:gridCol w:w="1000"/>
        <w:gridCol w:w="1400"/>
        <w:gridCol w:w="1560"/>
        <w:gridCol w:w="1200"/>
      </w:tblGrid>
      <w:tr>
        <w:tc>
          <w:tcPr>
            <w:tcW w:type="dxa" w:w="1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2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Clause</w:t>
            </w:r>
          </w:p>
        </w:tc>
        <w:tc>
          <w:tcPr>
            <w:tcW w:type="dxa" w:w="1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Owner</w:t>
            </w:r>
          </w:p>
        </w:tc>
        <w:tc>
          <w:tcPr>
            <w:tcW w:type="dxa" w:w="12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Due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 Scope Document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§4.3.2.2</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CSMS-POA-002</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Management Commitment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§4.3.2.3.1</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CSMS-POA-003</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Org &amp; Responsibilities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§4.3.2.3.2-3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CSMS-POA-004</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Training Programme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§4.3.2.4.1</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CSMS-POA-005</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Training Revision Procedure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§4.3.2.4.5</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CSMS-POA-006</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Training Completion Records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§4.3.2.4.6</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CSMS-POA-007</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Business Continuity Plan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§4.3.2.5.3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CSMS-POA-008</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Backup &amp; Restore Procedures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§4.3.2.5.6</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CSMS-POA-009</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BCP Test Records</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§4.3.2.5.7</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CSMS-POA-010</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High-Level Policy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§4.3.2.6.1</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CSMS-POA-011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Procedures Register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§4.3.2.6.2</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CSMS-POA-012</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Risk Tolerance Statement</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§4.3.2.6.5</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CSMS-POA-013</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Policy Communication Record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§4.3.2.6.6</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400"/>
            <w:tcBorders>
              <w:top w:val="single" w:color="E8EEF4" w:sz="4"/>
              <w:left w:val="single" w:color="E8EEF4" w:sz="4"/>
              <w:bottom w:val="single" w:color="E8EEF4" w:sz="4"/>
              <w:right w:val="single" w:color="E8EEF4" w:sz="4"/>
            </w:tcBorders>
            <w:shd w:fill="EAF9F2"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Active</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r>
    </w:tbl>
    <w:p>
      <w:pPr>
        <w:spacing w:after="0" w:before="80"/>
      </w:pPr>
      <w:r>
        <w:rPr>
          <w:rFonts w:ascii="Arial" w:cs="Arial" w:eastAsia="Arial" w:hAnsi="Arial"/>
          <w:b w:val="false"/>
          <w:bCs w:val="false"/>
          <w:i w:val="false"/>
          <w:iCs w:val="false"/>
          <w:color w:val="1C1C2E"/>
          <w:sz w:val="20"/>
          <w:szCs w:val="20"/>
        </w:rPr>
        <w:t xml:space="preserve"/>
      </w:r>
    </w:p>
    <w:p>
      <w:pPr>
        <w:spacing w:after="80" w:before="220"/>
      </w:pPr>
      <w:r>
        <w:rPr>
          <w:rFonts w:ascii="Arial" w:cs="Arial" w:eastAsia="Arial" w:hAnsi="Arial"/>
          <w:b/>
          <w:bCs/>
          <w:i w:val="false"/>
          <w:iCs w:val="false"/>
          <w:color w:val="F4A261"/>
          <w:sz w:val="22"/>
          <w:szCs w:val="22"/>
        </w:rPr>
        <w:t xml:space="preserve">3.3 Countermeasure Procedures (to be developed)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2400"/>
        <w:gridCol w:w="1200"/>
        <w:gridCol w:w="1000"/>
        <w:gridCol w:w="1400"/>
        <w:gridCol w:w="1560"/>
        <w:gridCol w:w="1200"/>
      </w:tblGrid>
      <w:tr>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Clause</w:t>
            </w:r>
          </w:p>
        </w:tc>
        <w:tc>
          <w:tcPr>
            <w:tcW w:type="dxa" w:w="1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Owner</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Target Date</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Personnel Security Policy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§4.3.3.2</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CSMS-CM-002</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Physical Security Policy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§4.3.3.3</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CSMS-CM-003</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Network Segmentation Architecture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§4.3.3.4</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CSMS-CM-004</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Account Administration Procedure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§4.3.3.5</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CSMS-CM-005</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Authentication &amp; Remote Access Policy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§4.3.3.6</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1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CSMS-CM-006</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Authorization Policy</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§4.3.3.7</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[ver]</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[Draft / Active / Planned]</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[Owner]</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Procedure Control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Who can approve new procedures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CSMS Programme Manager for standard procedures; CSMS Steering Committee for policy-level documents]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Who can approve procedure revisions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[Same as above — or document owner for minor corrections, Programme Manager for substantive changes]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Minimum review frequency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for all active procedures, or when triggered by policy change, incident, or audit finding]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Procedure withdrawal process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[Describe how procedures are retired — e.g. superseded by updated version, functionality absorbed into another document, system decommissioned]</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Compliance requirement statement</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[§4.3.2.6.4 SHALL: all procedures must include a statement that compliance is required. Confirm all listed procedures include this.]</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CSMS Procedures Register and Control Framework</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CSMS-POA-011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2026-05-07T05:00:25.872Z</dcterms:created>
  <dcterms:modified xsi:type="dcterms:W3CDTF">2026-05-07T05:00:25.872Z</dcterms:modified>
</cp:coreProperties>
</file>

<file path=docProps/custom.xml><?xml version="1.0" encoding="utf-8"?>
<Properties xmlns="http://schemas.openxmlformats.org/officeDocument/2006/custom-properties" xmlns:vt="http://schemas.openxmlformats.org/officeDocument/2006/docPropsVTypes"/>
</file>