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76F51" w:val="clear"/>
            <w:tcMar>
              <w:top w:type="dxa" w:w="80"/>
              <w:left w:type="dxa" w:w="120"/>
              <w:bottom w:type="dxa" w:w="80"/>
              <w:right w:type="dxa" w:w="120"/>
            </w:tcMar>
            <w:vAlign w:val="top"/>
          </w:tcPr>
          <w:p>
            <w:pPr>
              <w:spacing w:after="60" w:before="60"/>
              <w:jc w:val="center"/>
            </w:pPr>
            <w:r>
              <w:rPr>
                <w:rFonts w:ascii="Arial" w:cs="Arial" w:eastAsia="Arial" w:hAnsi="Arial"/>
                <w:b/>
                <w:bCs/>
                <w:i w:val="false"/>
                <w:iCs w:val="false"/>
                <w:color w:val="FFFFFF"/>
                <w:sz w:val="17"/>
                <w:szCs w:val="17"/>
              </w:rPr>
              <w:t xml:space="preserve">CLASSIFICATION: RESTRICTED  |  IEC 62443-2-1:2010 CSMS DOCUMENT  |  IACS USE ONLY</w:t>
            </w:r>
          </w:p>
        </w:tc>
      </w:tr>
    </w:tbl>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F4A261"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180"/>
            <w:tcBorders>
              <w:top w:val="none" w:color="FFFFFF" w:sz="0"/>
              <w:left w:val="none" w:color="FFFFFF" w:sz="0"/>
              <w:bottom w:val="none" w:color="FFFFFF" w:sz="0"/>
              <w:right w:val="none" w:color="FFFFFF" w:sz="0"/>
            </w:tcBorders>
            <w:shd w:fill="F8FAFB" w:val="clear"/>
            <w:tcMar>
              <w:top w:type="dxa" w:w="80"/>
              <w:left w:type="dxa" w:w="120"/>
              <w:bottom w:type="dxa" w:w="80"/>
              <w:right w:type="dxa" w:w="120"/>
            </w:tcMar>
            <w:vAlign w:val="top"/>
          </w:tcPr>
          <w:p>
            <w:pPr>
              <w:spacing w:after="30" w:before="80"/>
            </w:pPr>
            <w:r>
              <w:rPr>
                <w:rFonts w:ascii="Arial" w:cs="Arial" w:eastAsia="Arial" w:hAnsi="Arial"/>
                <w:b/>
                <w:bCs/>
                <w:i w:val="false"/>
                <w:iCs w:val="false"/>
                <w:color w:val="F4A261"/>
                <w:sz w:val="17"/>
                <w:szCs w:val="17"/>
              </w:rPr>
              <w:t xml:space="preserve">IEC 62443-2-1:2010  ·  §4.3.2.6.5 SHALL</w:t>
            </w:r>
          </w:p>
          <w:p>
            <w:pPr>
              <w:spacing w:after="30" w:before="30"/>
            </w:pPr>
            <w:r>
              <w:rPr>
                <w:rFonts w:ascii="Arial" w:cs="Arial" w:eastAsia="Arial" w:hAnsi="Arial"/>
                <w:b/>
                <w:bCs/>
                <w:i w:val="false"/>
                <w:iCs w:val="false"/>
                <w:color w:val="0D1B2A"/>
                <w:sz w:val="38"/>
                <w:szCs w:val="38"/>
              </w:rPr>
              <w:t xml:space="preserve">Risk Tolerance Statement</w:t>
            </w:r>
          </w:p>
          <w:p>
            <w:pPr>
              <w:spacing w:after="80" w:before="30"/>
            </w:pPr>
            <w:r>
              <w:rPr>
                <w:rFonts w:ascii="Arial" w:cs="Arial" w:eastAsia="Arial" w:hAnsi="Arial"/>
                <w:b w:val="false"/>
                <w:bCs w:val="false"/>
                <w:i w:val="false"/>
                <w:iCs w:val="false"/>
                <w:color w:val="455A64"/>
                <w:sz w:val="17"/>
                <w:szCs w:val="17"/>
              </w:rPr>
              <w:t xml:space="preserve">CSMS Document Reference: CSMS-POA-012  ·  Stage 3 — Policy, Organisation &amp; Awareness</w:t>
            </w:r>
          </w:p>
        </w:tc>
      </w:tr>
    </w:tbl>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1200"/>
        <w:gridCol w:w="1200"/>
        <w:gridCol w:w="1560"/>
        <w:gridCol w:w="2040"/>
        <w:gridCol w:w="1800"/>
      </w:tblGrid>
      <w:tr>
        <w:tc>
          <w:tcPr>
            <w:tcW w:type="dxa" w:w="15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Doc Ref</w:t>
            </w:r>
          </w:p>
        </w:tc>
        <w:tc>
          <w:tcPr>
            <w:tcW w:type="dxa" w:w="12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Version</w:t>
            </w:r>
          </w:p>
        </w:tc>
        <w:tc>
          <w:tcPr>
            <w:tcW w:type="dxa" w:w="12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Status</w:t>
            </w:r>
          </w:p>
        </w:tc>
        <w:tc>
          <w:tcPr>
            <w:tcW w:type="dxa" w:w="15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Issue Date</w:t>
            </w:r>
          </w:p>
        </w:tc>
        <w:tc>
          <w:tcPr>
            <w:tcW w:type="dxa" w:w="20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Document Owner</w:t>
            </w:r>
          </w:p>
        </w:tc>
        <w:tc>
          <w:tcPr>
            <w:tcW w:type="dxa" w:w="18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Approved By</w:t>
            </w:r>
          </w:p>
        </w:tc>
      </w:tr>
      <w:tr>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CSMS-POA-012</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1.0</w:t>
            </w:r>
          </w:p>
        </w:tc>
        <w:tc>
          <w:tcPr>
            <w:tcW w:type="dxa" w:w="1200"/>
            <w:tcBorders>
              <w:top w:val="single" w:color="F4A261" w:sz="4"/>
              <w:left w:val="single" w:color="F4A261" w:sz="4"/>
              <w:bottom w:val="single" w:color="F4A261" w:sz="4"/>
              <w:right w:val="single" w:color="F4A261" w:sz="4"/>
            </w:tcBorders>
            <w:shd w:fill="FEF3E8"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F4A261"/>
                <w:sz w:val="19"/>
                <w:szCs w:val="19"/>
              </w:rPr>
              <w:t xml:space="preserve">DRAFT</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c>
          <w:tcPr>
            <w:tcW w:type="dxa" w:w="20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 Title]</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 Title]</w:t>
            </w:r>
          </w:p>
        </w:tc>
      </w:tr>
    </w:tbl>
    <w:p>
      <w:pPr>
        <w:spacing w:after="0" w:before="60"/>
      </w:pPr>
      <w:r>
        <w:rPr>
          <w:rFonts w:ascii="Arial" w:cs="Arial" w:eastAsia="Arial" w:hAnsi="Arial"/>
          <w:b w:val="false"/>
          <w:bCs w:val="false"/>
          <w:i w:val="false"/>
          <w:iCs w:val="false"/>
          <w:color w:val="1C1C2E"/>
          <w:sz w:val="20"/>
          <w:szCs w:val="20"/>
        </w:rPr>
        <w:t xml:space="preserve"/>
      </w:r>
    </w:p>
    <w:p>
      <w:pPr>
        <w:pBdr>
          <w:bottom w:val="single" w:color="F4A261" w:sz="4" w:space="2"/>
        </w:pBdr>
        <w:spacing w:after="100" w:before="10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1. Purpose</w:t>
      </w:r>
    </w:p>
    <w:p>
      <w:pPr>
        <w:spacing w:after="60" w:before="60"/>
        <w:jc w:val="left"/>
      </w:pPr>
      <w:r>
        <w:rPr>
          <w:rFonts w:ascii="Arial" w:cs="Arial" w:eastAsia="Arial" w:hAnsi="Arial"/>
          <w:b w:val="false"/>
          <w:bCs w:val="false"/>
          <w:i w:val="false"/>
          <w:iCs w:val="false"/>
          <w:color w:val="1C1C2E"/>
          <w:sz w:val="20"/>
          <w:szCs w:val="20"/>
        </w:rPr>
        <w:t xml:space="preserve">IEC 62443-2-1:2010 §4.3.2.6.5 (SHALL) requires the organisation to determine and document its risk tolerance as part of the CSMS policy framework. This document is the standalone, signed risk tolerance statement for the IACS environment. It is the reference point for all risk treatment decisions — it defines what level of risk the organisation is willing to accept without further countermeasures, and what requires mandatory action.</w:t>
      </w:r>
    </w:p>
    <w:p>
      <w:pPr>
        <w:spacing w:after="0" w:before="12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F4A261"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200"/>
            <w:tcBorders>
              <w:top w:val="none" w:color="FFFFFF" w:sz="0"/>
              <w:left w:val="none" w:color="FFFFFF" w:sz="0"/>
              <w:bottom w:val="none" w:color="FFFFFF" w:sz="0"/>
              <w:right w:val="none" w:color="FFFFFF" w:sz="0"/>
            </w:tcBorders>
            <w:shd w:fill="FEF3E8" w:val="clear"/>
            <w:tcMar>
              <w:top w:type="dxa" w:w="80"/>
              <w:left w:type="dxa" w:w="120"/>
              <w:bottom w:type="dxa" w:w="80"/>
              <w:right w:type="dxa" w:w="120"/>
            </w:tcMar>
            <w:vAlign w:val="top"/>
          </w:tcPr>
          <w:p>
            <w:pPr>
              <w:spacing w:after="40" w:before="80"/>
            </w:pPr>
            <w:r>
              <w:rPr>
                <w:rFonts w:ascii="Arial" w:cs="Arial" w:eastAsia="Arial" w:hAnsi="Arial"/>
                <w:b/>
                <w:bCs/>
                <w:i w:val="false"/>
                <w:iCs w:val="false"/>
                <w:color w:val="F4A261"/>
                <w:sz w:val="19"/>
                <w:szCs w:val="19"/>
              </w:rPr>
              <w:t xml:space="preserve">Risk Tolerance vs. Risk Appetite</w:t>
            </w:r>
          </w:p>
          <w:p>
            <w:pPr>
              <w:spacing w:after="80" w:before="0"/>
            </w:pPr>
            <w:r>
              <w:rPr>
                <w:rFonts w:ascii="Arial" w:cs="Arial" w:eastAsia="Arial" w:hAnsi="Arial"/>
                <w:b w:val="false"/>
                <w:bCs w:val="false"/>
                <w:i w:val="false"/>
                <w:iCs w:val="false"/>
                <w:color w:val="455A64"/>
                <w:sz w:val="19"/>
                <w:szCs w:val="19"/>
              </w:rPr>
              <w:t xml:space="preserve">Risk appetite is how much risk the organisation seeks in pursuit of objectives. Risk tolerance is the maximum acceptable deviation from the risk appetite — the line you will not cross. For IACS, risk tolerance must be set primarily with reference to safety consequences, not financial ones. A 'we'll accept it' decision on a safety-critical system must be made by someone with full awareness of that consequence — and must be signed.</w:t>
            </w:r>
          </w:p>
        </w:tc>
      </w:tr>
    </w:tbl>
    <w:p>
      <w:pPr>
        <w:spacing w:after="0" w:before="8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2. Statement Governance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Statement Owner</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[CSMS Programme Manager — responsible for ensuring this is reviewed annually and acted upon]</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Approved By</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and title of signing executive — must be the same level as CSMS-POA-002 signatory]</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Effective Date</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Mandatory Review Date</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 — minimum annual, or on major risk change, organisational change, or regulatory development]</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Related Documents</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CSMS-RA-008 (Risk Register) / CSMS-POA-010 (High-Level Policy) / CSMS-RA-007 (Detailed Risk Assessment)</w:t>
            </w:r>
          </w:p>
        </w:tc>
      </w:tr>
    </w:tbl>
    <w:p>
      <w:pPr>
        <w:spacing w:after="0" w:before="12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3. Risk Classification Framework</w:t>
      </w:r>
    </w:p>
    <w:p>
      <w:pPr>
        <w:spacing w:after="60" w:before="60"/>
        <w:jc w:val="left"/>
      </w:pPr>
      <w:r>
        <w:rPr>
          <w:rFonts w:ascii="Arial" w:cs="Arial" w:eastAsia="Arial" w:hAnsi="Arial"/>
          <w:b w:val="false"/>
          <w:bCs w:val="false"/>
          <w:i w:val="false"/>
          <w:iCs w:val="false"/>
          <w:color w:val="1C1C2E"/>
          <w:sz w:val="20"/>
          <w:szCs w:val="20"/>
        </w:rPr>
        <w:t xml:space="preserve">The following risk levels are used across all CSMS risk documents. These ratings are produced by the risk assessment methodology defined in CSMS-RA-001.</w:t>
      </w:r>
    </w:p>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1600"/>
        <w:gridCol w:w="2000"/>
        <w:gridCol w:w="2200"/>
        <w:gridCol w:w="2360"/>
      </w:tblGrid>
      <w:tr>
        <w:tc>
          <w:tcPr>
            <w:tcW w:type="dxa" w:w="12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Level</w:t>
            </w:r>
          </w:p>
        </w:tc>
        <w:tc>
          <w:tcPr>
            <w:tcW w:type="dxa" w:w="16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Score Range</w:t>
            </w:r>
          </w:p>
        </w:tc>
        <w:tc>
          <w:tcPr>
            <w:tcW w:type="dxa" w:w="20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Safety Consequence</w:t>
            </w:r>
          </w:p>
        </w:tc>
        <w:tc>
          <w:tcPr>
            <w:tcW w:type="dxa" w:w="22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Production Consequence</w:t>
            </w:r>
          </w:p>
        </w:tc>
        <w:tc>
          <w:tcPr>
            <w:tcW w:type="dxa" w:w="23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Treatment Obligation</w:t>
            </w:r>
          </w:p>
        </w:tc>
      </w:tr>
      <w:tr>
        <w:tc>
          <w:tcPr>
            <w:tcW w:type="dxa" w:w="1200"/>
            <w:tcBorders>
              <w:top w:val="single" w:color="E76F51" w:sz="2"/>
              <w:left w:val="single" w:color="E76F51" w:sz="2"/>
              <w:bottom w:val="single" w:color="E76F51" w:sz="2"/>
              <w:right w:val="single" w:color="E76F51" w:sz="2"/>
            </w:tcBorders>
            <w:shd w:fill="E76F51" w:val="clear"/>
            <w:tcMar>
              <w:top w:type="dxa" w:w="80"/>
              <w:left w:type="dxa" w:w="120"/>
              <w:bottom w:type="dxa" w:w="80"/>
              <w:right w:type="dxa" w:w="120"/>
            </w:tcMar>
            <w:vAlign w:val="top"/>
          </w:tcPr>
          <w:p>
            <w:pPr>
              <w:spacing w:after="60" w:before="60"/>
              <w:jc w:val="center"/>
            </w:pPr>
            <w:r>
              <w:rPr>
                <w:rFonts w:ascii="Arial" w:cs="Arial" w:eastAsia="Arial" w:hAnsi="Arial"/>
                <w:b/>
                <w:bCs/>
                <w:i w:val="false"/>
                <w:iCs w:val="false"/>
                <w:color w:val="FFFFFF"/>
                <w:sz w:val="20"/>
                <w:szCs w:val="20"/>
              </w:rPr>
              <w:t xml:space="preserve">CRITICAL</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 9</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Potential fatality or major HSE incident</w:t>
            </w:r>
          </w:p>
        </w:tc>
        <w:tc>
          <w:tcPr>
            <w:tcW w:type="dxa" w:w="2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Major production loss — days or weeks</w:t>
            </w:r>
          </w:p>
        </w:tc>
        <w:tc>
          <w:tcPr>
            <w:tcW w:type="dxa" w:w="2360"/>
            <w:tcBorders>
              <w:top w:val="single" w:color="E8EEF4" w:sz="4"/>
              <w:left w:val="single" w:color="E8EEF4" w:sz="4"/>
              <w:bottom w:val="single" w:color="E8EEF4" w:sz="4"/>
              <w:right w:val="single" w:color="E8EEF4" w:sz="4"/>
            </w:tcBorders>
            <w:shd w:fill="FDE8E4"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Mandatory countermeasure — no acceptance without Board-level sign-off</w:t>
            </w:r>
          </w:p>
        </w:tc>
      </w:tr>
      <w:tr>
        <w:tc>
          <w:tcPr>
            <w:tcW w:type="dxa" w:w="120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60" w:before="60"/>
              <w:jc w:val="center"/>
            </w:pPr>
            <w:r>
              <w:rPr>
                <w:rFonts w:ascii="Arial" w:cs="Arial" w:eastAsia="Arial" w:hAnsi="Arial"/>
                <w:b/>
                <w:bCs/>
                <w:i w:val="false"/>
                <w:iCs w:val="false"/>
                <w:color w:val="FFFFFF"/>
                <w:sz w:val="20"/>
                <w:szCs w:val="20"/>
              </w:rPr>
              <w:t xml:space="preserve">HIGH</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6–8</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Serious injury potential or significant environmental impact</w:t>
            </w:r>
          </w:p>
        </w:tc>
        <w:tc>
          <w:tcPr>
            <w:tcW w:type="dxa" w:w="2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Significant production disruption</w:t>
            </w:r>
          </w:p>
        </w:tc>
        <w:tc>
          <w:tcPr>
            <w:tcW w:type="dxa" w:w="2360"/>
            <w:tcBorders>
              <w:top w:val="single" w:color="E8EEF4" w:sz="4"/>
              <w:left w:val="single" w:color="E8EEF4" w:sz="4"/>
              <w:bottom w:val="single" w:color="E8EEF4" w:sz="4"/>
              <w:right w:val="single" w:color="E8EEF4" w:sz="4"/>
            </w:tcBorders>
            <w:shd w:fill="FEF3E8"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Countermeasure required — acceptance requires CSMS Sponsor sign-off</w:t>
            </w:r>
          </w:p>
        </w:tc>
      </w:tr>
      <w:tr>
        <w:tc>
          <w:tcPr>
            <w:tcW w:type="dxa" w:w="1200"/>
            <w:tcBorders>
              <w:top w:val="single" w:color="2196F3" w:sz="2"/>
              <w:left w:val="single" w:color="2196F3" w:sz="2"/>
              <w:bottom w:val="single" w:color="2196F3" w:sz="2"/>
              <w:right w:val="single" w:color="2196F3" w:sz="2"/>
            </w:tcBorders>
            <w:shd w:fill="2196F3" w:val="clear"/>
            <w:tcMar>
              <w:top w:type="dxa" w:w="80"/>
              <w:left w:type="dxa" w:w="120"/>
              <w:bottom w:type="dxa" w:w="80"/>
              <w:right w:type="dxa" w:w="120"/>
            </w:tcMar>
            <w:vAlign w:val="top"/>
          </w:tcPr>
          <w:p>
            <w:pPr>
              <w:spacing w:after="60" w:before="60"/>
              <w:jc w:val="center"/>
            </w:pPr>
            <w:r>
              <w:rPr>
                <w:rFonts w:ascii="Arial" w:cs="Arial" w:eastAsia="Arial" w:hAnsi="Arial"/>
                <w:b/>
                <w:bCs/>
                <w:i w:val="false"/>
                <w:iCs w:val="false"/>
                <w:color w:val="FFFFFF"/>
                <w:sz w:val="20"/>
                <w:szCs w:val="20"/>
              </w:rPr>
              <w:t xml:space="preserve">MEDIUM</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3–5</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Minor injury potential or limited environmental impact</w:t>
            </w:r>
          </w:p>
        </w:tc>
        <w:tc>
          <w:tcPr>
            <w:tcW w:type="dxa" w:w="2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Production degradation — hours</w:t>
            </w:r>
          </w:p>
        </w:tc>
        <w:tc>
          <w:tcPr>
            <w:tcW w:type="dxa" w:w="2360"/>
            <w:tcBorders>
              <w:top w:val="single" w:color="E8EEF4" w:sz="4"/>
              <w:left w:val="single" w:color="E8EEF4" w:sz="4"/>
              <w:bottom w:val="single" w:color="E8EEF4" w:sz="4"/>
              <w:right w:val="single" w:color="E8EEF4" w:sz="4"/>
            </w:tcBorders>
            <w:shd w:fill="E3F2FD"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Countermeasure recommended — acceptance requires Programme Manager sign-off</w:t>
            </w:r>
          </w:p>
        </w:tc>
      </w:tr>
      <w:tr>
        <w:tc>
          <w:tcPr>
            <w:tcW w:type="dxa" w:w="12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60" w:before="60"/>
              <w:jc w:val="center"/>
            </w:pPr>
            <w:r>
              <w:rPr>
                <w:rFonts w:ascii="Arial" w:cs="Arial" w:eastAsia="Arial" w:hAnsi="Arial"/>
                <w:b/>
                <w:bCs/>
                <w:i w:val="false"/>
                <w:iCs w:val="false"/>
                <w:color w:val="FFFFFF"/>
                <w:sz w:val="20"/>
                <w:szCs w:val="20"/>
              </w:rPr>
              <w:t xml:space="preserve">LOW</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1–2</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Negligible safety impact</w:t>
            </w:r>
          </w:p>
        </w:tc>
        <w:tc>
          <w:tcPr>
            <w:tcW w:type="dxa" w:w="2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Minor disruption — recoverable</w:t>
            </w:r>
          </w:p>
        </w:tc>
        <w:tc>
          <w:tcPr>
            <w:tcW w:type="dxa" w:w="2360"/>
            <w:tcBorders>
              <w:top w:val="single" w:color="E8EEF4" w:sz="4"/>
              <w:left w:val="single" w:color="E8EEF4" w:sz="4"/>
              <w:bottom w:val="single" w:color="E8EEF4" w:sz="4"/>
              <w:right w:val="single" w:color="E8EEF4" w:sz="4"/>
            </w:tcBorders>
            <w:shd w:fill="E0F7F5"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May be accepted — document rationale. Review annually.</w:t>
            </w:r>
          </w:p>
        </w:tc>
      </w:tr>
    </w:tbl>
    <w:p>
      <w:pPr>
        <w:spacing w:after="0" w:before="12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4. Risk Tolerance Thresholds</w:t>
      </w:r>
    </w:p>
    <w:p>
      <w:pPr>
        <w:spacing w:after="60" w:before="60"/>
        <w:jc w:val="left"/>
      </w:pPr>
      <w:r>
        <w:rPr>
          <w:rFonts w:ascii="Arial" w:cs="Arial" w:eastAsia="Arial" w:hAnsi="Arial"/>
          <w:b w:val="false"/>
          <w:bCs w:val="false"/>
          <w:i w:val="false"/>
          <w:iCs w:val="false"/>
          <w:color w:val="1C1C2E"/>
          <w:sz w:val="20"/>
          <w:szCs w:val="20"/>
        </w:rPr>
        <w:t xml:space="preserve">The following thresholds define the organisation's tolerance for IACS cyber security risk. These thresholds are mandatory — they are not aspirational.</w:t>
      </w:r>
    </w:p>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3360"/>
        <w:gridCol w:w="3600"/>
      </w:tblGrid>
      <w:tr>
        <w:tc>
          <w:tcPr>
            <w:tcW w:type="dxa" w:w="240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Risk Category</w:t>
            </w:r>
          </w:p>
        </w:tc>
        <w:tc>
          <w:tcPr>
            <w:tcW w:type="dxa" w:w="336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Tolerance Statement</w:t>
            </w:r>
          </w:p>
        </w:tc>
        <w:tc>
          <w:tcPr>
            <w:tcW w:type="dxa" w:w="360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Mandatory Action</w:t>
            </w:r>
          </w:p>
        </w:tc>
      </w:tr>
      <w:tr>
        <w:tc>
          <w:tcPr>
            <w:tcW w:type="dxa" w:w="2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Any risk with Safety (HSE) consequence ≥ 3</w:t>
            </w:r>
          </w:p>
        </w:tc>
        <w:tc>
          <w:tcPr>
            <w:tcW w:type="dxa" w:w="33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ZERO TOLERANCE. The organisation will not accept any risk that could result in injury to personnel or a major environmental release.</w:t>
            </w:r>
          </w:p>
        </w:tc>
        <w:tc>
          <w:tcPr>
            <w:tcW w:type="dxa" w:w="3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Countermeasure must be implemented or the IACS must be isolated. No acceptance without [Board / CEO / most senior executive] written approval. Review daily until resolved.</w:t>
            </w:r>
          </w:p>
        </w:tc>
      </w:tr>
      <w:tr>
        <w:tc>
          <w:tcPr>
            <w:tcW w:type="dxa" w:w="2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CRITICAL risk (score ≥ 9)</w:t>
            </w:r>
          </w:p>
        </w:tc>
        <w:tc>
          <w:tcPr>
            <w:tcW w:type="dxa" w:w="33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The organisation will not operate indefinitely with a CRITICAL risk that has no countermeasure in place.</w:t>
            </w:r>
          </w:p>
        </w:tc>
        <w:tc>
          <w:tcPr>
            <w:tcW w:type="dxa" w:w="3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Countermeasure must be assigned within 5 business days. Interim control applied within 24 hours. Formal acceptance (if required) by Programme Sponsor with documented justification. Maximum acceptance period: [30] days before re-escalation.</w:t>
            </w:r>
          </w:p>
        </w:tc>
      </w:tr>
      <w:tr>
        <w:tc>
          <w:tcPr>
            <w:tcW w:type="dxa" w:w="2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HIGH risk (score 6–8)</w:t>
            </w:r>
          </w:p>
        </w:tc>
        <w:tc>
          <w:tcPr>
            <w:tcW w:type="dxa" w:w="33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The organisation will not operate for more than [90] days with a HIGH risk and no countermeasure.</w:t>
            </w:r>
          </w:p>
        </w:tc>
        <w:tc>
          <w:tcPr>
            <w:tcW w:type="dxa" w:w="3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Countermeasure assigned within 10 business days. Formal acceptance by CSMS Programme Manager if treatment is deferred beyond [90] days. Maximum acceptance period: [12] months.</w:t>
            </w:r>
          </w:p>
        </w:tc>
      </w:tr>
      <w:tr>
        <w:tc>
          <w:tcPr>
            <w:tcW w:type="dxa" w:w="2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MEDIUM risk (score 3–5)</w:t>
            </w:r>
          </w:p>
        </w:tc>
        <w:tc>
          <w:tcPr>
            <w:tcW w:type="dxa" w:w="33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MEDIUM risks are managed through the standard CSMS improvement cycle.</w:t>
            </w:r>
          </w:p>
        </w:tc>
        <w:tc>
          <w:tcPr>
            <w:tcW w:type="dxa" w:w="3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Countermeasure assigned in next CSMS improvement cycle (within [6] months). Formal acceptance by OT Security Lead if deferred. Reviewed annually.</w:t>
            </w:r>
          </w:p>
        </w:tc>
      </w:tr>
      <w:tr>
        <w:tc>
          <w:tcPr>
            <w:tcW w:type="dxa" w:w="2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LOW risk (score 1–2)</w:t>
            </w:r>
          </w:p>
        </w:tc>
        <w:tc>
          <w:tcPr>
            <w:tcW w:type="dxa" w:w="33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LOW risks are acceptable within the organisation's normal operational risk profile.</w:t>
            </w:r>
          </w:p>
        </w:tc>
        <w:tc>
          <w:tcPr>
            <w:tcW w:type="dxa" w:w="3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Document and monitor. Review annually. No mandatory countermeasure but document rationale if none applied.</w:t>
            </w:r>
          </w:p>
        </w:tc>
      </w:tr>
    </w:tbl>
    <w:p>
      <w:pPr>
        <w:spacing w:after="0" w:before="12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5. Formal Risk Acceptance Process</w:t>
      </w:r>
    </w:p>
    <w:p>
      <w:pPr>
        <w:spacing w:after="60" w:before="60"/>
        <w:jc w:val="left"/>
      </w:pPr>
      <w:r>
        <w:rPr>
          <w:rFonts w:ascii="Arial" w:cs="Arial" w:eastAsia="Arial" w:hAnsi="Arial"/>
          <w:b w:val="false"/>
          <w:bCs w:val="false"/>
          <w:i w:val="false"/>
          <w:iCs w:val="false"/>
          <w:color w:val="1C1C2E"/>
          <w:sz w:val="20"/>
          <w:szCs w:val="20"/>
        </w:rPr>
        <w:t xml:space="preserve">When a risk is formally accepted (not treated), the following process must be followed and documented in CSMS-RA-008.</w:t>
      </w:r>
    </w:p>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Formal risk acceptance request must document</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Formal risk acceptance request must document: risk ID and rating; specific reason treatment is not being implemented; compensating controls applied (if any); business or technical justification; review date; name and title of person accepting the risk</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Approval authority by risk level</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Approval authority by risk level: LOW — OT Security Lead; MEDIUM — CSMS Programme Manager; HIGH — CSMS Programme Sponsor; CRITICAL with HSE consequence — [Board / CEO]</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Accepted risks must be reviewed at the frequency defined in the acceptance document, and no later than annually</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Accepted risks must be reviewed at the frequency defined in the acceptance document, and no later than annually</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If a risk level increases (e.g. from HIGH to CRITICAL due to new information), the acceptance must be re-evaluated immediately</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If a risk level increases (e.g. from HIGH to CRITICAL due to new information), the acceptance must be re-evaluated immediately</w:t>
            </w:r>
          </w:p>
        </w:tc>
      </w:tr>
    </w:tbl>
    <w:p>
      <w:pPr>
        <w:spacing w:after="0" w:before="12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6. Executive Sign-Off</w:t>
      </w:r>
    </w:p>
    <w:p>
      <w:pPr>
        <w:spacing w:after="60" w:before="60"/>
        <w:jc w:val="left"/>
      </w:pPr>
      <w:r>
        <w:rPr>
          <w:rFonts w:ascii="Arial" w:cs="Arial" w:eastAsia="Arial" w:hAnsi="Arial"/>
          <w:b w:val="false"/>
          <w:bCs w:val="false"/>
          <w:i w:val="false"/>
          <w:iCs w:val="false"/>
          <w:color w:val="1C1C2E"/>
          <w:sz w:val="20"/>
          <w:szCs w:val="20"/>
        </w:rPr>
        <w:t xml:space="preserve">This Risk Tolerance Statement is effective upon signature by the designated executive. It binds the organisation to the thresholds and processes defined above.</w:t>
      </w:r>
    </w:p>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Name</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Title</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Signature</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Date</w:t>
            </w:r>
          </w:p>
        </w:tc>
      </w:tr>
      <w:tr>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
[Signature]</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r>
    </w:tbl>
    <w:p>
      <w:pPr>
        <w:spacing w:after="0" w:before="200"/>
      </w:pPr>
      <w:r>
        <w:rPr>
          <w:rFonts w:ascii="Arial" w:cs="Arial" w:eastAsia="Arial" w:hAnsi="Arial"/>
          <w:b w:val="false"/>
          <w:bCs w:val="false"/>
          <w:i w:val="false"/>
          <w:iCs w:val="false"/>
          <w:color w:val="1C1C2E"/>
          <w:sz w:val="20"/>
          <w:szCs w:val="20"/>
        </w:rPr>
        <w:t xml:space="preserve"/>
      </w:r>
    </w:p>
    <w:p>
      <w:pPr>
        <w:pBdr>
          <w:bottom w:val="single" w:color="E8EEF4" w:sz="4" w:space="2"/>
        </w:pBdr>
        <w:spacing w:after="100" w:before="10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Document Review and Approval History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Prepared By</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Reviewed By</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Approved By</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Next Review</w:t>
            </w:r>
          </w:p>
        </w:tc>
      </w:tr>
      <w:tr>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[Name]
[Title]
[Signature]
[Date]</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[Name]
[Title]
[Signature]
[Date]</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[Name]
[Title]
[Signature]
[Date]</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[Date — minimum annual]</w:t>
            </w:r>
          </w:p>
        </w:tc>
      </w:tr>
    </w:tbl>
    <w:p>
      <w:pPr>
        <w:spacing w:after="0" w:before="8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00A896"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200"/>
            <w:tcBorders>
              <w:top w:val="none" w:color="FFFFFF" w:sz="0"/>
              <w:left w:val="none" w:color="FFFFFF" w:sz="0"/>
              <w:bottom w:val="none" w:color="FFFFFF" w:sz="0"/>
              <w:right w:val="none" w:color="FFFFFF" w:sz="0"/>
            </w:tcBorders>
            <w:shd w:fill="E0F7F5" w:val="clear"/>
            <w:tcMar>
              <w:top w:type="dxa" w:w="80"/>
              <w:left w:type="dxa" w:w="120"/>
              <w:bottom w:type="dxa" w:w="80"/>
              <w:right w:type="dxa" w:w="120"/>
            </w:tcMar>
            <w:vAlign w:val="top"/>
          </w:tcPr>
          <w:p>
            <w:pPr>
              <w:spacing w:after="40" w:before="80"/>
            </w:pPr>
            <w:r>
              <w:rPr>
                <w:rFonts w:ascii="Arial" w:cs="Arial" w:eastAsia="Arial" w:hAnsi="Arial"/>
                <w:b/>
                <w:bCs/>
                <w:i w:val="false"/>
                <w:iCs w:val="false"/>
                <w:color w:val="00A896"/>
                <w:sz w:val="19"/>
                <w:szCs w:val="19"/>
              </w:rPr>
              <w:t xml:space="preserve">Version Control</w:t>
            </w:r>
          </w:p>
          <w:p>
            <w:pPr>
              <w:spacing w:after="80" w:before="0"/>
            </w:pPr>
            <w:r>
              <w:rPr>
                <w:rFonts w:ascii="Arial" w:cs="Arial" w:eastAsia="Arial" w:hAnsi="Arial"/>
                <w:b w:val="false"/>
                <w:bCs w:val="false"/>
                <w:i w:val="false"/>
                <w:iCs w:val="false"/>
                <w:color w:val="455A64"/>
                <w:sz w:val="19"/>
                <w:szCs w:val="19"/>
              </w:rPr>
              <w:t xml:space="preserve">All amendments must be recorded below. No change is valid without written approval from the document owner. Superseded versions are archived and retained for a minimum of five years.</w:t>
            </w:r>
          </w:p>
        </w:tc>
      </w:tr>
    </w:tbl>
    <w:p>
      <w:pPr>
        <w:spacing w:after="0" w:before="8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1600"/>
        <w:gridCol w:w="2400"/>
        <w:gridCol w:w="4160"/>
      </w:tblGrid>
      <w:tr>
        <w:tc>
          <w:tcPr>
            <w:tcW w:type="dxa" w:w="120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Ver</w:t>
            </w:r>
          </w:p>
        </w:tc>
        <w:tc>
          <w:tcPr>
            <w:tcW w:type="dxa" w:w="160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Date</w:t>
            </w:r>
          </w:p>
        </w:tc>
        <w:tc>
          <w:tcPr>
            <w:tcW w:type="dxa" w:w="240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Author</w:t>
            </w:r>
          </w:p>
        </w:tc>
        <w:tc>
          <w:tcPr>
            <w:tcW w:type="dxa" w:w="416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Summary of Changes</w:t>
            </w:r>
          </w:p>
        </w:tc>
      </w:tr>
      <w:tr>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1.0</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w:t>
            </w:r>
          </w:p>
        </w:tc>
        <w:tc>
          <w:tcPr>
            <w:tcW w:type="dxa" w:w="41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Initial issue</w:t>
            </w:r>
          </w:p>
        </w:tc>
      </w:tr>
      <w:tr>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41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r>
    </w:tbl>
    <w:p>
      <w:pPr>
        <w:spacing w:after="0" w:before="60"/>
      </w:pPr>
      <w:r>
        <w:rPr>
          <w:rFonts w:ascii="Arial" w:cs="Arial" w:eastAsia="Arial" w:hAnsi="Arial"/>
          <w:b w:val="false"/>
          <w:bCs w:val="false"/>
          <w:i w:val="false"/>
          <w:iCs w:val="false"/>
          <w:color w:val="1C1C2E"/>
          <w:sz w:val="20"/>
          <w:szCs w:val="20"/>
        </w:rPr>
        <w:t xml:space="preserve"/>
      </w:r>
    </w:p>
    <w:p>
      <w:pPr>
        <w:spacing w:after="40" w:before="80"/>
        <w:jc w:val="left"/>
      </w:pPr>
      <w:r>
        <w:rPr>
          <w:rFonts w:ascii="Arial" w:cs="Arial" w:eastAsia="Arial" w:hAnsi="Arial"/>
          <w:b w:val="false"/>
          <w:bCs w:val="false"/>
          <w:i w:val="false"/>
          <w:iCs w:val="false"/>
          <w:color w:val="B0BEC5"/>
          <w:sz w:val="17"/>
          <w:szCs w:val="17"/>
        </w:rPr>
        <w:t xml:space="preserve">Document Reference: F4A261  ·  Classification: RESTRICTED  ·  © [Organisation Name]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EF4" w:sz="4" w:space="4"/>
      </w:pBdr>
      <w:tabs>
        <w:tab w:val="right" w:pos="9360"/>
      </w:tabs>
      <w:spacing w:after="0" w:before="80"/>
    </w:pPr>
    <w:r>
      <w:rPr>
        <w:rFonts w:ascii="Arial" w:cs="Arial" w:eastAsia="Arial" w:hAnsi="Arial"/>
        <w:b w:val="false"/>
        <w:bCs w:val="false"/>
        <w:i w:val="false"/>
        <w:iCs w:val="false"/>
        <w:color w:val="B0BEC5"/>
        <w:sz w:val="16"/>
        <w:szCs w:val="16"/>
      </w:rPr>
      <w:t xml:space="preserve">Risk Tolerance Statement</w:t>
    </w:r>
    <w:r>
      <w:rPr>
        <w:rFonts w:ascii="Arial" w:cs="Arial" w:eastAsia="Arial" w:hAnsi="Arial"/>
        <w:sz w:val="16"/>
        <w:szCs w:val="16"/>
      </w:rPr>
      <w:t xml:space="preserve">	</w:t>
    </w:r>
    <w:r>
      <w:rPr>
        <w:rFonts w:ascii="Arial" w:cs="Arial" w:eastAsia="Arial" w:hAnsi="Arial"/>
        <w:b w:val="false"/>
        <w:bCs w:val="false"/>
        <w:i w:val="false"/>
        <w:iCs w:val="false"/>
        <w:color w:val="B0BEC5"/>
        <w:sz w:val="16"/>
        <w:szCs w:val="16"/>
      </w:rPr>
      <w:t xml:space="preserve">Page </w:t>
    </w:r>
    <w:r>
      <w:rPr>
        <w:rFonts w:ascii="Arial" w:cs="Arial" w:eastAsia="Arial" w:hAnsi="Arial"/>
        <w:color w:val="B0BEC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EF4" w:sz="4" w:space="4"/>
      </w:pBdr>
      <w:tabs>
        <w:tab w:val="right" w:pos="9360"/>
      </w:tabs>
      <w:spacing w:after="80" w:before="0"/>
    </w:pPr>
    <w:r>
      <w:rPr>
        <w:rFonts w:ascii="Arial" w:cs="Arial" w:eastAsia="Arial" w:hAnsi="Arial"/>
        <w:b w:val="false"/>
        <w:bCs w:val="false"/>
        <w:i w:val="false"/>
        <w:iCs w:val="false"/>
        <w:color w:val="B0BEC5"/>
        <w:sz w:val="16"/>
        <w:szCs w:val="16"/>
      </w:rPr>
      <w:t xml:space="preserve">IEC 62443-2-1:2010 CSMS  ·  CSMS-POA-012  ·  [Organisation Name]</w:t>
    </w:r>
    <w:r>
      <w:rPr>
        <w:rFonts w:ascii="Arial" w:cs="Arial" w:eastAsia="Arial" w:hAnsi="Arial"/>
        <w:sz w:val="16"/>
        <w:szCs w:val="16"/>
      </w:rPr>
      <w:t xml:space="preserve">	</w:t>
    </w:r>
    <w:r>
      <w:rPr>
        <w:rFonts w:ascii="Arial" w:cs="Arial" w:eastAsia="Arial" w:hAnsi="Arial"/>
        <w:b/>
        <w:bCs/>
        <w:i w:val="false"/>
        <w:iCs w:val="false"/>
        <w:color w:val="E76F51"/>
        <w:sz w:val="16"/>
        <w:szCs w:val="16"/>
      </w:rPr>
      <w:t xml:space="preserve">RESTRICTED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2026-05-07T05:00:25.944Z</dcterms:created>
  <dcterms:modified xsi:type="dcterms:W3CDTF">2026-05-07T05:00:25.944Z</dcterms:modified>
</cp:coreProperties>
</file>

<file path=docProps/custom.xml><?xml version="1.0" encoding="utf-8"?>
<Properties xmlns="http://schemas.openxmlformats.org/officeDocument/2006/custom-properties" xmlns:vt="http://schemas.openxmlformats.org/officeDocument/2006/docPropsVTypes"/>
</file>