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76F51" w:val="clear"/>
            <w:tcMar>
              <w:top w:type="dxa" w:w="80"/>
              <w:left w:type="dxa" w:w="120"/>
              <w:bottom w:type="dxa" w:w="80"/>
              <w:right w:type="dxa" w:w="120"/>
            </w:tcMar>
            <w:vAlign w:val="top"/>
          </w:tcPr>
          <w:p>
            <w:pPr>
              <w:spacing w:after="60" w:before="60"/>
              <w:jc w:val="center"/>
            </w:pPr>
            <w:r>
              <w:rPr>
                <w:rFonts w:ascii="Arial" w:cs="Arial" w:eastAsia="Arial" w:hAnsi="Arial"/>
                <w:b/>
                <w:bCs/>
                <w:i w:val="false"/>
                <w:iCs w:val="false"/>
                <w:color w:val="FFFFFF"/>
                <w:sz w:val="17"/>
                <w:szCs w:val="17"/>
              </w:rPr>
              <w:t xml:space="preserve">CLASSIFICATION: RESTRICTED  |  IEC 62443-2-1:2010 CSMS DOCUMENT  |  IACS USE ONLY</w:t>
            </w:r>
          </w:p>
        </w:tc>
      </w:tr>
    </w:tbl>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F4A261"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180"/>
            <w:tcBorders>
              <w:top w:val="none" w:color="FFFFFF" w:sz="0"/>
              <w:left w:val="none" w:color="FFFFFF" w:sz="0"/>
              <w:bottom w:val="none" w:color="FFFFFF" w:sz="0"/>
              <w:right w:val="none" w:color="FFFFFF" w:sz="0"/>
            </w:tcBorders>
            <w:shd w:fill="F8FAFB" w:val="clear"/>
            <w:tcMar>
              <w:top w:type="dxa" w:w="80"/>
              <w:left w:type="dxa" w:w="120"/>
              <w:bottom w:type="dxa" w:w="80"/>
              <w:right w:type="dxa" w:w="120"/>
            </w:tcMar>
            <w:vAlign w:val="top"/>
          </w:tcPr>
          <w:p>
            <w:pPr>
              <w:spacing w:after="30" w:before="80"/>
            </w:pPr>
            <w:r>
              <w:rPr>
                <w:rFonts w:ascii="Arial" w:cs="Arial" w:eastAsia="Arial" w:hAnsi="Arial"/>
                <w:b/>
                <w:bCs/>
                <w:i w:val="false"/>
                <w:iCs w:val="false"/>
                <w:color w:val="F4A261"/>
                <w:sz w:val="17"/>
                <w:szCs w:val="17"/>
              </w:rPr>
              <w:t xml:space="preserve">IEC 62443-2-1:2010  ·  §4.3.2.6.6 / §4.3.2.6.7 SHALL</w:t>
            </w:r>
          </w:p>
          <w:p>
            <w:pPr>
              <w:spacing w:after="30" w:before="30"/>
            </w:pPr>
            <w:r>
              <w:rPr>
                <w:rFonts w:ascii="Arial" w:cs="Arial" w:eastAsia="Arial" w:hAnsi="Arial"/>
                <w:b/>
                <w:bCs/>
                <w:i w:val="false"/>
                <w:iCs w:val="false"/>
                <w:color w:val="0D1B2A"/>
                <w:sz w:val="38"/>
                <w:szCs w:val="38"/>
              </w:rPr>
              <w:t xml:space="preserve">Policy Communication and Review Records</w:t>
            </w:r>
          </w:p>
          <w:p>
            <w:pPr>
              <w:spacing w:after="80" w:before="30"/>
            </w:pPr>
            <w:r>
              <w:rPr>
                <w:rFonts w:ascii="Arial" w:cs="Arial" w:eastAsia="Arial" w:hAnsi="Arial"/>
                <w:b w:val="false"/>
                <w:bCs w:val="false"/>
                <w:i w:val="false"/>
                <w:iCs w:val="false"/>
                <w:color w:val="455A64"/>
                <w:sz w:val="17"/>
                <w:szCs w:val="17"/>
              </w:rPr>
              <w:t xml:space="preserve">CSMS Document Reference: CSMS-POA-013  ·  Stage 3 — Policy, Organisation &amp; Awareness</w:t>
            </w:r>
          </w:p>
        </w:tc>
      </w:tr>
    </w:tbl>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1200"/>
        <w:gridCol w:w="1200"/>
        <w:gridCol w:w="1560"/>
        <w:gridCol w:w="2040"/>
        <w:gridCol w:w="1800"/>
      </w:tblGrid>
      <w:tr>
        <w:tc>
          <w:tcPr>
            <w:tcW w:type="dxa" w:w="15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Doc Ref</w:t>
            </w:r>
          </w:p>
        </w:tc>
        <w:tc>
          <w:tcPr>
            <w:tcW w:type="dxa" w:w="1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Version</w:t>
            </w:r>
          </w:p>
        </w:tc>
        <w:tc>
          <w:tcPr>
            <w:tcW w:type="dxa" w:w="1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Status</w:t>
            </w:r>
          </w:p>
        </w:tc>
        <w:tc>
          <w:tcPr>
            <w:tcW w:type="dxa" w:w="15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Issue Date</w:t>
            </w:r>
          </w:p>
        </w:tc>
        <w:tc>
          <w:tcPr>
            <w:tcW w:type="dxa" w:w="20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Document Owner</w:t>
            </w:r>
          </w:p>
        </w:tc>
        <w:tc>
          <w:tcPr>
            <w:tcW w:type="dxa" w:w="18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Approved By</w:t>
            </w:r>
          </w:p>
        </w:tc>
      </w:tr>
      <w:tr>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CSMS-POA-013</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200"/>
            <w:tcBorders>
              <w:top w:val="single" w:color="F4A261" w:sz="4"/>
              <w:left w:val="single" w:color="F4A261" w:sz="4"/>
              <w:bottom w:val="single" w:color="F4A261" w:sz="4"/>
              <w:right w:val="single" w:color="F4A261" w:sz="4"/>
            </w:tcBorders>
            <w:shd w:fill="FEF3E8"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F4A261"/>
                <w:sz w:val="19"/>
                <w:szCs w:val="19"/>
              </w:rPr>
              <w:t xml:space="preserve">DRAFT</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c>
          <w:tcPr>
            <w:tcW w:type="dxa" w:w="20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 Title]</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 Title]</w:t>
            </w:r>
          </w:p>
        </w:tc>
      </w:tr>
    </w:tbl>
    <w:p>
      <w:pPr>
        <w:spacing w:after="0" w:before="60"/>
      </w:pPr>
      <w:r>
        <w:rPr>
          <w:rFonts w:ascii="Arial" w:cs="Arial" w:eastAsia="Arial" w:hAnsi="Arial"/>
          <w:b w:val="false"/>
          <w:bCs w:val="false"/>
          <w:i w:val="false"/>
          <w:iCs w:val="false"/>
          <w:color w:val="1C1C2E"/>
          <w:sz w:val="20"/>
          <w:szCs w:val="20"/>
        </w:rPr>
        <w:t xml:space="preserve"/>
      </w:r>
    </w:p>
    <w:p>
      <w:pPr>
        <w:pBdr>
          <w:bottom w:val="single" w:color="F4A261" w:sz="4" w:space="2"/>
        </w:pBdr>
        <w:spacing w:after="100" w:before="10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1. Purpose</w:t>
      </w:r>
    </w:p>
    <w:p>
      <w:pPr>
        <w:spacing w:after="60" w:before="60"/>
        <w:jc w:val="left"/>
      </w:pPr>
      <w:r>
        <w:rPr>
          <w:rFonts w:ascii="Arial" w:cs="Arial" w:eastAsia="Arial" w:hAnsi="Arial"/>
          <w:b w:val="false"/>
          <w:bCs w:val="false"/>
          <w:i w:val="false"/>
          <w:iCs w:val="false"/>
          <w:color w:val="1C1C2E"/>
          <w:sz w:val="20"/>
          <w:szCs w:val="20"/>
        </w:rPr>
        <w:t xml:space="preserve">This document records compliance with two SHALL requirements: §4.3.2.6.6 (SHALL — communicate policies and procedures to all appropriate personnel) and §4.3.2.6.7 (SHALL — review and update policies and procedures regularly, validating they are current and being followed). It provides the audit evidence that CSMS policies are not merely documented but are actively communicated, acknowledged, and reviewed. These records are among the most-requested items in a CSMS audit.</w:t>
      </w:r>
    </w:p>
    <w:p>
      <w:pPr>
        <w:spacing w:after="0" w:before="12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F4A261"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200"/>
            <w:tcBorders>
              <w:top w:val="none" w:color="FFFFFF" w:sz="0"/>
              <w:left w:val="none" w:color="FFFFFF" w:sz="0"/>
              <w:bottom w:val="none" w:color="FFFFFF" w:sz="0"/>
              <w:right w:val="none" w:color="FFFFFF" w:sz="0"/>
            </w:tcBorders>
            <w:shd w:fill="FEF3E8" w:val="clear"/>
            <w:tcMar>
              <w:top w:type="dxa" w:w="80"/>
              <w:left w:type="dxa" w:w="120"/>
              <w:bottom w:type="dxa" w:w="80"/>
              <w:right w:type="dxa" w:w="120"/>
            </w:tcMar>
            <w:vAlign w:val="top"/>
          </w:tcPr>
          <w:p>
            <w:pPr>
              <w:spacing w:after="40" w:before="80"/>
            </w:pPr>
            <w:r>
              <w:rPr>
                <w:rFonts w:ascii="Arial" w:cs="Arial" w:eastAsia="Arial" w:hAnsi="Arial"/>
                <w:b/>
                <w:bCs/>
                <w:i w:val="false"/>
                <w:iCs w:val="false"/>
                <w:color w:val="F4A261"/>
                <w:sz w:val="19"/>
                <w:szCs w:val="19"/>
              </w:rPr>
              <w:t xml:space="preserve">Communication is Not Posting</w:t>
            </w:r>
          </w:p>
          <w:p>
            <w:pPr>
              <w:spacing w:after="80" w:before="0"/>
            </w:pPr>
            <w:r>
              <w:rPr>
                <w:rFonts w:ascii="Arial" w:cs="Arial" w:eastAsia="Arial" w:hAnsi="Arial"/>
                <w:b w:val="false"/>
                <w:bCs w:val="false"/>
                <w:i w:val="false"/>
                <w:iCs w:val="false"/>
                <w:color w:val="455A64"/>
                <w:sz w:val="19"/>
                <w:szCs w:val="19"/>
              </w:rPr>
              <w:t xml:space="preserve">Placing a policy on a SharePoint site is not communication. Communication requires: distribution to all in-scope personnel, evidence of receipt, and evidence of understanding (acknowledgement, training, or assessment). 'Personnel had access to it' is not the same as 'personnel were informed of it'.</w:t>
            </w:r>
          </w:p>
        </w:tc>
      </w:tr>
    </w:tbl>
    <w:p>
      <w:pPr>
        <w:spacing w:after="0" w:before="8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2. Policy Communication Register</w:t>
      </w:r>
    </w:p>
    <w:p>
      <w:pPr>
        <w:spacing w:after="60" w:before="60"/>
        <w:jc w:val="left"/>
      </w:pPr>
      <w:r>
        <w:rPr>
          <w:rFonts w:ascii="Arial" w:cs="Arial" w:eastAsia="Arial" w:hAnsi="Arial"/>
          <w:b w:val="false"/>
          <w:bCs w:val="false"/>
          <w:i w:val="false"/>
          <w:iCs w:val="false"/>
          <w:color w:val="1C1C2E"/>
          <w:sz w:val="20"/>
          <w:szCs w:val="20"/>
        </w:rPr>
        <w:t xml:space="preserve">Record every formal communication of a CSMS policy or procedure to in-scope personnel. Retain evidence of communication (email distributions, training attendance, signed acknowledgements) against each entry.</w:t>
      </w:r>
    </w:p>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1800"/>
        <w:gridCol w:w="1000"/>
        <w:gridCol w:w="1800"/>
        <w:gridCol w:w="1600"/>
        <w:gridCol w:w="1760"/>
      </w:tblGrid>
      <w:tr>
        <w:tc>
          <w:tcPr>
            <w:tcW w:type="dxa" w:w="140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Policy / Doc Ref</w:t>
            </w:r>
          </w:p>
        </w:tc>
        <w:tc>
          <w:tcPr>
            <w:tcW w:type="dxa" w:w="180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Version Communicated</w:t>
            </w:r>
          </w:p>
        </w:tc>
        <w:tc>
          <w:tcPr>
            <w:tcW w:type="dxa" w:w="100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Date</w:t>
            </w:r>
          </w:p>
        </w:tc>
        <w:tc>
          <w:tcPr>
            <w:tcW w:type="dxa" w:w="180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Audience</w:t>
            </w:r>
          </w:p>
        </w:tc>
        <w:tc>
          <w:tcPr>
            <w:tcW w:type="dxa" w:w="160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Communication Method</w:t>
            </w:r>
          </w:p>
        </w:tc>
        <w:tc>
          <w:tcPr>
            <w:tcW w:type="dxa" w:w="176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Evidence Reference</w:t>
            </w:r>
          </w:p>
        </w:tc>
      </w:tr>
      <w:tr>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[CSMS-POA-010 etc.]</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[v1.0]</w:t>
            </w:r>
          </w:p>
        </w:tc>
        <w:tc>
          <w:tcPr>
            <w:tcW w:type="dxa" w:w="1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[All Staff / OT Engineers / Contractors / Specific group]</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[Email broadcast / Toolbox talk / Induction / Notice / eLearning]</w:t>
            </w:r>
          </w:p>
        </w:tc>
        <w:tc>
          <w:tcPr>
            <w:tcW w:type="dxa" w:w="17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[Email ref / Signed register / Training record / LMS record]</w:t>
            </w:r>
          </w:p>
        </w:tc>
      </w:tr>
      <w:tr>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[CSMS-POA-010 etc.]</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[v1.0]</w:t>
            </w:r>
          </w:p>
        </w:tc>
        <w:tc>
          <w:tcPr>
            <w:tcW w:type="dxa" w:w="1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[All Staff / OT Engineers / Contractors / Specific group]</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[Email broadcast / Toolbox talk / Induction / Notice / eLearning]</w:t>
            </w:r>
          </w:p>
        </w:tc>
        <w:tc>
          <w:tcPr>
            <w:tcW w:type="dxa" w:w="17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[Email ref / Signed register / Training record / LMS record]</w:t>
            </w:r>
          </w:p>
        </w:tc>
      </w:tr>
      <w:tr>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[CSMS-POA-010 etc.]</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[v1.0]</w:t>
            </w:r>
          </w:p>
        </w:tc>
        <w:tc>
          <w:tcPr>
            <w:tcW w:type="dxa" w:w="1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[All Staff / OT Engineers / Contractors / Specific group]</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[Email broadcast / Toolbox talk / Induction / Notice / eLearning]</w:t>
            </w:r>
          </w:p>
        </w:tc>
        <w:tc>
          <w:tcPr>
            <w:tcW w:type="dxa" w:w="17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[Email ref / Signed register / Training record / LMS record]</w:t>
            </w:r>
          </w:p>
        </w:tc>
      </w:tr>
      <w:tr>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[CSMS-POA-010 etc.]</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[v1.0]</w:t>
            </w:r>
          </w:p>
        </w:tc>
        <w:tc>
          <w:tcPr>
            <w:tcW w:type="dxa" w:w="1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[All Staff / OT Engineers / Contractors / Specific group]</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[Email broadcast / Toolbox talk / Induction / Notice / eLearning]</w:t>
            </w:r>
          </w:p>
        </w:tc>
        <w:tc>
          <w:tcPr>
            <w:tcW w:type="dxa" w:w="17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[Email ref / Signed register / Training record / LMS record]</w:t>
            </w:r>
          </w:p>
        </w:tc>
      </w:tr>
      <w:tr>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[CSMS-POA-010 etc.]</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[v1.0]</w:t>
            </w:r>
          </w:p>
        </w:tc>
        <w:tc>
          <w:tcPr>
            <w:tcW w:type="dxa" w:w="1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[All Staff / OT Engineers / Contractors / Specific group]</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[Email broadcast / Toolbox talk / Induction / Notice / eLearning]</w:t>
            </w:r>
          </w:p>
        </w:tc>
        <w:tc>
          <w:tcPr>
            <w:tcW w:type="dxa" w:w="17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[Email ref / Signed register / Training record / LMS record]</w:t>
            </w:r>
          </w:p>
        </w:tc>
      </w:tr>
      <w:tr>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[CSMS-POA-010 etc.]</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[v1.0]</w:t>
            </w:r>
          </w:p>
        </w:tc>
        <w:tc>
          <w:tcPr>
            <w:tcW w:type="dxa" w:w="1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[All Staff / OT Engineers / Contractors / Specific group]</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[Email broadcast / Toolbox talk / Induction / Notice / eLearning]</w:t>
            </w:r>
          </w:p>
        </w:tc>
        <w:tc>
          <w:tcPr>
            <w:tcW w:type="dxa" w:w="17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[Email ref / Signed register / Training record / LMS record]</w:t>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3. Policy Acknowledgement Register</w:t>
      </w:r>
    </w:p>
    <w:p>
      <w:pPr>
        <w:spacing w:after="60" w:before="60"/>
        <w:jc w:val="left"/>
      </w:pPr>
      <w:r>
        <w:rPr>
          <w:rFonts w:ascii="Arial" w:cs="Arial" w:eastAsia="Arial" w:hAnsi="Arial"/>
          <w:b w:val="false"/>
          <w:bCs w:val="false"/>
          <w:i w:val="false"/>
          <w:iCs w:val="false"/>
          <w:color w:val="1C1C2E"/>
          <w:sz w:val="20"/>
          <w:szCs w:val="20"/>
        </w:rPr>
        <w:t xml:space="preserve">Where a policy requires explicit written acknowledgement — particularly the High-Level Policy (CSMS-POA-010), this record captures each sign-off. This is especially important for contractors and vendors who may not be subject to standard employment agreements.</w:t>
      </w:r>
    </w:p>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1600"/>
        <w:gridCol w:w="1600"/>
        <w:gridCol w:w="1200"/>
        <w:gridCol w:w="1400"/>
        <w:gridCol w:w="1560"/>
      </w:tblGrid>
      <w:tr>
        <w:tc>
          <w:tcPr>
            <w:tcW w:type="dxa" w:w="20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Personnel Name</w:t>
            </w:r>
          </w:p>
        </w:tc>
        <w:tc>
          <w:tcPr>
            <w:tcW w:type="dxa" w:w="16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Role / Organisation</w:t>
            </w:r>
          </w:p>
        </w:tc>
        <w:tc>
          <w:tcPr>
            <w:tcW w:type="dxa" w:w="16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Policy Acknowledged</w:t>
            </w:r>
          </w:p>
        </w:tc>
        <w:tc>
          <w:tcPr>
            <w:tcW w:type="dxa" w:w="1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Date Signed</w:t>
            </w:r>
          </w:p>
        </w:tc>
        <w:tc>
          <w:tcPr>
            <w:tcW w:type="dxa" w:w="14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Method</w:t>
            </w:r>
          </w:p>
        </w:tc>
        <w:tc>
          <w:tcPr>
            <w:tcW w:type="dxa" w:w="15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Renewed (if applicable)</w:t>
            </w:r>
          </w:p>
        </w:tc>
      </w:tr>
      <w:tr>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[Full name]</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[Role + employer if contractor]</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[CSMS-POA-010 / Full policy suite]</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[Wet signature / Electronic / LMS]</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 — annual renewal date]</w:t>
            </w:r>
          </w:p>
        </w:tc>
      </w:tr>
      <w:tr>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[Full name]</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[Role + employer if contractor]</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[CSMS-POA-010 / Full policy suite]</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[Wet signature / Electronic / LMS]</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 — annual renewal date]</w:t>
            </w:r>
          </w:p>
        </w:tc>
      </w:tr>
      <w:tr>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[Full name]</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[Role + employer if contractor]</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[CSMS-POA-010 / Full policy suite]</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[Wet signature / Electronic / LMS]</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 — annual renewal date]</w:t>
            </w:r>
          </w:p>
        </w:tc>
      </w:tr>
      <w:tr>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[Full name]</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[Role + employer if contractor]</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[CSMS-POA-010 / Full policy suite]</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[Wet signature / Electronic / LMS]</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 — annual renewal date]</w:t>
            </w:r>
          </w:p>
        </w:tc>
      </w:tr>
      <w:tr>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[Full name]</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[Role + employer if contractor]</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[CSMS-POA-010 / Full policy suite]</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[Wet signature / Electronic / LMS]</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 — annual renewal date]</w:t>
            </w:r>
          </w:p>
        </w:tc>
      </w:tr>
      <w:tr>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[Full name]</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[Role + employer if contractor]</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[CSMS-POA-010 / Full policy suite]</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[Wet signature / Electronic / LMS]</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 — annual renewal date]</w:t>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4. Policy Review Register</w:t>
      </w:r>
    </w:p>
    <w:p>
      <w:pPr>
        <w:spacing w:after="60" w:before="60"/>
        <w:jc w:val="left"/>
      </w:pPr>
      <w:r>
        <w:rPr>
          <w:rFonts w:ascii="Arial" w:cs="Arial" w:eastAsia="Arial" w:hAnsi="Arial"/>
          <w:b w:val="false"/>
          <w:bCs w:val="false"/>
          <w:i w:val="false"/>
          <w:iCs w:val="false"/>
          <w:color w:val="1C1C2E"/>
          <w:sz w:val="20"/>
          <w:szCs w:val="20"/>
        </w:rPr>
        <w:t xml:space="preserve">Record every formal review of a CSMS policy or procedure. A review must confirm: the document is current (reflects current systems, threats, and regulations); it is being followed (compliance check); and it requires no update, or updates are documented and issued.</w:t>
      </w:r>
    </w:p>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1000"/>
        <w:gridCol w:w="1600"/>
        <w:gridCol w:w="1400"/>
        <w:gridCol w:w="1600"/>
        <w:gridCol w:w="2360"/>
      </w:tblGrid>
      <w:tr>
        <w:tc>
          <w:tcPr>
            <w:tcW w:type="dxa" w:w="14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Doc Ref</w:t>
            </w:r>
          </w:p>
        </w:tc>
        <w:tc>
          <w:tcPr>
            <w:tcW w:type="dxa" w:w="10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Version</w:t>
            </w:r>
          </w:p>
        </w:tc>
        <w:tc>
          <w:tcPr>
            <w:tcW w:type="dxa" w:w="16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Review Date</w:t>
            </w:r>
          </w:p>
        </w:tc>
        <w:tc>
          <w:tcPr>
            <w:tcW w:type="dxa" w:w="14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Review Lead</w:t>
            </w:r>
          </w:p>
        </w:tc>
        <w:tc>
          <w:tcPr>
            <w:tcW w:type="dxa" w:w="16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Outcome</w:t>
            </w:r>
          </w:p>
        </w:tc>
        <w:tc>
          <w:tcPr>
            <w:tcW w:type="dxa" w:w="23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Actions / Next Review</w:t>
            </w:r>
          </w:p>
        </w:tc>
      </w:tr>
      <w:tr>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[Doc ref]</w:t>
            </w:r>
          </w:p>
        </w:tc>
        <w:tc>
          <w:tcPr>
            <w:tcW w:type="dxa" w:w="1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[v1.0]</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[No update required / Updated — new version issued / Withdrawn]</w:t>
            </w:r>
          </w:p>
        </w:tc>
        <w:tc>
          <w:tcPr>
            <w:tcW w:type="dxa" w:w="23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[Update description + target issue date / Next review date]</w:t>
            </w:r>
          </w:p>
        </w:tc>
      </w:tr>
      <w:tr>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[Doc ref]</w:t>
            </w:r>
          </w:p>
        </w:tc>
        <w:tc>
          <w:tcPr>
            <w:tcW w:type="dxa" w:w="1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[v1.0]</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[No update required / Updated — new version issued / Withdrawn]</w:t>
            </w:r>
          </w:p>
        </w:tc>
        <w:tc>
          <w:tcPr>
            <w:tcW w:type="dxa" w:w="23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[Update description + target issue date / Next review date]</w:t>
            </w:r>
          </w:p>
        </w:tc>
      </w:tr>
      <w:tr>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[Doc ref]</w:t>
            </w:r>
          </w:p>
        </w:tc>
        <w:tc>
          <w:tcPr>
            <w:tcW w:type="dxa" w:w="1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[v1.0]</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[No update required / Updated — new version issued / Withdrawn]</w:t>
            </w:r>
          </w:p>
        </w:tc>
        <w:tc>
          <w:tcPr>
            <w:tcW w:type="dxa" w:w="23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[Update description + target issue date / Next review date]</w:t>
            </w:r>
          </w:p>
        </w:tc>
      </w:tr>
      <w:tr>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[Doc ref]</w:t>
            </w:r>
          </w:p>
        </w:tc>
        <w:tc>
          <w:tcPr>
            <w:tcW w:type="dxa" w:w="1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[v1.0]</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[No update required / Updated — new version issued / Withdrawn]</w:t>
            </w:r>
          </w:p>
        </w:tc>
        <w:tc>
          <w:tcPr>
            <w:tcW w:type="dxa" w:w="23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[Update description + target issue date / Next review date]</w:t>
            </w:r>
          </w:p>
        </w:tc>
      </w:tr>
      <w:tr>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[Doc ref]</w:t>
            </w:r>
          </w:p>
        </w:tc>
        <w:tc>
          <w:tcPr>
            <w:tcW w:type="dxa" w:w="1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[v1.0]</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[No update required / Updated — new version issued / Withdrawn]</w:t>
            </w:r>
          </w:p>
        </w:tc>
        <w:tc>
          <w:tcPr>
            <w:tcW w:type="dxa" w:w="23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[Update description + target issue date / Next review date]</w:t>
            </w:r>
          </w:p>
        </w:tc>
      </w:tr>
      <w:tr>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[Doc ref]</w:t>
            </w:r>
          </w:p>
        </w:tc>
        <w:tc>
          <w:tcPr>
            <w:tcW w:type="dxa" w:w="1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[v1.0]</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[No update required / Updated — new version issued / Withdrawn]</w:t>
            </w:r>
          </w:p>
        </w:tc>
        <w:tc>
          <w:tcPr>
            <w:tcW w:type="dxa" w:w="23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[Update description + target issue date / Next review date]</w:t>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5. Policy Review Trigger Register</w:t>
      </w:r>
    </w:p>
    <w:p>
      <w:pPr>
        <w:spacing w:after="60" w:before="60"/>
        <w:jc w:val="left"/>
      </w:pPr>
      <w:r>
        <w:rPr>
          <w:rFonts w:ascii="Arial" w:cs="Arial" w:eastAsia="Arial" w:hAnsi="Arial"/>
          <w:b w:val="false"/>
          <w:bCs w:val="false"/>
          <w:i w:val="false"/>
          <w:iCs w:val="false"/>
          <w:color w:val="1C1C2E"/>
          <w:sz w:val="20"/>
          <w:szCs w:val="20"/>
        </w:rPr>
        <w:t xml:space="preserve">Policies must be reviewed on a schedule AND on the occurrence of specific triggers. Record trigger-driven reviews here. These are in addition to the annual scheduled reviews above.</w:t>
      </w:r>
    </w:p>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2000"/>
        <w:gridCol w:w="2000"/>
        <w:gridCol w:w="1600"/>
        <w:gridCol w:w="2560"/>
      </w:tblGrid>
      <w:tr>
        <w:tc>
          <w:tcPr>
            <w:tcW w:type="dxa" w:w="120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Date</w:t>
            </w:r>
          </w:p>
        </w:tc>
        <w:tc>
          <w:tcPr>
            <w:tcW w:type="dxa" w:w="200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Trigger Event</w:t>
            </w:r>
          </w:p>
        </w:tc>
        <w:tc>
          <w:tcPr>
            <w:tcW w:type="dxa" w:w="200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Policy / Procedure Affected</w:t>
            </w:r>
          </w:p>
        </w:tc>
        <w:tc>
          <w:tcPr>
            <w:tcW w:type="dxa" w:w="160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Review Conducted By</w:t>
            </w:r>
          </w:p>
        </w:tc>
        <w:tc>
          <w:tcPr>
            <w:tcW w:type="dxa" w:w="256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Outcome</w:t>
            </w:r>
          </w:p>
        </w:tc>
      </w:tr>
      <w:tr>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[Incident / Regulatory change / System change / Audit finding / ICS-CERT advisory]</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[List documents reviewed]</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2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[No change required / Updated — version X.X issued / Further review required]</w:t>
            </w:r>
          </w:p>
        </w:tc>
      </w:tr>
      <w:tr>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[Incident / Regulatory change / System change / Audit finding / ICS-CERT advisory]</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[List documents reviewed]</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2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[No change required / Updated — version X.X issued / Further review required]</w:t>
            </w:r>
          </w:p>
        </w:tc>
      </w:tr>
      <w:tr>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[Incident / Regulatory change / System change / Audit finding / ICS-CERT advisory]</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[List documents reviewed]</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2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[No change required / Updated — version X.X issued / Further review required]</w:t>
            </w:r>
          </w:p>
        </w:tc>
      </w:tr>
      <w:tr>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[Incident / Regulatory change / System change / Audit finding / ICS-CERT advisory]</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[List documents reviewed]</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2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[No change required / Updated — version X.X issued / Further review required]</w:t>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6. Policy Communication Compliance Summary</w:t>
      </w:r>
    </w:p>
    <w:p>
      <w:pPr>
        <w:spacing w:after="60" w:before="60"/>
        <w:jc w:val="left"/>
      </w:pPr>
      <w:r>
        <w:rPr>
          <w:rFonts w:ascii="Arial" w:cs="Arial" w:eastAsia="Arial" w:hAnsi="Arial"/>
          <w:b w:val="false"/>
          <w:bCs w:val="false"/>
          <w:i w:val="false"/>
          <w:iCs w:val="false"/>
          <w:color w:val="1C1C2E"/>
          <w:sz w:val="20"/>
          <w:szCs w:val="20"/>
        </w:rPr>
        <w:t xml:space="preserve">Report to CSMS Steering Committee quarterly. Confirm all in-scope personnel have received current policies.</w:t>
      </w:r>
    </w:p>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1640"/>
        <w:gridCol w:w="1640"/>
        <w:gridCol w:w="1640"/>
        <w:gridCol w:w="1640"/>
      </w:tblGrid>
      <w:tr>
        <w:tc>
          <w:tcPr>
            <w:tcW w:type="dxa" w:w="28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Policy / Doc Ref</w:t>
            </w:r>
          </w:p>
        </w:tc>
        <w:tc>
          <w:tcPr>
            <w:tcW w:type="dxa" w:w="16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In-Scope Headcount</w:t>
            </w:r>
          </w:p>
        </w:tc>
        <w:tc>
          <w:tcPr>
            <w:tcW w:type="dxa" w:w="16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Communicated To</w:t>
            </w:r>
          </w:p>
        </w:tc>
        <w:tc>
          <w:tcPr>
            <w:tcW w:type="dxa" w:w="16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Outstanding</w:t>
            </w:r>
          </w:p>
        </w:tc>
        <w:tc>
          <w:tcPr>
            <w:tcW w:type="dxa" w:w="16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 Compliant</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CSMS-POA-010 — High-Level Policy</w:t>
            </w:r>
          </w:p>
        </w:tc>
        <w:tc>
          <w:tcPr>
            <w:tcW w:type="dxa" w:w="16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[Count]</w:t>
            </w:r>
          </w:p>
        </w:tc>
        <w:tc>
          <w:tcPr>
            <w:tcW w:type="dxa" w:w="16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[Count]</w:t>
            </w:r>
          </w:p>
        </w:tc>
        <w:tc>
          <w:tcPr>
            <w:tcW w:type="dxa" w:w="16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[Count]</w:t>
            </w:r>
          </w:p>
        </w:tc>
        <w:tc>
          <w:tcPr>
            <w:tcW w:type="dxa" w:w="16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CSMS-POA-004 — Training Programme</w:t>
            </w:r>
          </w:p>
        </w:tc>
        <w:tc>
          <w:tcPr>
            <w:tcW w:type="dxa" w:w="16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[Count]</w:t>
            </w:r>
          </w:p>
        </w:tc>
        <w:tc>
          <w:tcPr>
            <w:tcW w:type="dxa" w:w="16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[Count]</w:t>
            </w:r>
          </w:p>
        </w:tc>
        <w:tc>
          <w:tcPr>
            <w:tcW w:type="dxa" w:w="16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[Count]</w:t>
            </w:r>
          </w:p>
        </w:tc>
        <w:tc>
          <w:tcPr>
            <w:tcW w:type="dxa" w:w="16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CSMS-POA-008 — Backup Procedure (relevant staff)</w:t>
            </w:r>
          </w:p>
        </w:tc>
        <w:tc>
          <w:tcPr>
            <w:tcW w:type="dxa" w:w="16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[Count]</w:t>
            </w:r>
          </w:p>
        </w:tc>
        <w:tc>
          <w:tcPr>
            <w:tcW w:type="dxa" w:w="16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[Count]</w:t>
            </w:r>
          </w:p>
        </w:tc>
        <w:tc>
          <w:tcPr>
            <w:tcW w:type="dxa" w:w="16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[Count]</w:t>
            </w:r>
          </w:p>
        </w:tc>
        <w:tc>
          <w:tcPr>
            <w:tcW w:type="dxa" w:w="16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CSMS-POA-007 — BCP (relevant roles)</w:t>
            </w:r>
          </w:p>
        </w:tc>
        <w:tc>
          <w:tcPr>
            <w:tcW w:type="dxa" w:w="16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[Count]</w:t>
            </w:r>
          </w:p>
        </w:tc>
        <w:tc>
          <w:tcPr>
            <w:tcW w:type="dxa" w:w="16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[Count]</w:t>
            </w:r>
          </w:p>
        </w:tc>
        <w:tc>
          <w:tcPr>
            <w:tcW w:type="dxa" w:w="16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[Count]</w:t>
            </w:r>
          </w:p>
        </w:tc>
        <w:tc>
          <w:tcPr>
            <w:tcW w:type="dxa" w:w="16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CSMS-IM-016 — Incident Response Plan (relevant roles)</w:t>
            </w:r>
          </w:p>
        </w:tc>
        <w:tc>
          <w:tcPr>
            <w:tcW w:type="dxa" w:w="16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[Count]</w:t>
            </w:r>
          </w:p>
        </w:tc>
        <w:tc>
          <w:tcPr>
            <w:tcW w:type="dxa" w:w="16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[Count]</w:t>
            </w:r>
          </w:p>
        </w:tc>
        <w:tc>
          <w:tcPr>
            <w:tcW w:type="dxa" w:w="16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[Count]</w:t>
            </w:r>
          </w:p>
        </w:tc>
        <w:tc>
          <w:tcPr>
            <w:tcW w:type="dxa" w:w="16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w:t>
            </w:r>
          </w:p>
        </w:tc>
      </w:tr>
      <w:tr>
        <w:tc>
          <w:tcPr>
            <w:tcW w:type="dxa" w:w="28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OVERALL</w:t>
            </w:r>
          </w:p>
        </w:tc>
        <w:tc>
          <w:tcPr>
            <w:tcW w:type="dxa" w:w="16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[Total]</w:t>
            </w:r>
          </w:p>
        </w:tc>
        <w:tc>
          <w:tcPr>
            <w:tcW w:type="dxa" w:w="16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[Total]</w:t>
            </w:r>
          </w:p>
        </w:tc>
        <w:tc>
          <w:tcPr>
            <w:tcW w:type="dxa" w:w="16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[Total]</w:t>
            </w:r>
          </w:p>
        </w:tc>
        <w:tc>
          <w:tcPr>
            <w:tcW w:type="dxa" w:w="1640"/>
            <w:tcBorders>
              <w:top w:val="single" w:color="00A896" w:sz="4"/>
              <w:left w:val="single" w:color="00A896" w:sz="4"/>
              <w:bottom w:val="single" w:color="00A896" w:sz="4"/>
              <w:right w:val="single" w:color="00A896" w:sz="4"/>
            </w:tcBorders>
            <w:shd w:fill="E0F7F5"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w:t>
            </w:r>
          </w:p>
        </w:tc>
      </w:tr>
    </w:tbl>
    <w:p>
      <w:pPr>
        <w:spacing w:after="0" w:before="200"/>
      </w:pPr>
      <w:r>
        <w:rPr>
          <w:rFonts w:ascii="Arial" w:cs="Arial" w:eastAsia="Arial" w:hAnsi="Arial"/>
          <w:b w:val="false"/>
          <w:bCs w:val="false"/>
          <w:i w:val="false"/>
          <w:iCs w:val="false"/>
          <w:color w:val="1C1C2E"/>
          <w:sz w:val="20"/>
          <w:szCs w:val="20"/>
        </w:rPr>
        <w:t xml:space="preserve"/>
      </w:r>
    </w:p>
    <w:p>
      <w:pPr>
        <w:pBdr>
          <w:bottom w:val="single" w:color="E8EEF4" w:sz="4" w:space="2"/>
        </w:pBdr>
        <w:spacing w:after="100" w:before="10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Document Review and Approval History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Prepared By</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Reviewed By</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Approved By</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Next Review</w:t>
            </w:r>
          </w:p>
        </w:tc>
      </w:tr>
      <w:tr>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[Name]
[Title]
[Signature]
[Date]</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[Name]
[Title]
[Signature]
[Date]</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[Name]
[Title]
[Signature]
[Date]</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[Date — minimum annual]</w:t>
            </w:r>
          </w:p>
        </w:tc>
      </w:tr>
    </w:tbl>
    <w:p>
      <w:pPr>
        <w:spacing w:after="0" w:before="8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0A896"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200"/>
            <w:tcBorders>
              <w:top w:val="none" w:color="FFFFFF" w:sz="0"/>
              <w:left w:val="none" w:color="FFFFFF" w:sz="0"/>
              <w:bottom w:val="none" w:color="FFFFFF" w:sz="0"/>
              <w:right w:val="none" w:color="FFFFFF" w:sz="0"/>
            </w:tcBorders>
            <w:shd w:fill="E0F7F5" w:val="clear"/>
            <w:tcMar>
              <w:top w:type="dxa" w:w="80"/>
              <w:left w:type="dxa" w:w="120"/>
              <w:bottom w:type="dxa" w:w="80"/>
              <w:right w:type="dxa" w:w="120"/>
            </w:tcMar>
            <w:vAlign w:val="top"/>
          </w:tcPr>
          <w:p>
            <w:pPr>
              <w:spacing w:after="40" w:before="80"/>
            </w:pPr>
            <w:r>
              <w:rPr>
                <w:rFonts w:ascii="Arial" w:cs="Arial" w:eastAsia="Arial" w:hAnsi="Arial"/>
                <w:b/>
                <w:bCs/>
                <w:i w:val="false"/>
                <w:iCs w:val="false"/>
                <w:color w:val="00A896"/>
                <w:sz w:val="19"/>
                <w:szCs w:val="19"/>
              </w:rPr>
              <w:t xml:space="preserve">Version Control</w:t>
            </w:r>
          </w:p>
          <w:p>
            <w:pPr>
              <w:spacing w:after="80" w:before="0"/>
            </w:pPr>
            <w:r>
              <w:rPr>
                <w:rFonts w:ascii="Arial" w:cs="Arial" w:eastAsia="Arial" w:hAnsi="Arial"/>
                <w:b w:val="false"/>
                <w:bCs w:val="false"/>
                <w:i w:val="false"/>
                <w:iCs w:val="false"/>
                <w:color w:val="455A64"/>
                <w:sz w:val="19"/>
                <w:szCs w:val="19"/>
              </w:rPr>
              <w:t xml:space="preserve">All amendments must be recorded below. No change is valid without written approval from the document owner. Superseded versions are archived and retained for a minimum of five years.</w:t>
            </w:r>
          </w:p>
        </w:tc>
      </w:tr>
    </w:tbl>
    <w:p>
      <w:pPr>
        <w:spacing w:after="0" w:before="8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1600"/>
        <w:gridCol w:w="2400"/>
        <w:gridCol w:w="4160"/>
      </w:tblGrid>
      <w:tr>
        <w:tc>
          <w:tcPr>
            <w:tcW w:type="dxa" w:w="120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Ver</w:t>
            </w:r>
          </w:p>
        </w:tc>
        <w:tc>
          <w:tcPr>
            <w:tcW w:type="dxa" w:w="160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Date</w:t>
            </w:r>
          </w:p>
        </w:tc>
        <w:tc>
          <w:tcPr>
            <w:tcW w:type="dxa" w:w="240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Author</w:t>
            </w:r>
          </w:p>
        </w:tc>
        <w:tc>
          <w:tcPr>
            <w:tcW w:type="dxa" w:w="416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Summary of Changes</w:t>
            </w:r>
          </w:p>
        </w:tc>
      </w:tr>
      <w:tr>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w:t>
            </w:r>
          </w:p>
        </w:tc>
        <w:tc>
          <w:tcPr>
            <w:tcW w:type="dxa" w:w="41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Initial issue</w:t>
            </w:r>
          </w:p>
        </w:tc>
      </w:tr>
      <w:tr>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41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r>
    </w:tbl>
    <w:p>
      <w:pPr>
        <w:spacing w:after="0" w:before="60"/>
      </w:pPr>
      <w:r>
        <w:rPr>
          <w:rFonts w:ascii="Arial" w:cs="Arial" w:eastAsia="Arial" w:hAnsi="Arial"/>
          <w:b w:val="false"/>
          <w:bCs w:val="false"/>
          <w:i w:val="false"/>
          <w:iCs w:val="false"/>
          <w:color w:val="1C1C2E"/>
          <w:sz w:val="20"/>
          <w:szCs w:val="20"/>
        </w:rPr>
        <w:t xml:space="preserve"/>
      </w:r>
    </w:p>
    <w:p>
      <w:pPr>
        <w:spacing w:after="40" w:before="80"/>
        <w:jc w:val="left"/>
      </w:pPr>
      <w:r>
        <w:rPr>
          <w:rFonts w:ascii="Arial" w:cs="Arial" w:eastAsia="Arial" w:hAnsi="Arial"/>
          <w:b w:val="false"/>
          <w:bCs w:val="false"/>
          <w:i w:val="false"/>
          <w:iCs w:val="false"/>
          <w:color w:val="B0BEC5"/>
          <w:sz w:val="17"/>
          <w:szCs w:val="17"/>
        </w:rPr>
        <w:t xml:space="preserve">Document Reference: F4A261  ·  Classification: RESTRICTED  ·  © [Organisation Name]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EF4" w:sz="4" w:space="4"/>
      </w:pBdr>
      <w:tabs>
        <w:tab w:val="right" w:pos="9360"/>
      </w:tabs>
      <w:spacing w:after="0" w:before="80"/>
    </w:pPr>
    <w:r>
      <w:rPr>
        <w:rFonts w:ascii="Arial" w:cs="Arial" w:eastAsia="Arial" w:hAnsi="Arial"/>
        <w:b w:val="false"/>
        <w:bCs w:val="false"/>
        <w:i w:val="false"/>
        <w:iCs w:val="false"/>
        <w:color w:val="B0BEC5"/>
        <w:sz w:val="16"/>
        <w:szCs w:val="16"/>
      </w:rPr>
      <w:t xml:space="preserve">Policy Communication and Review Records</w:t>
    </w:r>
    <w:r>
      <w:rPr>
        <w:rFonts w:ascii="Arial" w:cs="Arial" w:eastAsia="Arial" w:hAnsi="Arial"/>
        <w:sz w:val="16"/>
        <w:szCs w:val="16"/>
      </w:rPr>
      <w:t xml:space="preserve">	</w:t>
    </w:r>
    <w:r>
      <w:rPr>
        <w:rFonts w:ascii="Arial" w:cs="Arial" w:eastAsia="Arial" w:hAnsi="Arial"/>
        <w:b w:val="false"/>
        <w:bCs w:val="false"/>
        <w:i w:val="false"/>
        <w:iCs w:val="false"/>
        <w:color w:val="B0BEC5"/>
        <w:sz w:val="16"/>
        <w:szCs w:val="16"/>
      </w:rPr>
      <w:t xml:space="preserve">Page </w:t>
    </w:r>
    <w:r>
      <w:rPr>
        <w:rFonts w:ascii="Arial" w:cs="Arial" w:eastAsia="Arial" w:hAnsi="Arial"/>
        <w:color w:val="B0BEC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EF4" w:sz="4" w:space="4"/>
      </w:pBdr>
      <w:tabs>
        <w:tab w:val="right" w:pos="9360"/>
      </w:tabs>
      <w:spacing w:after="80" w:before="0"/>
    </w:pPr>
    <w:r>
      <w:rPr>
        <w:rFonts w:ascii="Arial" w:cs="Arial" w:eastAsia="Arial" w:hAnsi="Arial"/>
        <w:b w:val="false"/>
        <w:bCs w:val="false"/>
        <w:i w:val="false"/>
        <w:iCs w:val="false"/>
        <w:color w:val="B0BEC5"/>
        <w:sz w:val="16"/>
        <w:szCs w:val="16"/>
      </w:rPr>
      <w:t xml:space="preserve">IEC 62443-2-1:2010 CSMS  ·  CSMS-POA-013  ·  [Organisation Name]</w:t>
    </w:r>
    <w:r>
      <w:rPr>
        <w:rFonts w:ascii="Arial" w:cs="Arial" w:eastAsia="Arial" w:hAnsi="Arial"/>
        <w:sz w:val="16"/>
        <w:szCs w:val="16"/>
      </w:rPr>
      <w:t xml:space="preserve">	</w:t>
    </w:r>
    <w:r>
      <w:rPr>
        <w:rFonts w:ascii="Arial" w:cs="Arial" w:eastAsia="Arial" w:hAnsi="Arial"/>
        <w:b/>
        <w:bCs/>
        <w:i w:val="false"/>
        <w:iCs w:val="false"/>
        <w:color w:val="E76F51"/>
        <w:sz w:val="16"/>
        <w:szCs w:val="16"/>
      </w:rPr>
      <w:t xml:space="preserve">RESTRICTED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2026-05-07T05:00:26.004Z</dcterms:created>
  <dcterms:modified xsi:type="dcterms:W3CDTF">2026-05-07T05:00:26.004Z</dcterms:modified>
</cp:coreProperties>
</file>

<file path=docProps/custom.xml><?xml version="1.0" encoding="utf-8"?>
<Properties xmlns="http://schemas.openxmlformats.org/officeDocument/2006/custom-properties" xmlns:vt="http://schemas.openxmlformats.org/officeDocument/2006/docPropsVTypes"/>
</file>