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0"/>
          <w:szCs w:val="40"/>
        </w:rPr>
        <w:t xml:space="preserve">RISK ANALYSIS AND ASSESSMENT</w:t>
      </w:r>
    </w:p>
    <w:p>
      <w:pPr>
        <w:spacing w:after="80"/>
        <w:jc w:val="center"/>
      </w:pPr>
      <w:r>
        <w:rPr>
          <w:rFonts w:ascii="Arial" w:cs="Arial" w:eastAsia="Arial" w:hAnsi="Arial"/>
          <w:i/>
          <w:iCs/>
          <w:color w:val="2E75B6"/>
          <w:sz w:val="28"/>
          <w:szCs w:val="28"/>
        </w:rPr>
        <w:t xml:space="preserve">Third Edition</w:t>
      </w:r>
    </w:p>
    <w:p>
      <w:pPr>
        <w:spacing w:after="400"/>
      </w:pPr>
      <w:r>
        <w:t xml:space="preserve"/>
      </w:r>
    </w:p>
    <w:p>
      <w:pPr>
        <w:spacing w:after="80"/>
        <w:jc w:val="center"/>
      </w:pPr>
      <w:r>
        <w:rPr>
          <w:rFonts w:ascii="Arial" w:cs="Arial" w:eastAsia="Arial" w:hAnsi="Arial"/>
          <w:b/>
          <w:bCs/>
          <w:color w:val="2E75B6"/>
          <w:sz w:val="24"/>
          <w:szCs w:val="24"/>
        </w:rPr>
        <w:t xml:space="preserve">PART III: CSMS IMPLEMENTATION AND MONITORING</w:t>
      </w:r>
    </w:p>
    <w:p>
      <w:pPr>
        <w:spacing w:after="800"/>
      </w:pPr>
      <w:r>
        <w:t xml:space="preserve"/>
      </w:r>
    </w:p>
    <w:p>
      <w:pPr>
        <w:spacing w:after="80"/>
        <w:jc w:val="center"/>
      </w:pPr>
      <w:r>
        <w:rPr>
          <w:rFonts w:ascii="Arial" w:cs="Arial" w:eastAsia="Arial" w:hAnsi="Arial"/>
          <w:b/>
          <w:bCs/>
          <w:color w:val="1F3864"/>
          <w:sz w:val="50"/>
          <w:szCs w:val="50"/>
        </w:rPr>
        <w:t xml:space="preserve">CHAPTER 13</w:t>
      </w:r>
    </w:p>
    <w:p>
      <w:pPr>
        <w:spacing w:after="80"/>
        <w:jc w:val="center"/>
      </w:pPr>
      <w:r>
        <w:rPr>
          <w:rFonts w:ascii="Arial" w:cs="Arial" w:eastAsia="Arial" w:hAnsi="Arial"/>
          <w:b/>
          <w:bCs/>
          <w:color w:val="1F3864"/>
          <w:sz w:val="38"/>
          <w:szCs w:val="38"/>
        </w:rPr>
        <w:t xml:space="preserve">Operational Security Processes</w:t>
      </w:r>
    </w:p>
    <w:p>
      <w:pPr>
        <w:spacing w:after="160"/>
        <w:jc w:val="center"/>
      </w:pPr>
      <w:r>
        <w:rPr>
          <w:rFonts w:ascii="Arial" w:cs="Arial" w:eastAsia="Arial" w:hAnsi="Arial"/>
          <w:i/>
          <w:iCs/>
          <w:color w:val="2E75B6"/>
          <w:sz w:val="22"/>
          <w:szCs w:val="22"/>
        </w:rPr>
        <w:t xml:space="preserve">Sustaining the CSMS Through Incident Response, Change Management, Vendor Security, and Personnel Controls</w:t>
      </w:r>
    </w:p>
    <w:p>
      <w:r>
        <w:br w:type="page"/>
      </w:r>
    </w:p>
    <w:p>
      <w:pPr>
        <w:spacing w:after="160" w:before="200"/>
      </w:pPr>
      <w:r>
        <w:rPr>
          <w:rFonts w:ascii="Arial" w:cs="Arial" w:eastAsia="Arial" w:hAnsi="Arial"/>
          <w:b/>
          <w:bCs/>
          <w:color w:val="1F3864"/>
          <w:sz w:val="30"/>
          <w:szCs w:val="30"/>
        </w:rPr>
        <w:t xml:space="preserve">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completion of this chapter, the student will be able 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Explain the lifecycle of an OT security incident — from initial detection through containment, eradication, recovery, and post-incident review — and apply IEC 62443-2-1 Category 2 requirements to the design of an OT-specific incident response plan that integrates with physical emergency response and process safety management.</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2.  Design and execute an OT security incident response plan for a realistic industrial scenario, identifying the specific decision points, communication requirements, escalation paths, and technical actions required at each phase of the response, and demonstrating the integration between cyber incident response and physical consequence management.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3.  Explain the purpose, structure, and governance of the OT change management process as a security control — distinguishing between routine, standard, and emergency change types — and evaluate the security implications of unmanaged change in OT environments with reference to documented incident case studies.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4.  Design a comprehensive OT vendor and third-party security management programme — from pre-engagement security assessment through contractual security requirements, onsite access control, remote access management, and ongoing performance monitoring — applying IEC 62443-2-4 requirements to vendor security governance.</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5.  Explain the role of personnel security controls — pre-employment screening, security responsibilities in employment terms, role-change and departure procedures, and insider threat management — in the OT security framework, and design a personnel security programme appropriate for a process industry OT environment.</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6.  Develop a physical security programme for OT environments that integrates with the zone and conduit network architecture — addressing control room access, engineering workstation security, field device access control, and portable media management — and evaluate the security implications of physical security failures in OT incident case studies.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7.  Design a structured OT security exercise programme — including tabletop exercises, functional exercises, and red team assessments — that tests the organisational response capability established by the CSMS governance framework and the technical controls of Chapter 12, and produces documented improvement actions for CSMS development.</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8.  Apply the operational security process framework to the Sunrise Refinery case study, producing a complete set of operational security procedures — incident response plan, change management procedure, vendor access procedure, and security exercise plan — that demonstrate integration between the governance, technical, and operational dimensions of the CSMS.</w:t>
            </w:r>
          </w:p>
        </w:tc>
      </w:tr>
    </w:tbl>
    <w:p>
      <w:pPr>
        <w:spacing w:after="400"/>
      </w:pPr>
      <w:r>
        <w:t xml:space="preserve"/>
      </w:r>
    </w:p>
    <w:p>
      <w:pPr>
        <w:pStyle w:val="Heading1"/>
        <w:spacing w:after="200" w:before="400"/>
      </w:pPr>
      <w:r>
        <w:rPr>
          <w:rFonts w:ascii="Arial" w:cs="Arial" w:eastAsia="Arial" w:hAnsi="Arial"/>
          <w:b/>
          <w:bCs/>
          <w:color w:val="1F3864"/>
          <w:sz w:val="34"/>
          <w:szCs w:val="34"/>
        </w:rPr>
        <w:t xml:space="preserve">13.1  Introduction: The Operational Dimension of the CSMS</w:t>
      </w:r>
    </w:p>
    <w:p>
      <w:pPr>
        <w:spacing w:after="160" w:line="276"/>
        <w:jc w:val="both"/>
      </w:pPr>
      <w:r>
        <w:rPr>
          <w:rFonts w:ascii="Arial" w:cs="Arial" w:eastAsia="Arial" w:hAnsi="Arial"/>
          <w:b w:val="false"/>
          <w:bCs w:val="false"/>
          <w:color w:val="000000"/>
          <w:sz w:val="22"/>
          <w:szCs w:val="22"/>
        </w:rPr>
        <w:t xml:space="preserve">Chapters 11 and 12 have established the two foundational layers of the CSMS: the governance framework that defines policy, accountability, and management commitment; and the technical control architecture that implements network segmentation, identity management, security monitoring, patch management, and remote access security. These two layers are necessary but not sufficient. A CSMS that has well-designed governance and well-engineered technical controls but lacks the operational processes to sustain them will degrade — progressively and predictably — as the technical controls drift from their specified configuration, as the governance framework loses the active engagement of the people responsible for it, and as the threat landscape evolves while the CSMS remains static.</w:t>
      </w:r>
    </w:p>
    <w:p>
      <w:pPr>
        <w:spacing w:after="160" w:line="276"/>
        <w:jc w:val="both"/>
      </w:pPr>
      <w:r>
        <w:rPr>
          <w:rFonts w:ascii="Arial" w:cs="Arial" w:eastAsia="Arial" w:hAnsi="Arial"/>
          <w:b w:val="false"/>
          <w:bCs w:val="false"/>
          <w:color w:val="000000"/>
          <w:sz w:val="22"/>
          <w:szCs w:val="22"/>
        </w:rPr>
        <w:t xml:space="preserve">The operational security processes addressed in this chapter are the mechanisms by which the CSMS is kept alive — the day-to-day and week-to-week activities that convert governance intent and technical capability into sustained risk reduction. They address four domains that, in the author's experience of operating CSMS programmes across multiple industrial sectors, most consistently determine whether a CSMS maintains its effectiveness beyond the initial implementation phase: incident response (Section 13.2), which determines how effectively the organisation detects, contains, and recovers from OT security events; change management (Section 13.3), which determines whether the OT security posture degrades with every system change or whether changes are evaluated and implemented in a security-preserving manner; vendor and third-party security management (Section 13.4), which determines whether the CSMS boundary extends to include the external parties who have access to OT systems; personnel security (Section 13.5), which addresses the human dimension of OT security risk; physical security (Section 13.6), which addresses the physical access controls that protect OT systems from the class of threats that technical network controls cannot address; and security exercises (Section 13.7), which test and develop the organisational response capability that technical controls alone cannot provide.</w:t>
      </w:r>
    </w:p>
    <w:p>
      <w:pPr>
        <w:spacing w:after="160" w:line="276"/>
        <w:jc w:val="both"/>
      </w:pPr>
      <w:r>
        <w:rPr>
          <w:rFonts w:ascii="Arial" w:cs="Arial" w:eastAsia="Arial" w:hAnsi="Arial"/>
          <w:b w:val="false"/>
          <w:bCs w:val="false"/>
          <w:color w:val="000000"/>
          <w:sz w:val="22"/>
          <w:szCs w:val="22"/>
        </w:rPr>
        <w:t xml:space="preserve">The common thread running through all six operational process domains is this: every process described in this chapter is, at its core, a mechanism for maintaining the currency of the CSMS — ensuring that the policies, controls, and procedures reflect the current state of the OT environment, the current threat landscape, and the current organisational capability. A CSMS that was accurate and effective at implementation but has not been maintained is not a CSMS — it is historical documentation. The operational processes of this chapter are what make the difference.</w:t>
      </w:r>
    </w:p>
    <w:p>
      <w:pPr>
        <w:spacing w:after="160" w:line="276"/>
        <w:jc w:val="both"/>
      </w:pPr>
      <w:r>
        <w:rPr>
          <w:rFonts w:ascii="Arial" w:cs="Arial" w:eastAsia="Arial" w:hAnsi="Arial"/>
          <w:b w:val="false"/>
          <w:bCs w:val="false"/>
          <w:color w:val="000000"/>
          <w:sz w:val="22"/>
          <w:szCs w:val="22"/>
        </w:rPr>
        <w:t xml:space="preserve">The Sunrise Refinery case study is continued throughout this chapter, now at Month 18 of the CSMS establishment programme. At this stage, the governance framework (Chapter 11) is operational, the primary technical controls (Chapter 12) are substantially implemented, and the organisation is transitioning from implementation to operation — the phase in which the operational processes of this chapter become the primary determinants of ongoing security effectiveness.</w:t>
      </w:r>
    </w:p>
    <w:p>
      <w:r>
        <w:br w:type="page"/>
      </w:r>
    </w:p>
    <w:p>
      <w:pPr>
        <w:pStyle w:val="Heading1"/>
        <w:spacing w:after="200" w:before="400"/>
      </w:pPr>
      <w:r>
        <w:rPr>
          <w:rFonts w:ascii="Arial" w:cs="Arial" w:eastAsia="Arial" w:hAnsi="Arial"/>
          <w:b/>
          <w:bCs/>
          <w:color w:val="1F3864"/>
          <w:sz w:val="34"/>
          <w:szCs w:val="34"/>
        </w:rPr>
        <w:t xml:space="preserve">13.2  OT Security Incident Response</w:t>
      </w:r>
    </w:p>
    <w:p>
      <w:pPr>
        <w:spacing w:after="160" w:line="276"/>
        <w:jc w:val="both"/>
      </w:pPr>
      <w:r>
        <w:rPr>
          <w:rFonts w:ascii="Arial" w:cs="Arial" w:eastAsia="Arial" w:hAnsi="Arial"/>
          <w:b w:val="false"/>
          <w:bCs w:val="false"/>
          <w:color w:val="000000"/>
          <w:sz w:val="22"/>
          <w:szCs w:val="22"/>
        </w:rPr>
        <w:t xml:space="preserve">OT security incident response is the organised capability to detect, analyse, contain, eradicate, and recover from OT security events in a manner that preserves process safety, minimises operational disruption, preserves evidence for investigation and regulatory reporting, and enables the organisation to learn from the event to improve future resilience. IEC 62443-2-1 §4.3.2.8 (SHALL) requires that the organisation establish, maintain, and practise an OT security incident response capability. This SHALL requirement reflects a fundamental principle: it is not possible to prepare an effective response to an OT security incident in the moment the incident occurs. Effective incident response is the product of advance planning, trained personnel, tested procedures, and pre-established relationships — none of which can be improvised under the time pressure and operational disruption of an active incident.</w:t>
      </w:r>
    </w:p>
    <w:p>
      <w:pPr>
        <w:spacing w:after="160" w:line="276"/>
        <w:jc w:val="both"/>
      </w:pPr>
      <w:r>
        <w:rPr>
          <w:rFonts w:ascii="Arial" w:cs="Arial" w:eastAsia="Arial" w:hAnsi="Arial"/>
          <w:b w:val="false"/>
          <w:bCs w:val="false"/>
          <w:color w:val="000000"/>
          <w:sz w:val="22"/>
          <w:szCs w:val="22"/>
        </w:rPr>
        <w:t xml:space="preserve">The characteristics of OT security incidents that make them fundamentally different from IT security incidents — and that require a purpose-designed OT incident response approach — are well established in the literature and in documented incident case studies (Lee et al., 2016; CISA, 2021; Dragos, 2023):</w:t>
      </w:r>
    </w:p>
    <w:p>
      <w:pPr>
        <w:pStyle w:val="ListParagraph"/>
        <w:numPr>
          <w:ilvl w:val="0"/>
          <w:numId w:val="2"/>
        </w:numPr>
        <w:spacing w:after="100" w:line="276"/>
      </w:pPr>
      <w:r>
        <w:rPr>
          <w:rFonts w:ascii="Arial" w:cs="Arial" w:eastAsia="Arial" w:hAnsi="Arial"/>
          <w:sz w:val="22"/>
          <w:szCs w:val="22"/>
        </w:rPr>
        <w:t xml:space="preserve">Physical consequences: OT security incidents can directly cause physical consequences — process upsets, equipment damage, product release, fire, explosion, or environmental harm. The incident response process must integrate with the physical emergency response plan, the process safety management system, and the operations function in a way that no IT incident response process is required to do.</w:t>
      </w:r>
    </w:p>
    <w:p>
      <w:pPr>
        <w:pStyle w:val="ListParagraph"/>
        <w:numPr>
          <w:ilvl w:val="0"/>
          <w:numId w:val="2"/>
        </w:numPr>
        <w:spacing w:after="100" w:line="276"/>
      </w:pPr>
      <w:r>
        <w:rPr>
          <w:rFonts w:ascii="Arial" w:cs="Arial" w:eastAsia="Arial" w:hAnsi="Arial"/>
          <w:sz w:val="22"/>
          <w:szCs w:val="22"/>
        </w:rPr>
        <w:t xml:space="preserve">Safety-first response priority: The first priority of OT incident response is the establishment and maintenance of a safe process state — not the preservation of evidence, not the isolation of affected systems, not the continuation of operations. In IT incident response, evidence preservation is a primary concern. In OT incident response, if preserving evidence requires maintaining a potentially compromised control system in operation, the evidence is sacrificed to safety.</w:t>
      </w:r>
    </w:p>
    <w:p>
      <w:pPr>
        <w:pStyle w:val="ListParagraph"/>
        <w:numPr>
          <w:ilvl w:val="0"/>
          <w:numId w:val="2"/>
        </w:numPr>
        <w:spacing w:after="100" w:line="276"/>
      </w:pPr>
      <w:r>
        <w:rPr>
          <w:rFonts w:ascii="Arial" w:cs="Arial" w:eastAsia="Arial" w:hAnsi="Arial"/>
          <w:sz w:val="22"/>
          <w:szCs w:val="22"/>
        </w:rPr>
        <w:t xml:space="preserve">Availability over confidentiality: OT systems are designed for continuous operation. The incident response action that is standard in IT environments — isolating a compromised system from the network — can cause process upsets, loss of visibility, and potentially unsafe conditions in OT environments. The decision to isolate an OT system must be made with full understanding of the operational consequences, and must involve operations and process safety input, not just the IT/OT security function.</w:t>
      </w:r>
    </w:p>
    <w:p>
      <w:pPr>
        <w:pStyle w:val="ListParagraph"/>
        <w:numPr>
          <w:ilvl w:val="0"/>
          <w:numId w:val="2"/>
        </w:numPr>
        <w:spacing w:after="100" w:line="276"/>
      </w:pPr>
      <w:r>
        <w:rPr>
          <w:rFonts w:ascii="Arial" w:cs="Arial" w:eastAsia="Arial" w:hAnsi="Arial"/>
          <w:sz w:val="22"/>
          <w:szCs w:val="22"/>
        </w:rPr>
        <w:t xml:space="preserve">Extended recovery timelines: Recovering a compromised OT system is not equivalent to restoring an IT system from backup. OT system recovery requires validation that control logic has not been modified, verification of sensor and actuator integrity, operator verification of process state, and in some cases regulatory notification and approval before restart. Colonial Pipeline's six-day recovery period was not primarily due to technical remediation complexity — it was due to the verification requirements for resuming pipeline operations safely (CISA, 2021).</w:t>
      </w:r>
    </w:p>
    <w:p>
      <w:pPr>
        <w:pStyle w:val="ListParagraph"/>
        <w:numPr>
          <w:ilvl w:val="0"/>
          <w:numId w:val="2"/>
        </w:numPr>
        <w:spacing w:after="100" w:line="276"/>
      </w:pPr>
      <w:r>
        <w:rPr>
          <w:rFonts w:ascii="Arial" w:cs="Arial" w:eastAsia="Arial" w:hAnsi="Arial"/>
          <w:sz w:val="22"/>
          <w:szCs w:val="22"/>
        </w:rPr>
        <w:t xml:space="preserve">Limited forensic capability: OT systems generate limited security logs, often do not support standard forensic tools, and may not have been designed to preserve evidence of compromise. Forensic investigation of OT incidents requires specialised expertise and tools that most organisations do not maintain internally.</w:t>
      </w:r>
    </w:p>
    <w:p>
      <w:pPr>
        <w:pStyle w:val="Heading2"/>
        <w:spacing w:after="160" w:before="280"/>
      </w:pPr>
      <w:r>
        <w:rPr>
          <w:rFonts w:ascii="Arial" w:cs="Arial" w:eastAsia="Arial" w:hAnsi="Arial"/>
          <w:b/>
          <w:bCs/>
          <w:color w:val="2E75B6"/>
          <w:sz w:val="26"/>
          <w:szCs w:val="26"/>
        </w:rPr>
        <w:t xml:space="preserve">13.2.1  The OT Incident Response Lifecycle</w:t>
      </w:r>
    </w:p>
    <w:p>
      <w:pPr>
        <w:spacing w:after="160" w:line="276"/>
        <w:jc w:val="both"/>
      </w:pPr>
      <w:r>
        <w:rPr>
          <w:rFonts w:ascii="Arial" w:cs="Arial" w:eastAsia="Arial" w:hAnsi="Arial"/>
          <w:b w:val="false"/>
          <w:bCs w:val="false"/>
          <w:color w:val="000000"/>
          <w:sz w:val="22"/>
          <w:szCs w:val="22"/>
        </w:rPr>
        <w:t xml:space="preserve">The OT incident response lifecycle follows the six-phase structure adapted from NIST SP 800-61 (Computer Security Incident Handling Guide), modified to address the OT-specific considerations identified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80"/>
        <w:gridCol w:w="4580"/>
      </w:tblGrid>
      <w:tr>
        <w:tc>
          <w:tcPr>
            <w:tcW w:type="dxa" w:w="1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Phase</w:t>
            </w:r>
          </w:p>
        </w:tc>
        <w:tc>
          <w:tcPr>
            <w:tcW w:type="dxa" w:w="35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Activities</w:t>
            </w:r>
          </w:p>
        </w:tc>
        <w:tc>
          <w:tcPr>
            <w:tcW w:type="dxa" w:w="45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OT-Specific Considerations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Phase 1
Preparation</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Develop and maintain the OT incident response plan; train incident response personnel; establish communication trees; pre-position forensic tools; define severity classification criteria; establish relationships with external support (OT forensics vendor, CISA, sector CERT); conduct tabletop exercises.</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incident response plan must be separate from IT incident response plan or have a clearly defined OT annex. Must address the integration with physical emergency response. Must define the specific decision authority for OT isolation decisions — these are not IT decisions.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Phase 2
Detection &amp; Analysis</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Monitor OT-IDS, SIEM, and OT system logs for indicators of compromise; correlate alerts across multiple data sources; determine whether an alert represents a genuine security event; classify the event severity; initiate the notification chain.</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Many OT security events are first detected through process anomalies — unexpected process values, alarm floods, HMI display anomalies — not through security monitoring alerts. Operators must be trained to recognise cyber-induced process anomalies and to escalate appropriately. The first responder to an OT incident may be a control room operator, not a security analyst.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Phase 3
Containment</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Implement short-term containment actions to prevent the incident from spreading or causing further harm; isolate compromised systems where safe to do so; implement alternative monitoring arrangements; establish a clean communication channel for incident response coordination.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containment decisions must be made with operations and process safety input. Isolating a compromised OT system may cause process upsets or loss of operator visibility. In some cases, the safest short-term containment action is to move the process to a manual operating state and temporarily disable OT network connectivity — but this decision must be made by operations management, not by the security function alone.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Phase 4
Eradication</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Remove the cause of the incident — malware, unauthorised access, compromised credentials; restore compromised systems to a known-good state; verify the integrity of control logic and configuration; change all potentially compromised credentials; close the attack vector that enabled the incident.</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eradication must include verification that control logic has not been modified. This requires a comparison of deployed control logic against the authoritative backup — a step that requires OT engineering involvement and is technically specialised. Eradication of a compromised OT system may require re-imaging from clean media, re-loading control logic from backup, and full functional testing before reconnection.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Phase 5
Recovery</w:t>
            </w:r>
          </w:p>
        </w:tc>
        <w:tc>
          <w:tcPr>
            <w:tcW w:type="dxa" w:w="3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Return systems to normal operation in a controlled, verified sequence; test recovered systems before reconnection; monitor closely for recurrence; verify process safety system integrity before resuming hazardous operations; notify regulators as required.</w:t>
            </w:r>
          </w:p>
        </w:tc>
        <w:tc>
          <w:tcPr>
            <w:tcW w:type="dxa" w:w="4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recovery sequence is safety-critical. The order in which OT systems are restored and the verification steps required at each stage must be pre-defined in the incident response plan — not improvised during recovery under operational pressure. Regulatory notification requirements (COMAH, NIS2, Critical Infrastructure Act) must be addressed during recovery planning, not after the fact.</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Phase 6
Post-Incident Review</w:t>
            </w:r>
          </w:p>
        </w:tc>
        <w:tc>
          <w:tcPr>
            <w:tcW w:type="dxa" w:w="3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Conduct a structured review of the incident — what happened, how it was detected, how the response performed, what could have been done better; update the risk register; update incident response plan; update technical controls; communicate lessons learned.</w:t>
            </w:r>
          </w:p>
        </w:tc>
        <w:tc>
          <w:tcPr>
            <w:tcW w:type="dxa" w:w="45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post-incident review is a CSMS improvement input — the findings must flow back into the risk register, the treatment plan, the training programme, and the incident response plan. Organisations that treat post-incident review as a bureaucratic compliance exercise rather than a genuine improvement opportunity consistently repeat the same failure modes in subsequent incidents (Reason, 1997).</w:t>
            </w:r>
          </w:p>
        </w:tc>
      </w:tr>
    </w:tbl>
    <w:p>
      <w:pPr>
        <w:spacing w:after="220" w:before="80"/>
        <w:jc w:val="center"/>
      </w:pPr>
      <w:r>
        <w:rPr>
          <w:rFonts w:ascii="Arial" w:cs="Arial" w:eastAsia="Arial" w:hAnsi="Arial"/>
          <w:b/>
          <w:bCs/>
          <w:i/>
          <w:iCs/>
          <w:color w:val="1F3864"/>
          <w:sz w:val="20"/>
          <w:szCs w:val="20"/>
        </w:rPr>
        <w:t xml:space="preserve">Table 13.1: OT Security Incident Response Lifecycle — Six Phases</w:t>
      </w:r>
    </w:p>
    <w:p>
      <w:pPr>
        <w:spacing w:after="200"/>
      </w:pPr>
      <w:r>
        <w:t xml:space="preserve"/>
      </w:r>
    </w:p>
    <w:p>
      <w:pPr>
        <w:pStyle w:val="Heading2"/>
        <w:spacing w:after="160" w:before="280"/>
      </w:pPr>
      <w:r>
        <w:rPr>
          <w:rFonts w:ascii="Arial" w:cs="Arial" w:eastAsia="Arial" w:hAnsi="Arial"/>
          <w:b/>
          <w:bCs/>
          <w:color w:val="2E75B6"/>
          <w:sz w:val="26"/>
          <w:szCs w:val="26"/>
        </w:rPr>
        <w:t xml:space="preserve">13.2.2  Incident Severity Classification</w:t>
      </w:r>
    </w:p>
    <w:p>
      <w:pPr>
        <w:spacing w:after="160" w:line="276"/>
        <w:jc w:val="both"/>
      </w:pPr>
      <w:r>
        <w:rPr>
          <w:rFonts w:ascii="Arial" w:cs="Arial" w:eastAsia="Arial" w:hAnsi="Arial"/>
          <w:b w:val="false"/>
          <w:bCs w:val="false"/>
          <w:color w:val="000000"/>
          <w:sz w:val="22"/>
          <w:szCs w:val="22"/>
        </w:rPr>
        <w:t xml:space="preserve">Effective incident response requires a severity classification framework that determines the speed and scale of the response — who is notified, what resources are mobilised, and what escalation actions are taken. The following four-level severity classification framework is calibrated to OT environments, using consequence and operational impact as the primary classification criteria rather than technical indicators alone: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400"/>
        <w:gridCol w:w="2680"/>
        <w:gridCol w:w="2280"/>
        <w:gridCol w:w="2200"/>
      </w:tblGrid>
      <w:tr>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Classification</w:t>
            </w:r>
          </w:p>
        </w:tc>
        <w:tc>
          <w:tcPr>
            <w:tcW w:type="dxa" w:w="26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Criteria</w:t>
            </w:r>
          </w:p>
        </w:tc>
        <w:tc>
          <w:tcPr>
            <w:tcW w:type="dxa" w:w="22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Initial Response</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Notification</w:t>
            </w:r>
          </w:p>
        </w:tc>
      </w:tr>
      <w:tr>
        <w:tc>
          <w:tcPr>
            <w:tcW w:type="dxa" w:w="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SEV 1</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CRITICAL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Active compromise of OT system with confirmed or potential physical process impact; ransomware active in OT network; safety system (SIS/ESD) compromised or at risk; process emergency triggered by suspected cyber event; critical infrastructure attack confirmed by government authority.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Immediate: executive sponsor, OT Security Manager, Operations Manager, Process Safety Manager notified within 15 minutes. Emergency operations centre activated. Physical emergency response on standby. OT engineering on-site.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Executive Sponsor → CEO within 1 hour. Regulator notification within 4 hours (or as legally required). CISA/Sector CERT notification. Legal counsel engaged.</w:t>
            </w:r>
          </w:p>
        </w:tc>
      </w:tr>
      <w:tr>
        <w:tc>
          <w:tcPr>
            <w:tcW w:type="dxa" w:w="8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SEV 2</w:t>
            </w:r>
          </w:p>
        </w:tc>
        <w:tc>
          <w:tcPr>
            <w:tcW w:type="dxa" w:w="14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HIGH</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Confirmed malware in OT network without confirmed process impact; successful unauthorised access to OT system; OT-IDS detecting active lateral movement; evidence of OT network reconnaissance; insider threat confirmed.</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Manager notified within 30 minutes. OT Security Analyst and OT Engineering Liaison engaged immediately. Incident response process initiated. Operations Manager informed. Out-of-band communication channel established.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Executive Sponsor informed within 2 hours. IT Security Liaison engaged. Regulatory notification assessed — may be required depending on jurisdiction and duration. External OT forensics vendor notified.</w:t>
            </w:r>
          </w:p>
        </w:tc>
      </w:tr>
      <w:tr>
        <w:tc>
          <w:tcPr>
            <w:tcW w:type="dxa" w:w="800"/>
            <w:tcBorders>
              <w:top w:val="single" w:color="CCCCCC" w:sz="1"/>
              <w:left w:val="single" w:color="CCCCCC" w:sz="1"/>
              <w:bottom w:val="single" w:color="CCCCCC" w:sz="1"/>
              <w:right w:val="single" w:color="CCCCCC" w:sz="1"/>
            </w:tcBorders>
            <w:shd w:fill="FFFBE0" w:val="clear"/>
            <w:tcMar>
              <w:top w:type="dxa" w:w="80"/>
              <w:left w:type="dxa" w:w="120"/>
              <w:bottom w:type="dxa" w:w="80"/>
              <w:right w:type="dxa" w:w="120"/>
            </w:tcMar>
          </w:tcPr>
          <w:p>
            <w:pPr>
              <w:jc w:val="center"/>
            </w:pPr>
            <w:r>
              <w:rPr>
                <w:rFonts w:ascii="Arial" w:cs="Arial" w:eastAsia="Arial" w:hAnsi="Arial"/>
                <w:b/>
                <w:bCs/>
                <w:sz w:val="18"/>
                <w:szCs w:val="18"/>
              </w:rPr>
              <w:t xml:space="preserve">SEV 3</w:t>
            </w:r>
          </w:p>
        </w:tc>
        <w:tc>
          <w:tcPr>
            <w:tcW w:type="dxa" w:w="1400"/>
            <w:tcBorders>
              <w:top w:val="single" w:color="CCCCCC" w:sz="1"/>
              <w:left w:val="single" w:color="CCCCCC" w:sz="1"/>
              <w:bottom w:val="single" w:color="CCCCCC" w:sz="1"/>
              <w:right w:val="single" w:color="CCCCCC" w:sz="1"/>
            </w:tcBorders>
            <w:shd w:fill="FFFBE0" w:val="clear"/>
            <w:tcMar>
              <w:top w:type="dxa" w:w="80"/>
              <w:left w:type="dxa" w:w="120"/>
              <w:bottom w:type="dxa" w:w="80"/>
              <w:right w:type="dxa" w:w="120"/>
            </w:tcMar>
          </w:tcPr>
          <w:p>
            <w:pPr>
              <w:jc w:val="center"/>
            </w:pPr>
            <w:r>
              <w:rPr>
                <w:rFonts w:ascii="Arial" w:cs="Arial" w:eastAsia="Arial" w:hAnsi="Arial"/>
                <w:b/>
                <w:bCs/>
                <w:sz w:val="18"/>
                <w:szCs w:val="18"/>
              </w:rPr>
              <w:t xml:space="preserve">MEDIUM</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Suspicious OT network activity without confirmed compromise; OT-IDS anomaly alert requiring investigation; failed authentication attempts above threshold; suspected policy violation with potential security impact; vendor access anomaly.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Analyst investigation within 2 hours. OT Security Manager informed. Incident log created. Evidence preserved. Investigation timeline established.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Manager informs Executive Sponsor at next scheduled briefing unless investigation reveals escalation. Documented in incident register.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SEV 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LOW</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Single anomalous event without supporting indicators; security policy violation with no apparent security impact; failed authentication below threshold; routine security alert requiring investigation and closure.</w:t>
            </w:r>
          </w:p>
        </w:tc>
        <w:tc>
          <w:tcPr>
            <w:tcW w:type="dxa" w:w="22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Analyst review within 24 hours. Documented in incident log. Closed when investigation is complete.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executive notification required unless investigation reveals escalation. Reported in monthly security metrics.</w:t>
            </w:r>
          </w:p>
        </w:tc>
      </w:tr>
    </w:tbl>
    <w:p>
      <w:pPr>
        <w:spacing w:after="220" w:before="80"/>
        <w:jc w:val="center"/>
      </w:pPr>
      <w:r>
        <w:rPr>
          <w:rFonts w:ascii="Arial" w:cs="Arial" w:eastAsia="Arial" w:hAnsi="Arial"/>
          <w:b/>
          <w:bCs/>
          <w:i/>
          <w:iCs/>
          <w:color w:val="1F3864"/>
          <w:sz w:val="20"/>
          <w:szCs w:val="20"/>
        </w:rPr>
        <w:t xml:space="preserve">Table 13.2: OT Incident Severity Classification Framework</w:t>
      </w:r>
    </w:p>
    <w:p>
      <w:pPr>
        <w:spacing w:after="200"/>
      </w:pPr>
      <w:r>
        <w:t xml:space="preserve"/>
      </w:r>
    </w:p>
    <w:p>
      <w:pPr>
        <w:pStyle w:val="Heading2"/>
        <w:spacing w:after="160" w:before="280"/>
      </w:pPr>
      <w:r>
        <w:rPr>
          <w:rFonts w:ascii="Arial" w:cs="Arial" w:eastAsia="Arial" w:hAnsi="Arial"/>
          <w:b/>
          <w:bCs/>
          <w:color w:val="2E75B6"/>
          <w:sz w:val="26"/>
          <w:szCs w:val="26"/>
        </w:rPr>
        <w:t xml:space="preserve">13.2.3  The OT Incident Response Plan — Required Content</w:t>
      </w:r>
    </w:p>
    <w:p>
      <w:pPr>
        <w:spacing w:after="160" w:line="276"/>
        <w:jc w:val="both"/>
      </w:pPr>
      <w:r>
        <w:rPr>
          <w:rFonts w:ascii="Arial" w:cs="Arial" w:eastAsia="Arial" w:hAnsi="Arial"/>
          <w:b w:val="false"/>
          <w:bCs w:val="false"/>
          <w:color w:val="000000"/>
          <w:sz w:val="22"/>
          <w:szCs w:val="22"/>
        </w:rPr>
        <w:t xml:space="preserve">IEC 62443-2-1 §4.3.2.8 requires a documented incident response capability. The OT incident response plan is the primary document that defines that capability. It must contain, at minimum, the following elements:</w:t>
      </w:r>
    </w:p>
    <w:p>
      <w:pPr>
        <w:pStyle w:val="ListParagraph"/>
        <w:numPr>
          <w:ilvl w:val="0"/>
          <w:numId w:val="2"/>
        </w:numPr>
        <w:spacing w:after="100" w:line="276"/>
      </w:pPr>
      <w:r>
        <w:rPr>
          <w:rFonts w:ascii="Arial" w:cs="Arial" w:eastAsia="Arial" w:hAnsi="Arial"/>
          <w:sz w:val="22"/>
          <w:szCs w:val="22"/>
        </w:rPr>
        <w:t xml:space="preserve">Scope and applicability: The specific OT systems, zones, and sites to which the plan applies; the relationship between the OT incident response plan and the corporate IT incident response plan; and the relationship with the process safety emergency response plan.</w:t>
      </w:r>
    </w:p>
    <w:p>
      <w:pPr>
        <w:pStyle w:val="ListParagraph"/>
        <w:numPr>
          <w:ilvl w:val="0"/>
          <w:numId w:val="2"/>
        </w:numPr>
        <w:spacing w:after="100" w:line="276"/>
      </w:pPr>
      <w:r>
        <w:rPr>
          <w:rFonts w:ascii="Arial" w:cs="Arial" w:eastAsia="Arial" w:hAnsi="Arial"/>
          <w:sz w:val="22"/>
          <w:szCs w:val="22"/>
        </w:rPr>
        <w:t xml:space="preserve">Severity classification criteria: The four-level framework (or equivalent) that determines the response level for each class of incident.</w:t>
      </w:r>
    </w:p>
    <w:p>
      <w:pPr>
        <w:pStyle w:val="ListParagraph"/>
        <w:numPr>
          <w:ilvl w:val="0"/>
          <w:numId w:val="2"/>
        </w:numPr>
        <w:spacing w:after="100" w:line="276"/>
      </w:pPr>
      <w:r>
        <w:rPr>
          <w:rFonts w:ascii="Arial" w:cs="Arial" w:eastAsia="Arial" w:hAnsi="Arial"/>
          <w:sz w:val="22"/>
          <w:szCs w:val="22"/>
        </w:rPr>
        <w:t xml:space="preserve">Notification and escalation tree: A documented list of who must be notified at each severity level, in what sequence, within what timeframe, and through what communication channel. The notification tree must include out-of-band communication options (mobile phone, radio) for use when corporate communication infrastructure is compromised or unavailable.</w:t>
      </w:r>
    </w:p>
    <w:p>
      <w:pPr>
        <w:pStyle w:val="ListParagraph"/>
        <w:numPr>
          <w:ilvl w:val="0"/>
          <w:numId w:val="2"/>
        </w:numPr>
        <w:spacing w:after="100" w:line="276"/>
      </w:pPr>
      <w:r>
        <w:rPr>
          <w:rFonts w:ascii="Arial" w:cs="Arial" w:eastAsia="Arial" w:hAnsi="Arial"/>
          <w:sz w:val="22"/>
          <w:szCs w:val="22"/>
        </w:rPr>
        <w:t xml:space="preserve">Response team structure: The roles and responsibilities of each member of the incident response team — the OT Security Manager (incident commander), OT Security Analyst (technical lead), OT Engineering Liaison (OT systems expert), Process Safety Liaison (consequence assessment), IT Security Liaison (IT/OT boundary management), and Operations Representative (operational decision authority).</w:t>
      </w:r>
    </w:p>
    <w:p>
      <w:pPr>
        <w:pStyle w:val="ListParagraph"/>
        <w:numPr>
          <w:ilvl w:val="0"/>
          <w:numId w:val="2"/>
        </w:numPr>
        <w:spacing w:after="100" w:line="276"/>
      </w:pPr>
      <w:r>
        <w:rPr>
          <w:rFonts w:ascii="Arial" w:cs="Arial" w:eastAsia="Arial" w:hAnsi="Arial"/>
          <w:sz w:val="22"/>
          <w:szCs w:val="22"/>
        </w:rPr>
        <w:t xml:space="preserve">Phase-specific procedures: Specific procedural guidance for each of the six lifecycle phases (Section 13.2.1), including decision trees for the key decisions at each phase — particularly the OT isolation decision (Section 13.2.4).</w:t>
      </w:r>
    </w:p>
    <w:p>
      <w:pPr>
        <w:pStyle w:val="ListParagraph"/>
        <w:numPr>
          <w:ilvl w:val="0"/>
          <w:numId w:val="2"/>
        </w:numPr>
        <w:spacing w:after="100" w:line="276"/>
      </w:pPr>
      <w:r>
        <w:rPr>
          <w:rFonts w:ascii="Arial" w:cs="Arial" w:eastAsia="Arial" w:hAnsi="Arial"/>
          <w:sz w:val="22"/>
          <w:szCs w:val="22"/>
        </w:rPr>
        <w:t xml:space="preserve">Evidence preservation procedures: Guidance on how to preserve OT forensic evidence — network traffic captures, system logs, memory images — without disrupting operational continuity or compromising safety.</w:t>
      </w:r>
    </w:p>
    <w:p>
      <w:pPr>
        <w:pStyle w:val="ListParagraph"/>
        <w:numPr>
          <w:ilvl w:val="0"/>
          <w:numId w:val="2"/>
        </w:numPr>
        <w:spacing w:after="100" w:line="276"/>
      </w:pPr>
      <w:r>
        <w:rPr>
          <w:rFonts w:ascii="Arial" w:cs="Arial" w:eastAsia="Arial" w:hAnsi="Arial"/>
          <w:sz w:val="22"/>
          <w:szCs w:val="22"/>
        </w:rPr>
        <w:t xml:space="preserve">Recovery procedures: The specific sequence for recovering OT systems following an incident, including the verification steps required before each system is restored to operational status.</w:t>
      </w:r>
    </w:p>
    <w:p>
      <w:pPr>
        <w:pStyle w:val="ListParagraph"/>
        <w:numPr>
          <w:ilvl w:val="0"/>
          <w:numId w:val="2"/>
        </w:numPr>
        <w:spacing w:after="100" w:line="276"/>
      </w:pPr>
      <w:r>
        <w:rPr>
          <w:rFonts w:ascii="Arial" w:cs="Arial" w:eastAsia="Arial" w:hAnsi="Arial"/>
          <w:sz w:val="22"/>
          <w:szCs w:val="22"/>
        </w:rPr>
        <w:t xml:space="preserve">Regulatory notification requirements: A summary of the applicable regulatory notification requirements (by jurisdiction) with the triggering criteria, notification timelines, and the content required for each notification.</w:t>
      </w:r>
    </w:p>
    <w:p>
      <w:pPr>
        <w:pStyle w:val="ListParagraph"/>
        <w:numPr>
          <w:ilvl w:val="0"/>
          <w:numId w:val="2"/>
        </w:numPr>
        <w:spacing w:after="100" w:line="276"/>
      </w:pPr>
      <w:r>
        <w:rPr>
          <w:rFonts w:ascii="Arial" w:cs="Arial" w:eastAsia="Arial" w:hAnsi="Arial"/>
          <w:sz w:val="22"/>
          <w:szCs w:val="22"/>
        </w:rPr>
        <w:t xml:space="preserve">External contact directory: Contact information for the OT forensics vendor, CISA/Sector CERT, regulatory authority, legal counsel, and insurance provider — to be used during an active incident when these contacts cannot be looked up through normal means.</w:t>
      </w:r>
    </w:p>
    <w:p>
      <w:pPr>
        <w:pStyle w:val="ListParagraph"/>
        <w:numPr>
          <w:ilvl w:val="0"/>
          <w:numId w:val="2"/>
        </w:numPr>
        <w:spacing w:after="100" w:line="276"/>
      </w:pPr>
      <w:r>
        <w:rPr>
          <w:rFonts w:ascii="Arial" w:cs="Arial" w:eastAsia="Arial" w:hAnsi="Arial"/>
          <w:sz w:val="22"/>
          <w:szCs w:val="22"/>
        </w:rPr>
        <w:t xml:space="preserve">Plan maintenance requirements: The review cycle for the plan (annually as a minimum), the process for updating the plan following each incident review, and the exercise schedule (Section 13.7).</w:t>
      </w:r>
    </w:p>
    <w:p>
      <w:pPr>
        <w:pStyle w:val="Heading2"/>
        <w:spacing w:after="160" w:before="280"/>
      </w:pPr>
      <w:r>
        <w:rPr>
          <w:rFonts w:ascii="Arial" w:cs="Arial" w:eastAsia="Arial" w:hAnsi="Arial"/>
          <w:b/>
          <w:bCs/>
          <w:color w:val="2E75B6"/>
          <w:sz w:val="26"/>
          <w:szCs w:val="26"/>
        </w:rPr>
        <w:t xml:space="preserve">13.2.4  The OT Isolation Decision</w:t>
      </w:r>
    </w:p>
    <w:p>
      <w:pPr>
        <w:spacing w:after="160" w:line="276"/>
        <w:jc w:val="both"/>
      </w:pPr>
      <w:r>
        <w:rPr>
          <w:rFonts w:ascii="Arial" w:cs="Arial" w:eastAsia="Arial" w:hAnsi="Arial"/>
          <w:b w:val="false"/>
          <w:bCs w:val="false"/>
          <w:color w:val="000000"/>
          <w:sz w:val="22"/>
          <w:szCs w:val="22"/>
        </w:rPr>
        <w:t xml:space="preserve">The decision to isolate a potentially compromised OT system from the network is the most consequential and most difficult decision in OT incident response. It is the point at which the IT security instinct — isolate and investigate — collides directly with the OT operational reality — isolation may cause process upsets, loss of visibility, or unsafe conditions. This decision cannot be made by the security function alone, and it cannot be improvised in the moment. It must be pre-planned, pre-authorised, and pre-practised.</w:t>
      </w:r>
    </w:p>
    <w:p>
      <w:pPr>
        <w:spacing w:after="160" w:line="276"/>
        <w:jc w:val="both"/>
      </w:pPr>
      <w:r>
        <w:rPr>
          <w:rFonts w:ascii="Arial" w:cs="Arial" w:eastAsia="Arial" w:hAnsi="Arial"/>
          <w:b w:val="false"/>
          <w:bCs w:val="false"/>
          <w:color w:val="000000"/>
          <w:sz w:val="22"/>
          <w:szCs w:val="22"/>
        </w:rPr>
        <w:t xml:space="preserve">The following decision framework provides a structured approach to the OT isolation decision:</w:t>
      </w:r>
    </w:p>
    <w:p>
      <w:pPr>
        <w:shd w:fill="D5E8F0" w:val="clear"/>
        <w:spacing w:after="40" w:before="60"/>
        <w:ind w:left="360" w:right="360"/>
      </w:pPr>
      <w:r>
        <w:rPr>
          <w:rFonts w:ascii="Arial" w:cs="Arial" w:eastAsia="Arial" w:hAnsi="Arial"/>
          <w:b/>
          <w:bCs/>
          <w:color w:val="1F3864"/>
          <w:sz w:val="22"/>
          <w:szCs w:val="22"/>
        </w:rPr>
        <w:t xml:space="preserve">OT System Isolation Decision Framework</w:t>
      </w:r>
    </w:p>
    <w:p>
      <w:pPr>
        <w:shd w:fill="D5E8F0" w:val="clear"/>
        <w:spacing w:after="30" w:before="30"/>
        <w:ind w:left="360" w:right="360"/>
      </w:pPr>
      <w:r>
        <w:rPr>
          <w:rFonts w:ascii="Arial" w:cs="Arial" w:eastAsia="Arial" w:hAnsi="Arial"/>
          <w:b/>
          <w:bCs/>
          <w:sz w:val="20"/>
          <w:szCs w:val="20"/>
        </w:rPr>
        <w:t xml:space="preserve">STEP 1 — ASSESS THE THREAT (OT Security Analyst, 5 minutes max)</w:t>
      </w:r>
    </w:p>
    <w:p>
      <w:pPr>
        <w:shd w:fill="D5E8F0" w:val="clear"/>
        <w:spacing w:after="30" w:before="30"/>
        <w:ind w:left="360" w:right="360"/>
      </w:pPr>
      <w:r>
        <w:rPr>
          <w:rFonts w:ascii="Arial" w:cs="Arial" w:eastAsia="Arial" w:hAnsi="Arial"/>
          <w:b w:val="false"/>
          <w:bCs w:val="false"/>
          <w:sz w:val="20"/>
          <w:szCs w:val="20"/>
        </w:rPr>
        <w:t xml:space="preserve">What is the confirmed or suspected attack vector? Is the attack active or historical?</w:t>
      </w:r>
    </w:p>
    <w:p>
      <w:pPr>
        <w:shd w:fill="D5E8F0" w:val="clear"/>
        <w:spacing w:after="30" w:before="30"/>
        <w:ind w:left="360" w:right="360"/>
      </w:pPr>
      <w:r>
        <w:rPr>
          <w:rFonts w:ascii="Arial" w:cs="Arial" w:eastAsia="Arial" w:hAnsi="Arial"/>
          <w:b w:val="false"/>
          <w:bCs w:val="false"/>
          <w:sz w:val="20"/>
          <w:szCs w:val="20"/>
        </w:rPr>
        <w:t xml:space="preserve">Is the compromised system still receiving attack traffic, or has the attack vector been closed?</w:t>
      </w:r>
    </w:p>
    <w:p>
      <w:pPr>
        <w:shd w:fill="D5E8F0" w:val="clear"/>
        <w:spacing w:after="30" w:before="30"/>
        <w:ind w:left="360" w:right="360"/>
      </w:pPr>
      <w:r>
        <w:rPr>
          <w:rFonts w:ascii="Arial" w:cs="Arial" w:eastAsia="Arial" w:hAnsi="Arial"/>
          <w:b w:val="false"/>
          <w:bCs w:val="false"/>
          <w:sz w:val="20"/>
          <w:szCs w:val="20"/>
        </w:rPr>
        <w:t xml:space="preserve">What lateral movement has occurred or could occur from this system?</w:t>
      </w:r>
    </w:p>
    <w:p>
      <w:pPr>
        <w:spacing w:after="100"/>
      </w:pPr>
      <w:r>
        <w:t xml:space="preserve"/>
      </w:r>
    </w:p>
    <w:p>
      <w:pPr>
        <w:shd w:fill="D5E8F0" w:val="clear"/>
        <w:spacing w:after="30" w:before="30"/>
        <w:ind w:left="360" w:right="360"/>
      </w:pPr>
      <w:r>
        <w:rPr>
          <w:rFonts w:ascii="Arial" w:cs="Arial" w:eastAsia="Arial" w:hAnsi="Arial"/>
          <w:b/>
          <w:bCs/>
          <w:sz w:val="20"/>
          <w:szCs w:val="20"/>
        </w:rPr>
        <w:t xml:space="preserve">STEP 2 — ASSESS THE OPERATIONAL CONSEQUENCE OF ISOLATION (OT Engineering Liaison, 5 minutes max)</w:t>
      </w:r>
    </w:p>
    <w:p>
      <w:pPr>
        <w:shd w:fill="D5E8F0" w:val="clear"/>
        <w:spacing w:after="30" w:before="30"/>
        <w:ind w:left="360" w:right="360"/>
      </w:pPr>
      <w:r>
        <w:rPr>
          <w:rFonts w:ascii="Arial" w:cs="Arial" w:eastAsia="Arial" w:hAnsi="Arial"/>
          <w:b w:val="false"/>
          <w:bCs w:val="false"/>
          <w:sz w:val="20"/>
          <w:szCs w:val="20"/>
        </w:rPr>
        <w:t xml:space="preserve">What process functions does this system provide? Can those functions continue without this system?</w:t>
      </w:r>
    </w:p>
    <w:p>
      <w:pPr>
        <w:shd w:fill="D5E8F0" w:val="clear"/>
        <w:spacing w:after="30" w:before="30"/>
        <w:ind w:left="360" w:right="360"/>
      </w:pPr>
      <w:r>
        <w:rPr>
          <w:rFonts w:ascii="Arial" w:cs="Arial" w:eastAsia="Arial" w:hAnsi="Arial"/>
          <w:b w:val="false"/>
          <w:bCs w:val="false"/>
          <w:sz w:val="20"/>
          <w:szCs w:val="20"/>
        </w:rPr>
        <w:t xml:space="preserve">Does isolation affect operator visibility of a running process? Can manual observation substitute?</w:t>
      </w:r>
    </w:p>
    <w:p>
      <w:pPr>
        <w:shd w:fill="D5E8F0" w:val="clear"/>
        <w:spacing w:after="30" w:before="30"/>
        <w:ind w:left="360" w:right="360"/>
      </w:pPr>
      <w:r>
        <w:rPr>
          <w:rFonts w:ascii="Arial" w:cs="Arial" w:eastAsia="Arial" w:hAnsi="Arial"/>
          <w:b w:val="false"/>
          <w:bCs w:val="false"/>
          <w:sz w:val="20"/>
          <w:szCs w:val="20"/>
        </w:rPr>
        <w:t xml:space="preserve">Does isolation affect a safety system or its associated alarm/trip functions?</w:t>
      </w:r>
    </w:p>
    <w:p>
      <w:pPr>
        <w:shd w:fill="D5E8F0" w:val="clear"/>
        <w:spacing w:after="30" w:before="30"/>
        <w:ind w:left="360" w:right="360"/>
      </w:pPr>
      <w:r>
        <w:rPr>
          <w:rFonts w:ascii="Arial" w:cs="Arial" w:eastAsia="Arial" w:hAnsi="Arial"/>
          <w:b w:val="false"/>
          <w:bCs w:val="false"/>
          <w:sz w:val="20"/>
          <w:szCs w:val="20"/>
        </w:rPr>
        <w:t xml:space="preserve">Can the process be safely moved to a manual operating state before isolation?</w:t>
      </w:r>
    </w:p>
    <w:p>
      <w:pPr>
        <w:spacing w:after="100"/>
      </w:pPr>
      <w:r>
        <w:t xml:space="preserve"/>
      </w:r>
    </w:p>
    <w:p>
      <w:pPr>
        <w:shd w:fill="D5E8F0" w:val="clear"/>
        <w:spacing w:after="30" w:before="30"/>
        <w:ind w:left="360" w:right="360"/>
      </w:pPr>
      <w:r>
        <w:rPr>
          <w:rFonts w:ascii="Arial" w:cs="Arial" w:eastAsia="Arial" w:hAnsi="Arial"/>
          <w:b/>
          <w:bCs/>
          <w:sz w:val="20"/>
          <w:szCs w:val="20"/>
        </w:rPr>
        <w:t xml:space="preserve">STEP 3 — DECISION AUTHORITY (OT Security Manager + Operations Manager, joint decision)</w:t>
      </w:r>
    </w:p>
    <w:p>
      <w:pPr>
        <w:shd w:fill="D5E8F0" w:val="clear"/>
        <w:spacing w:after="30" w:before="30"/>
        <w:ind w:left="360" w:right="360"/>
      </w:pPr>
      <w:r>
        <w:rPr>
          <w:rFonts w:ascii="Arial" w:cs="Arial" w:eastAsia="Arial" w:hAnsi="Arial"/>
          <w:b w:val="false"/>
          <w:bCs w:val="false"/>
          <w:sz w:val="20"/>
          <w:szCs w:val="20"/>
        </w:rPr>
        <w:t xml:space="preserve">If isolation consequences are LOW: OT Security Manager may authorise isolation.</w:t>
      </w:r>
    </w:p>
    <w:p>
      <w:pPr>
        <w:shd w:fill="D5E8F0" w:val="clear"/>
        <w:spacing w:after="30" w:before="30"/>
        <w:ind w:left="360" w:right="360"/>
      </w:pPr>
      <w:r>
        <w:rPr>
          <w:rFonts w:ascii="Arial" w:cs="Arial" w:eastAsia="Arial" w:hAnsi="Arial"/>
          <w:b w:val="false"/>
          <w:bCs w:val="false"/>
          <w:sz w:val="20"/>
          <w:szCs w:val="20"/>
        </w:rPr>
        <w:t xml:space="preserve">If isolation consequences are MEDIUM: OT Security Manager and Operations Manager joint decision.</w:t>
      </w:r>
    </w:p>
    <w:p>
      <w:pPr>
        <w:shd w:fill="D5E8F0" w:val="clear"/>
        <w:spacing w:after="30" w:before="30"/>
        <w:ind w:left="360" w:right="360"/>
      </w:pPr>
      <w:r>
        <w:rPr>
          <w:rFonts w:ascii="Arial" w:cs="Arial" w:eastAsia="Arial" w:hAnsi="Arial"/>
          <w:b w:val="false"/>
          <w:bCs w:val="false"/>
          <w:sz w:val="20"/>
          <w:szCs w:val="20"/>
        </w:rPr>
        <w:t xml:space="preserve">If isolation consequences affect safety or critical process: Executive Sponsor authorises. Operations Manager executes.</w:t>
      </w:r>
    </w:p>
    <w:p>
      <w:pPr>
        <w:shd w:fill="D5E8F0" w:val="clear"/>
        <w:spacing w:after="30" w:before="30"/>
        <w:ind w:left="360" w:right="360"/>
      </w:pPr>
      <w:r>
        <w:rPr>
          <w:rFonts w:ascii="Arial" w:cs="Arial" w:eastAsia="Arial" w:hAnsi="Arial"/>
          <w:b w:val="false"/>
          <w:bCs w:val="false"/>
          <w:sz w:val="20"/>
          <w:szCs w:val="20"/>
        </w:rPr>
        <w:t xml:space="preserve">If isolation is deferred: Document the deferral decision, the rationale, and the compensating monitoring action.</w:t>
      </w:r>
    </w:p>
    <w:p>
      <w:pPr>
        <w:spacing w:after="300"/>
      </w:pPr>
      <w:r>
        <w:t xml:space="preserve"/>
      </w:r>
    </w:p>
    <w:p>
      <w:pPr>
        <w:pStyle w:val="Heading2"/>
        <w:spacing w:after="160" w:before="280"/>
      </w:pPr>
      <w:r>
        <w:rPr>
          <w:rFonts w:ascii="Arial" w:cs="Arial" w:eastAsia="Arial" w:hAnsi="Arial"/>
          <w:b/>
          <w:bCs/>
          <w:color w:val="2E75B6"/>
          <w:sz w:val="26"/>
          <w:szCs w:val="26"/>
        </w:rPr>
        <w:t xml:space="preserve">13.2.5  Regulatory Notification Requirements</w:t>
      </w:r>
    </w:p>
    <w:p>
      <w:pPr>
        <w:spacing w:after="160" w:line="276"/>
        <w:jc w:val="both"/>
      </w:pPr>
      <w:r>
        <w:rPr>
          <w:rFonts w:ascii="Arial" w:cs="Arial" w:eastAsia="Arial" w:hAnsi="Arial"/>
          <w:b w:val="false"/>
          <w:bCs w:val="false"/>
          <w:color w:val="000000"/>
          <w:sz w:val="22"/>
          <w:szCs w:val="22"/>
        </w:rPr>
        <w:t xml:space="preserve">OT security incidents at facilities subject to major hazard, critical infrastructure, or sector-specific security regulations may trigger mandatory regulatory notification obligations. These obligations vary by jurisdiction, sector, and incident characteristics — but in all cases they must be planned for in advance, because the notification timelines are typically measured in hours, not days, and the information required for notification may not be readily available during the chaos of an active incident response.</w:t>
      </w:r>
    </w:p>
    <w:p>
      <w:pPr>
        <w:spacing w:after="160" w:line="276"/>
        <w:jc w:val="both"/>
      </w:pPr>
      <w:r>
        <w:rPr>
          <w:rFonts w:ascii="Arial" w:cs="Arial" w:eastAsia="Arial" w:hAnsi="Arial"/>
          <w:b w:val="false"/>
          <w:bCs w:val="false"/>
          <w:color w:val="000000"/>
          <w:sz w:val="22"/>
          <w:szCs w:val="22"/>
        </w:rPr>
        <w:t xml:space="preserve">The following provides an overview of the major regulatory notification frameworks applicable to industrial OT operators in key jurisdictions. Note that regulatory requirements change frequently and specific legal advice must be obtained for each facility's regulatory context:</w:t>
      </w:r>
    </w:p>
    <w:p>
      <w:pPr>
        <w:pStyle w:val="ListParagraph"/>
        <w:numPr>
          <w:ilvl w:val="0"/>
          <w:numId w:val="2"/>
        </w:numPr>
        <w:spacing w:after="100" w:line="276"/>
      </w:pPr>
      <w:r>
        <w:rPr>
          <w:rFonts w:ascii="Arial" w:cs="Arial" w:eastAsia="Arial" w:hAnsi="Arial"/>
          <w:sz w:val="22"/>
          <w:szCs w:val="22"/>
        </w:rPr>
        <w:t xml:space="preserve">EU NIS2 Directive (EU 2022/2555): Operators of essential entities (energy, water, transport, health, digital infrastructure) must notify the competent national authority within 24 hours of becoming aware of a significant incident (early warning), within 72 hours with an initial assessment, and within one month with a final incident report. Significant incident is defined as one that causes or can cause severe operational disruption or financial losses to the entity or other persons.</w:t>
      </w:r>
    </w:p>
    <w:p>
      <w:pPr>
        <w:pStyle w:val="ListParagraph"/>
        <w:numPr>
          <w:ilvl w:val="0"/>
          <w:numId w:val="2"/>
        </w:numPr>
        <w:spacing w:after="100" w:line="276"/>
      </w:pPr>
      <w:r>
        <w:rPr>
          <w:rFonts w:ascii="Arial" w:cs="Arial" w:eastAsia="Arial" w:hAnsi="Arial"/>
          <w:sz w:val="22"/>
          <w:szCs w:val="22"/>
        </w:rPr>
        <w:t xml:space="preserve">Australian Security of Critical Infrastructure Act 2018 (as amended 2022): Operators of assets in designated critical infrastructure sectors must report cyber incidents that have a significant impact on the availability of the asset within 12 hours (for critical assets) or 72 hours (for other assets). The Australian Cyber Security Centre (ACSC) is the reporting authority.</w:t>
      </w:r>
    </w:p>
    <w:p>
      <w:pPr>
        <w:pStyle w:val="ListParagraph"/>
        <w:numPr>
          <w:ilvl w:val="0"/>
          <w:numId w:val="2"/>
        </w:numPr>
        <w:spacing w:after="100" w:line="276"/>
      </w:pPr>
      <w:r>
        <w:rPr>
          <w:rFonts w:ascii="Arial" w:cs="Arial" w:eastAsia="Arial" w:hAnsi="Arial"/>
          <w:sz w:val="22"/>
          <w:szCs w:val="22"/>
        </w:rPr>
        <w:t xml:space="preserve">US NERC CIP Standards (Electric Utilities): NERC CIP-008 requires Responsible Entities to report Cyber Security Incidents that compromise or attempt to compromise an Electronic Security Perimeter or associated Electronic Access Control or Monitoring System to the Electricity Information Sharing and Analysis Centre (E-ISAC) within one hour of identification. A more detailed report is required within 7 days.</w:t>
      </w:r>
    </w:p>
    <w:p>
      <w:pPr>
        <w:pStyle w:val="ListParagraph"/>
        <w:numPr>
          <w:ilvl w:val="0"/>
          <w:numId w:val="2"/>
        </w:numPr>
        <w:spacing w:after="100" w:line="276"/>
      </w:pPr>
      <w:r>
        <w:rPr>
          <w:rFonts w:ascii="Arial" w:cs="Arial" w:eastAsia="Arial" w:hAnsi="Arial"/>
          <w:sz w:val="22"/>
          <w:szCs w:val="22"/>
        </w:rPr>
        <w:t xml:space="preserve">UK Control of Major Accident Hazards (COMAH) Regulations 2015: While COMAH does not prescribe specific cyber incident notification requirements, a cyber-initiated major accident or near-miss is reportable under the COMAH framework. The Health and Safety Executive (HSE) must be notified of major accidents immediately and dangerous occurrences within ten days. A cyber attack that causes or contributes to a reportable event triggers this notification.</w:t>
      </w:r>
    </w:p>
    <w:p>
      <w:pPr>
        <w:pStyle w:val="ListParagraph"/>
        <w:numPr>
          <w:ilvl w:val="0"/>
          <w:numId w:val="2"/>
        </w:numPr>
        <w:spacing w:after="100" w:line="276"/>
      </w:pPr>
      <w:r>
        <w:rPr>
          <w:rFonts w:ascii="Arial" w:cs="Arial" w:eastAsia="Arial" w:hAnsi="Arial"/>
          <w:sz w:val="22"/>
          <w:szCs w:val="22"/>
        </w:rPr>
        <w:t xml:space="preserve">US Chemical Facility Anti-Terrorism Standards (CFATS): DHS must be notified of security incidents involving reportable chemicals within four hours of identification. This includes cyber incidents affecting control systems for regulated chemicals.</w:t>
      </w:r>
    </w:p>
    <w:p>
      <w:r>
        <w:br w:type="page"/>
      </w:r>
    </w:p>
    <w:p>
      <w:pPr>
        <w:pStyle w:val="Heading1"/>
        <w:spacing w:after="200" w:before="400"/>
      </w:pPr>
      <w:r>
        <w:rPr>
          <w:rFonts w:ascii="Arial" w:cs="Arial" w:eastAsia="Arial" w:hAnsi="Arial"/>
          <w:b/>
          <w:bCs/>
          <w:color w:val="1F3864"/>
          <w:sz w:val="34"/>
          <w:szCs w:val="34"/>
        </w:rPr>
        <w:t xml:space="preserve">13.3  OT Change Management as a Security Control</w:t>
      </w:r>
    </w:p>
    <w:p>
      <w:pPr>
        <w:spacing w:after="160" w:line="276"/>
        <w:jc w:val="both"/>
      </w:pPr>
      <w:r>
        <w:rPr>
          <w:rFonts w:ascii="Arial" w:cs="Arial" w:eastAsia="Arial" w:hAnsi="Arial"/>
          <w:b w:val="false"/>
          <w:bCs w:val="false"/>
          <w:color w:val="000000"/>
          <w:sz w:val="22"/>
          <w:szCs w:val="22"/>
        </w:rPr>
        <w:t xml:space="preserve">Change management is the process by which modifications to OT systems — software, firmware, configuration, network, hardware, and physical — are controlled, reviewed, authorised, tested, and documented. In the context of the CSMS, change management is not merely an operational discipline — it is a security control. Unmanaged change in OT environments is one of the most consistently identified contributing factors to OT security incidents and OT system failures. The introduction of new vulnerabilities through unreviewed software updates, the creation of new network pathways through undocumented configuration changes, and the degradation of security controls through hardware modifications that bypass security measures are all change-management failures with security consequences.</w:t>
      </w:r>
    </w:p>
    <w:p>
      <w:pPr>
        <w:spacing w:after="160" w:line="276"/>
        <w:jc w:val="both"/>
      </w:pPr>
      <w:r>
        <w:rPr>
          <w:rFonts w:ascii="Arial" w:cs="Arial" w:eastAsia="Arial" w:hAnsi="Arial"/>
          <w:b w:val="false"/>
          <w:bCs w:val="false"/>
          <w:color w:val="000000"/>
          <w:sz w:val="22"/>
          <w:szCs w:val="22"/>
        </w:rPr>
        <w:t xml:space="preserve">The relationship between change management and security is bidirectional. Change management protects security by ensuring that every modification to an OT system is reviewed for security implications before it is implemented. Security protects change management by requiring that all security-relevant changes — firewall rule modifications, account additions, patch deployments — follow the same controlled process as operational changes. This bidirectional relationship must be explicitly embedded in the change management process design: the security review is not an optional add-on to the operational change process — it is a mandatory gate that every change must pass.</w:t>
      </w:r>
    </w:p>
    <w:p>
      <w:pPr>
        <w:spacing w:after="160" w:line="276"/>
        <w:jc w:val="both"/>
      </w:pPr>
      <w:r>
        <w:rPr>
          <w:rFonts w:ascii="Arial" w:cs="Arial" w:eastAsia="Arial" w:hAnsi="Arial"/>
          <w:b w:val="false"/>
          <w:bCs w:val="false"/>
          <w:color w:val="000000"/>
          <w:sz w:val="22"/>
          <w:szCs w:val="22"/>
        </w:rPr>
        <w:t xml:space="preserve">IEC 62443-2-1 §4.3.3 (SHALL) requires that the organisation establish a change management process that includes security review of changes to OT systems. The process must address: the identification and documentation of all changes; the security assessment of changes that could affect the security posture; the testing of changes before production deployment; the authorisation of changes by appropriate authority; and the documentation of change implementation and outcomes.</w:t>
      </w:r>
    </w:p>
    <w:p>
      <w:pPr>
        <w:pStyle w:val="Heading2"/>
        <w:spacing w:after="160" w:before="280"/>
      </w:pPr>
      <w:r>
        <w:rPr>
          <w:rFonts w:ascii="Arial" w:cs="Arial" w:eastAsia="Arial" w:hAnsi="Arial"/>
          <w:b/>
          <w:bCs/>
          <w:color w:val="2E75B6"/>
          <w:sz w:val="26"/>
          <w:szCs w:val="26"/>
        </w:rPr>
        <w:t xml:space="preserve">13.3.1  Change Types and Process Requirements</w:t>
      </w:r>
    </w:p>
    <w:p>
      <w:pPr>
        <w:spacing w:after="160" w:line="276"/>
        <w:jc w:val="both"/>
      </w:pPr>
      <w:r>
        <w:rPr>
          <w:rFonts w:ascii="Arial" w:cs="Arial" w:eastAsia="Arial" w:hAnsi="Arial"/>
          <w:b w:val="false"/>
          <w:bCs w:val="false"/>
          <w:color w:val="000000"/>
          <w:sz w:val="22"/>
          <w:szCs w:val="22"/>
        </w:rPr>
        <w:t xml:space="preserve">OT change management programmes must accommodate three distinct change types, each with different risk profiles and different process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000"/>
        <w:gridCol w:w="1600"/>
        <w:gridCol w:w="1560"/>
      </w:tblGrid>
      <w:tr>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Change Type</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Review</w:t>
            </w:r>
          </w:p>
        </w:tc>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Authorisation</w:t>
            </w:r>
          </w:p>
        </w:tc>
        <w:tc>
          <w:tcPr>
            <w:tcW w:type="dxa" w:w="15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w:t>
            </w:r>
          </w:p>
        </w:tc>
      </w:tr>
      <w:tr>
        <w:tc>
          <w:tcPr>
            <w:tcW w:type="dxa" w:w="18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EMERGENCY 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change required immediately to prevent or mitigate an active safety or security incident, where the normal change process cannot be completed before the change must be implemented.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Abbreviated security review — minimum 30-minute assessment by OT Security Analyst before implementation. Full security review completed post-implementation within 24 hours.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Security Manager + Operations Manager joint authorisation. Executive Sponsor informed immediately.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Emergency patch for actively exploited CVE; isolation of a compromised OT system; emergency firewall rule to block active attack traffic.</w:t>
            </w:r>
          </w:p>
        </w:tc>
      </w:tr>
      <w:tr>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STANDARD CHANGE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pre-approved, routine change with a well-understood risk profile and an established, documented implementation procedure. Standard changes do not require individual security review — they are pre-approved as a class.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Pre-approval only — the standard change procedure is reviewed and security-approved once. Each instance of the standard change follows the approved procedure without additional security review.</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Engineering Liaison + Change Advisory Board (CAB) pre-approval for the standard change class. Each instance documented by the implementing engineer.</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Scheduled backup of DCS configuration; routine historian data export to IT replica; replacement of failed HMI with identical hardware and pre-approved image.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ROUTINE 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planned, non-standard change with a defined business requirement. Requires individual security review and formal authorisation before implementation.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Full security review by OT Security Analyst — minimum 5 working days lead time. Security review assesses impact on zone architecture, authentication requirements, logging, and vulnerability introduction.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Engineering Liaison submits RFC. OT Security Analyst completes security review. OT Security Manager approves. CAB approves implementation schedule.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Installation of new software version on engineering workstation; modification of firewall rule set; addition of new OT device to existing zone; network architecture change.</w:t>
            </w:r>
          </w:p>
        </w:tc>
      </w:tr>
    </w:tbl>
    <w:p>
      <w:pPr>
        <w:spacing w:after="220" w:before="80"/>
        <w:jc w:val="center"/>
      </w:pPr>
      <w:r>
        <w:rPr>
          <w:rFonts w:ascii="Arial" w:cs="Arial" w:eastAsia="Arial" w:hAnsi="Arial"/>
          <w:b/>
          <w:bCs/>
          <w:i/>
          <w:iCs/>
          <w:color w:val="1F3864"/>
          <w:sz w:val="20"/>
          <w:szCs w:val="20"/>
        </w:rPr>
        <w:t xml:space="preserve">Table 13.3: OT Change Types and Process Requirements</w:t>
      </w:r>
    </w:p>
    <w:p>
      <w:pPr>
        <w:spacing w:after="200"/>
      </w:pPr>
      <w:r>
        <w:t xml:space="preserve"/>
      </w:r>
    </w:p>
    <w:p>
      <w:pPr>
        <w:pStyle w:val="Heading2"/>
        <w:spacing w:after="160" w:before="280"/>
      </w:pPr>
      <w:r>
        <w:rPr>
          <w:rFonts w:ascii="Arial" w:cs="Arial" w:eastAsia="Arial" w:hAnsi="Arial"/>
          <w:b/>
          <w:bCs/>
          <w:color w:val="2E75B6"/>
          <w:sz w:val="26"/>
          <w:szCs w:val="26"/>
        </w:rPr>
        <w:t xml:space="preserve">13.3.2  The Security Review within Change Management</w:t>
      </w:r>
    </w:p>
    <w:p>
      <w:pPr>
        <w:spacing w:after="160" w:line="276"/>
        <w:jc w:val="both"/>
      </w:pPr>
      <w:r>
        <w:rPr>
          <w:rFonts w:ascii="Arial" w:cs="Arial" w:eastAsia="Arial" w:hAnsi="Arial"/>
          <w:b w:val="false"/>
          <w:bCs w:val="false"/>
          <w:color w:val="000000"/>
          <w:sz w:val="22"/>
          <w:szCs w:val="22"/>
        </w:rPr>
        <w:t xml:space="preserve">The security review is the critical security control embedded in the change management process. It assesses the security implications of a proposed change before it is implemented — the only point at which security concerns can be addressed without accepting the risk of an already-deployed change. The security review must address the following dimensions for every routine and emergency change:</w:t>
      </w:r>
    </w:p>
    <w:p>
      <w:pPr>
        <w:pStyle w:val="ListParagraph"/>
        <w:numPr>
          <w:ilvl w:val="0"/>
          <w:numId w:val="2"/>
        </w:numPr>
        <w:spacing w:after="100" w:line="276"/>
      </w:pPr>
      <w:r>
        <w:rPr>
          <w:rFonts w:ascii="Arial" w:cs="Arial" w:eastAsia="Arial" w:hAnsi="Arial"/>
          <w:sz w:val="22"/>
          <w:szCs w:val="22"/>
        </w:rPr>
        <w:t xml:space="preserve">Attack surface impact: Does the change introduce new network connectivity, new services, or new access paths? Does it expose new assets to attack by modifying zone boundaries or conduit rules? Does it introduce software with known vulnerabilities?</w:t>
      </w:r>
    </w:p>
    <w:p>
      <w:pPr>
        <w:pStyle w:val="ListParagraph"/>
        <w:numPr>
          <w:ilvl w:val="0"/>
          <w:numId w:val="2"/>
        </w:numPr>
        <w:spacing w:after="100" w:line="276"/>
      </w:pPr>
      <w:r>
        <w:rPr>
          <w:rFonts w:ascii="Arial" w:cs="Arial" w:eastAsia="Arial" w:hAnsi="Arial"/>
          <w:sz w:val="22"/>
          <w:szCs w:val="22"/>
        </w:rPr>
        <w:t xml:space="preserve">Authentication and access control impact: Does the change create new accounts, modify existing accounts, or change authentication requirements? Does it create shared accounts or weaken authentication requirements for operational convenience?</w:t>
      </w:r>
    </w:p>
    <w:p>
      <w:pPr>
        <w:pStyle w:val="ListParagraph"/>
        <w:numPr>
          <w:ilvl w:val="0"/>
          <w:numId w:val="2"/>
        </w:numPr>
        <w:spacing w:after="100" w:line="276"/>
      </w:pPr>
      <w:r>
        <w:rPr>
          <w:rFonts w:ascii="Arial" w:cs="Arial" w:eastAsia="Arial" w:hAnsi="Arial"/>
          <w:sz w:val="22"/>
          <w:szCs w:val="22"/>
        </w:rPr>
        <w:t xml:space="preserve">Logging and monitoring impact: Does the change affect the organisation's ability to detect security events — by disabling logging, modifying monitored systems, or creating activity that would generate false positives in OT-IDS alert policies?</w:t>
      </w:r>
    </w:p>
    <w:p>
      <w:pPr>
        <w:pStyle w:val="ListParagraph"/>
        <w:numPr>
          <w:ilvl w:val="0"/>
          <w:numId w:val="2"/>
        </w:numPr>
        <w:spacing w:after="100" w:line="276"/>
      </w:pPr>
      <w:r>
        <w:rPr>
          <w:rFonts w:ascii="Arial" w:cs="Arial" w:eastAsia="Arial" w:hAnsi="Arial"/>
          <w:sz w:val="22"/>
          <w:szCs w:val="22"/>
        </w:rPr>
        <w:t xml:space="preserve">Patch and vulnerability status: Is the software version being introduced fully patched? Are there known vulnerabilities in the version being deployed? If so, what compensating controls are in place?</w:t>
      </w:r>
    </w:p>
    <w:p>
      <w:pPr>
        <w:pStyle w:val="ListParagraph"/>
        <w:numPr>
          <w:ilvl w:val="0"/>
          <w:numId w:val="2"/>
        </w:numPr>
        <w:spacing w:after="100" w:line="276"/>
      </w:pPr>
      <w:r>
        <w:rPr>
          <w:rFonts w:ascii="Arial" w:cs="Arial" w:eastAsia="Arial" w:hAnsi="Arial"/>
          <w:sz w:val="22"/>
          <w:szCs w:val="22"/>
        </w:rPr>
        <w:t xml:space="preserve">Reversibility: If the change causes problems — security or operational — can it be reversed? Is there a rollback procedure? Has the rollback procedure been tested?</w:t>
      </w:r>
    </w:p>
    <w:p>
      <w:pPr>
        <w:pStyle w:val="ListParagraph"/>
        <w:numPr>
          <w:ilvl w:val="0"/>
          <w:numId w:val="2"/>
        </w:numPr>
        <w:spacing w:after="100" w:line="276"/>
      </w:pPr>
      <w:r>
        <w:rPr>
          <w:rFonts w:ascii="Arial" w:cs="Arial" w:eastAsia="Arial" w:hAnsi="Arial"/>
          <w:sz w:val="22"/>
          <w:szCs w:val="22"/>
        </w:rPr>
        <w:t xml:space="preserve">Safety system impact: Does the change affect any system in the safety instrumented system or emergency shutdown system? If so, what additional safety review is required under IEC 61511 and the process safety management system?</w:t>
      </w:r>
    </w:p>
    <w:p>
      <w:pPr>
        <w:pStyle w:val="Heading2"/>
        <w:spacing w:after="160" w:before="280"/>
      </w:pPr>
      <w:r>
        <w:rPr>
          <w:rFonts w:ascii="Arial" w:cs="Arial" w:eastAsia="Arial" w:hAnsi="Arial"/>
          <w:b/>
          <w:bCs/>
          <w:color w:val="2E75B6"/>
          <w:sz w:val="26"/>
          <w:szCs w:val="26"/>
        </w:rPr>
        <w:t xml:space="preserve">13.3.3  The Change Advisory Board for OT</w:t>
      </w:r>
    </w:p>
    <w:p>
      <w:pPr>
        <w:spacing w:after="160" w:line="276"/>
        <w:jc w:val="both"/>
      </w:pPr>
      <w:r>
        <w:rPr>
          <w:rFonts w:ascii="Arial" w:cs="Arial" w:eastAsia="Arial" w:hAnsi="Arial"/>
          <w:b w:val="false"/>
          <w:bCs w:val="false"/>
          <w:color w:val="000000"/>
          <w:sz w:val="22"/>
          <w:szCs w:val="22"/>
        </w:rPr>
        <w:t xml:space="preserve">The Change Advisory Board (CAB) is the governance forum within which routine OT changes are reviewed and authorised. The OT CAB is distinct from the IT CAB — its membership, its agenda, and its assessment criteria are specific to OT. The OT CAB must include, at minimum: the OT Engineering Liaison (chair); the OT Security Analyst; the Process Safety Liaison (for changes affecting safety systems); the Operations Representative (for changes with operational impact); and the IT Security Liaison (for changes affecting the IT/OT boundary).</w:t>
      </w:r>
    </w:p>
    <w:p>
      <w:pPr>
        <w:spacing w:after="160" w:line="276"/>
        <w:jc w:val="both"/>
      </w:pPr>
      <w:r>
        <w:rPr>
          <w:rFonts w:ascii="Arial" w:cs="Arial" w:eastAsia="Arial" w:hAnsi="Arial"/>
          <w:b w:val="false"/>
          <w:bCs w:val="false"/>
          <w:color w:val="000000"/>
          <w:sz w:val="22"/>
          <w:szCs w:val="22"/>
        </w:rPr>
        <w:t xml:space="preserve">The OT CAB should meet weekly during periods of active change activity (such as a major plant turnaround or a new system deployment) and fortnightly in steady state. The CAB meeting reviews all pending change requests (RFCs), the security review findings for each RFC, and the proposed implementation schedule. The CAB has authority to approve, defer, or reject individual RFCs — and its decisions must be documented.</w:t>
      </w:r>
    </w:p>
    <w:p>
      <w:pPr>
        <w:spacing w:after="160" w:line="276"/>
        <w:jc w:val="both"/>
      </w:pPr>
      <w:r>
        <w:rPr>
          <w:rFonts w:ascii="Arial" w:cs="Arial" w:eastAsia="Arial" w:hAnsi="Arial"/>
          <w:b w:val="false"/>
          <w:bCs w:val="false"/>
          <w:color w:val="000000"/>
          <w:sz w:val="22"/>
          <w:szCs w:val="22"/>
        </w:rPr>
        <w:t xml:space="preserve">A common failure mode in OT change management is the 'verbal approval' — a change implemented on the basis of a conversation between an engineer and a supervisor, without a formal RFC, without a security review, and without documentation. The change management procedure must explicitly prohibit verbal approvals and must include a mechanism for detecting and documenting post-hoc changes — such as periodic comparison of OT system configurations against the authorised configuration baseline.</w:t>
      </w:r>
    </w:p>
    <w:p>
      <w:pPr>
        <w:pStyle w:val="Heading2"/>
        <w:spacing w:after="160" w:before="280"/>
      </w:pPr>
      <w:r>
        <w:rPr>
          <w:rFonts w:ascii="Arial" w:cs="Arial" w:eastAsia="Arial" w:hAnsi="Arial"/>
          <w:b/>
          <w:bCs/>
          <w:color w:val="2E75B6"/>
          <w:sz w:val="26"/>
          <w:szCs w:val="26"/>
        </w:rPr>
        <w:t xml:space="preserve">13.3.4  Configuration Management and Change Detection</w:t>
      </w:r>
    </w:p>
    <w:p>
      <w:pPr>
        <w:spacing w:after="160" w:line="276"/>
        <w:jc w:val="both"/>
      </w:pPr>
      <w:r>
        <w:rPr>
          <w:rFonts w:ascii="Arial" w:cs="Arial" w:eastAsia="Arial" w:hAnsi="Arial"/>
          <w:b w:val="false"/>
          <w:bCs w:val="false"/>
          <w:color w:val="000000"/>
          <w:sz w:val="22"/>
          <w:szCs w:val="22"/>
        </w:rPr>
        <w:t xml:space="preserve">Configuration management — the maintenance of a documented, authorised configuration baseline for all OT systems — is the technical complement to the change management process. The change management process controls what changes may be made; the configuration management baseline defines what the system should look like after those changes; and configuration monitoring detects when the actual configuration diverges from the authorised baseline.</w:t>
      </w:r>
    </w:p>
    <w:p>
      <w:pPr>
        <w:spacing w:after="160" w:line="276"/>
        <w:jc w:val="both"/>
      </w:pPr>
      <w:r>
        <w:rPr>
          <w:rFonts w:ascii="Arial" w:cs="Arial" w:eastAsia="Arial" w:hAnsi="Arial"/>
          <w:b w:val="false"/>
          <w:bCs w:val="false"/>
          <w:color w:val="000000"/>
          <w:sz w:val="22"/>
          <w:szCs w:val="22"/>
        </w:rPr>
        <w:t xml:space="preserve">Configuration baseline management for OT systems must address: control logic backups (PLC ladder logic, DCS function block diagrams, SIS cause-and-effect matrices — backed up in version-controlled repository and compared against deployed logic at defined intervals); network configuration documentation (firewall rule sets, VLAN configurations, switch port assignments — compared against running configuration at each change review); software version documentation (operating system versions, application versions, patch levels for all OT workstations and servers — compared against authorised version list quarterly); and asset inventory maintenance (ensuring that the asset register reflects the current OT environment, with new assets added and decommissioned assets removed through the change management process).</w:t>
      </w:r>
    </w:p>
    <w:p>
      <w:pPr>
        <w:spacing w:after="160" w:line="276"/>
        <w:jc w:val="both"/>
      </w:pPr>
      <w:r>
        <w:rPr>
          <w:rFonts w:ascii="Arial" w:cs="Arial" w:eastAsia="Arial" w:hAnsi="Arial"/>
          <w:b w:val="false"/>
          <w:bCs w:val="false"/>
          <w:color w:val="000000"/>
          <w:sz w:val="22"/>
          <w:szCs w:val="22"/>
        </w:rPr>
        <w:t xml:space="preserve">The OT-IDS platform (Section 12.5) provides an important configuration monitoring capability — passive network monitoring that detects new devices, new communication flows, and new protocols that may indicate unauthorised changes. OT-IDS alerts for new device discovery should be treated as change management events: either the new device is the result of an authorised change (in which case the OT-IDS baseline should be updated), or it is an unauthorised change that must be investigated immediately.</w:t>
      </w:r>
    </w:p>
    <w:p>
      <w:r>
        <w:br w:type="page"/>
      </w:r>
    </w:p>
    <w:p>
      <w:pPr>
        <w:pStyle w:val="Heading1"/>
        <w:spacing w:after="200" w:before="400"/>
      </w:pPr>
      <w:r>
        <w:rPr>
          <w:rFonts w:ascii="Arial" w:cs="Arial" w:eastAsia="Arial" w:hAnsi="Arial"/>
          <w:b/>
          <w:bCs/>
          <w:color w:val="1F3864"/>
          <w:sz w:val="34"/>
          <w:szCs w:val="34"/>
        </w:rPr>
        <w:t xml:space="preserve">13.4  Vendor and Third-Party Security Management</w:t>
      </w:r>
    </w:p>
    <w:p>
      <w:pPr>
        <w:spacing w:after="160" w:line="276"/>
        <w:jc w:val="both"/>
      </w:pPr>
      <w:r>
        <w:rPr>
          <w:rFonts w:ascii="Arial" w:cs="Arial" w:eastAsia="Arial" w:hAnsi="Arial"/>
          <w:b w:val="false"/>
          <w:bCs w:val="false"/>
          <w:color w:val="000000"/>
          <w:sz w:val="22"/>
          <w:szCs w:val="22"/>
        </w:rPr>
        <w:t xml:space="preserve">Vendor and third-party security management addresses one of the most significant and most consistently underestimated dimensions of OT security risk: the security of the external parties who have access to, provide products for, or whose services are integrated into the OT environment. The attack surface created by vendor relationships is large and varied: OT system vendors require remote diagnostic access; system integrators require physical access for commissioning and maintenance; software vendors release updates that introduce vulnerabilities; and managed service providers may have privileged access to OT infrastructure that, if compromised, provides direct access to the OT environment.</w:t>
      </w:r>
    </w:p>
    <w:p>
      <w:pPr>
        <w:spacing w:after="160" w:line="276"/>
        <w:jc w:val="both"/>
      </w:pPr>
      <w:r>
        <w:rPr>
          <w:rFonts w:ascii="Arial" w:cs="Arial" w:eastAsia="Arial" w:hAnsi="Arial"/>
          <w:b w:val="false"/>
          <w:bCs w:val="false"/>
          <w:color w:val="000000"/>
          <w:sz w:val="22"/>
          <w:szCs w:val="22"/>
        </w:rPr>
        <w:t xml:space="preserve">IEC 62443-2-4:2015 (Security Requirements for IACS Service Providers) provides the technical framework for specifying security requirements for OT service providers — the standard that operators should reference when defining contractual security requirements for their OT vendors. IEC 62443-2-1 §4.3.2.5 (SHALL) requires that the organisation establish processes for managing the security risks associated with third parties. Together, these requirements establish that vendor security management is not an optional enhancement to the CSMS — it is a mandatory element.</w:t>
      </w:r>
    </w:p>
    <w:p>
      <w:pPr>
        <w:spacing w:after="160" w:line="276"/>
        <w:jc w:val="both"/>
      </w:pPr>
      <w:r>
        <w:rPr>
          <w:rFonts w:ascii="Arial" w:cs="Arial" w:eastAsia="Arial" w:hAnsi="Arial"/>
          <w:b w:val="false"/>
          <w:bCs w:val="false"/>
          <w:color w:val="000000"/>
          <w:sz w:val="22"/>
          <w:szCs w:val="22"/>
        </w:rPr>
        <w:t xml:space="preserve">The recent history of OT security incidents demonstrates why: the SolarWinds supply chain attack (2020) demonstrated that a trusted software update mechanism could be used to distribute malware to thousands of organisations simultaneously; the Kaseya VSA attack (2021) showed that managed service provider infrastructure could be used to deliver ransomware to thousands of downstream customers; and multiple OT-specific incidents have traced initial access to compromised vendor VPN credentials or malicious vendor hardware. The threat is real, documented, and specifically targeted at the trust relationships that vendor access creates.</w:t>
      </w:r>
    </w:p>
    <w:p>
      <w:pPr>
        <w:pStyle w:val="Heading2"/>
        <w:spacing w:after="160" w:before="280"/>
      </w:pPr>
      <w:r>
        <w:rPr>
          <w:rFonts w:ascii="Arial" w:cs="Arial" w:eastAsia="Arial" w:hAnsi="Arial"/>
          <w:b/>
          <w:bCs/>
          <w:color w:val="2E75B6"/>
          <w:sz w:val="26"/>
          <w:szCs w:val="26"/>
        </w:rPr>
        <w:t xml:space="preserve">13.4.1  The Vendor Security Management Lifecycle</w:t>
      </w:r>
    </w:p>
    <w:p>
      <w:pPr>
        <w:spacing w:after="160" w:line="276"/>
        <w:jc w:val="both"/>
      </w:pPr>
      <w:r>
        <w:rPr>
          <w:rFonts w:ascii="Arial" w:cs="Arial" w:eastAsia="Arial" w:hAnsi="Arial"/>
          <w:b w:val="false"/>
          <w:bCs w:val="false"/>
          <w:color w:val="000000"/>
          <w:sz w:val="22"/>
          <w:szCs w:val="22"/>
        </w:rPr>
        <w:t xml:space="preserve">Effective vendor security management is not a point-in-time activity — it is a lifecycle programme that spans the entire relationship with each vendor, from pre-engagement assessment through ongoing performance monitoring to contract termination and access revocation. The following framework describes the key activities at each stage of the vendor security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80"/>
        <w:gridCol w:w="3880"/>
      </w:tblGrid>
      <w:tr>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Stage</w:t>
            </w:r>
          </w:p>
        </w:tc>
        <w:tc>
          <w:tcPr>
            <w:tcW w:type="dxa" w:w="38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Activities</w:t>
            </w:r>
          </w:p>
        </w:tc>
        <w:tc>
          <w:tcPr>
            <w:tcW w:type="dxa" w:w="38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Required Outputs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Pre-Engagement
Assessment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Security questionnaire completion; review of vendor's own security certifications (ISO 27001, IEC 62443 product certifications); assessment of vendor's OT security practices; verification of vendor's incident notification capability; assessment of the security of vendor's remote access tools.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Vendor security assessment report; pass/fail decision against minimum security requirements; risk acceptance documentation if vendor is approved despite identified gaps; contractual security requirements list for contract negotiation.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Contract
Negotiation</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Inclusion of security requirements in the contract: minimum security practices, MFA for remote access, background checks for personnel with access to OT, breach notification obligations, right to audit, data handling requirements, software/firmware integrity assurance.</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Signed contract with security schedule; documented security obligations; breach notification timeline (typically 24 hours); audit rights clause; software/firmware integrity warranty.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Onboarding</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Individual account creation (no shared credentials); MFA provisioning for remote access accounts; briefing on site security requirements; physical access control provisioning; signing of site security acknowledgement form; scoping of remote access permissions in PAM solution.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Individual named accounts for all vendor personnel; PAM access scope definition; site security acknowledgement signed; access to specific authorised systems only; documented access request with business justification.</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Ongoing
Management</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Periodic review of vendor access — are all accounts still required? Are all access paths still justified? Review of session recording logs for anomalous activity; annual security questionnaire update; inclusion in tabletop exercises for critical vendors; monitoring of vendor security news (breaches, vulnerabilities in vendor products).</w:t>
            </w:r>
          </w:p>
        </w:tc>
        <w:tc>
          <w:tcPr>
            <w:tcW w:type="dxa" w:w="3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Quarterly access review records; annual security questionnaire completion; session log review records; PAM access policy updates; incident notifications from vendors.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Contract
Termination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Immediate revocation of all remote access accounts on contract termination; physical access credential revocation; return or secure destruction of any OT system media or documentation provided to vendor; review of vendor access logs for suspicious activity; documentation of all systems and configurations the vendor had access to.</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Access revocation confirmation from PAM system; physical access revocation confirmation; media return/destruction certificate; access log review record; termination checklist completion.</w:t>
            </w:r>
          </w:p>
        </w:tc>
      </w:tr>
    </w:tbl>
    <w:p>
      <w:pPr>
        <w:spacing w:after="220" w:before="80"/>
        <w:jc w:val="center"/>
      </w:pPr>
      <w:r>
        <w:rPr>
          <w:rFonts w:ascii="Arial" w:cs="Arial" w:eastAsia="Arial" w:hAnsi="Arial"/>
          <w:b/>
          <w:bCs/>
          <w:i/>
          <w:iCs/>
          <w:color w:val="1F3864"/>
          <w:sz w:val="20"/>
          <w:szCs w:val="20"/>
        </w:rPr>
        <w:t xml:space="preserve">Table 13.4: Vendor Security Management Lifecycle</w:t>
      </w:r>
    </w:p>
    <w:p>
      <w:pPr>
        <w:spacing w:after="200"/>
      </w:pPr>
      <w:r>
        <w:t xml:space="preserve"/>
      </w:r>
    </w:p>
    <w:p>
      <w:pPr>
        <w:pStyle w:val="Heading2"/>
        <w:spacing w:after="160" w:before="280"/>
      </w:pPr>
      <w:r>
        <w:rPr>
          <w:rFonts w:ascii="Arial" w:cs="Arial" w:eastAsia="Arial" w:hAnsi="Arial"/>
          <w:b/>
          <w:bCs/>
          <w:color w:val="2E75B6"/>
          <w:sz w:val="26"/>
          <w:szCs w:val="26"/>
        </w:rPr>
        <w:t xml:space="preserve">13.4.2  Minimum Vendor Security Requirements</w:t>
      </w:r>
    </w:p>
    <w:p>
      <w:pPr>
        <w:spacing w:after="160" w:line="276"/>
        <w:jc w:val="both"/>
      </w:pPr>
      <w:r>
        <w:rPr>
          <w:rFonts w:ascii="Arial" w:cs="Arial" w:eastAsia="Arial" w:hAnsi="Arial"/>
          <w:b w:val="false"/>
          <w:bCs w:val="false"/>
          <w:color w:val="000000"/>
          <w:sz w:val="22"/>
          <w:szCs w:val="22"/>
        </w:rPr>
        <w:t xml:space="preserve">The minimum security requirements that OT vendors must meet before being granted access to the OT environment should be specified in the vendor security policy (Chapter 11) and assessed during the pre-engagement process. The following represents the minimum requirements for vendors with remote access to OT systems at SL 2 zones, derived from IEC 62443-2-4 and the specific attack patterns of OT vendor access incidents:</w:t>
      </w:r>
    </w:p>
    <w:p>
      <w:pPr>
        <w:pStyle w:val="ListParagraph"/>
        <w:numPr>
          <w:ilvl w:val="0"/>
          <w:numId w:val="2"/>
        </w:numPr>
        <w:spacing w:after="100" w:line="276"/>
      </w:pPr>
      <w:r>
        <w:rPr>
          <w:rFonts w:ascii="Arial" w:cs="Arial" w:eastAsia="Arial" w:hAnsi="Arial"/>
          <w:sz w:val="22"/>
          <w:szCs w:val="22"/>
        </w:rPr>
        <w:t xml:space="preserve">MFA for all remote access: The vendor must use multi-factor authentication for all remote access to the operator's OT systems. Single-factor authentication (username and password only) is not acceptable regardless of password complexity. The vendor's own internal authentication practices are irrelevant — the requirement is for MFA on the specific access to the operator's OT environment.</w:t>
      </w:r>
    </w:p>
    <w:p>
      <w:pPr>
        <w:pStyle w:val="ListParagraph"/>
        <w:numPr>
          <w:ilvl w:val="0"/>
          <w:numId w:val="2"/>
        </w:numPr>
        <w:spacing w:after="100" w:line="276"/>
      </w:pPr>
      <w:r>
        <w:rPr>
          <w:rFonts w:ascii="Arial" w:cs="Arial" w:eastAsia="Arial" w:hAnsi="Arial"/>
          <w:sz w:val="22"/>
          <w:szCs w:val="22"/>
        </w:rPr>
        <w:t xml:space="preserve">Individual named accounts: All vendor personnel with remote access must have individual named accounts. Shared accounts — even shared by personnel within the same vendor organisation — are prohibited. This requirement enables attribution of all access to a specific individual and enables prompt revocation when a specific individual's access is no longer required.</w:t>
      </w:r>
    </w:p>
    <w:p>
      <w:pPr>
        <w:pStyle w:val="ListParagraph"/>
        <w:numPr>
          <w:ilvl w:val="0"/>
          <w:numId w:val="2"/>
        </w:numPr>
        <w:spacing w:after="100" w:line="276"/>
      </w:pPr>
      <w:r>
        <w:rPr>
          <w:rFonts w:ascii="Arial" w:cs="Arial" w:eastAsia="Arial" w:hAnsi="Arial"/>
          <w:sz w:val="22"/>
          <w:szCs w:val="22"/>
        </w:rPr>
        <w:t xml:space="preserve">Endpoint security: The vendor's endpoint device used for remote access must have current antivirus/EDR software with current definitions; must not have unauthorised software installed; and must not be used simultaneously for personal internet browsing during an active OT remote access session.</w:t>
      </w:r>
    </w:p>
    <w:p>
      <w:pPr>
        <w:pStyle w:val="ListParagraph"/>
        <w:numPr>
          <w:ilvl w:val="0"/>
          <w:numId w:val="2"/>
        </w:numPr>
        <w:spacing w:after="100" w:line="276"/>
      </w:pPr>
      <w:r>
        <w:rPr>
          <w:rFonts w:ascii="Arial" w:cs="Arial" w:eastAsia="Arial" w:hAnsi="Arial"/>
          <w:sz w:val="22"/>
          <w:szCs w:val="22"/>
        </w:rPr>
        <w:t xml:space="preserve">Personnel background checks: Vendor personnel with remote access to OT systems must have undergone background verification appropriate to their access level. For personnel with access to safety-critical OT systems, the background check standard should be specified in the contract.</w:t>
      </w:r>
    </w:p>
    <w:p>
      <w:pPr>
        <w:pStyle w:val="ListParagraph"/>
        <w:numPr>
          <w:ilvl w:val="0"/>
          <w:numId w:val="2"/>
        </w:numPr>
        <w:spacing w:after="100" w:line="276"/>
      </w:pPr>
      <w:r>
        <w:rPr>
          <w:rFonts w:ascii="Arial" w:cs="Arial" w:eastAsia="Arial" w:hAnsi="Arial"/>
          <w:sz w:val="22"/>
          <w:szCs w:val="22"/>
        </w:rPr>
        <w:t xml:space="preserve">Security incident notification: The vendor must notify the operator within 24 hours of becoming aware of any security incident that may affect the operator's OT environment — including breaches of the vendor's own systems if those systems have access to the operator's OT environment, or if the vendor's software or hardware is known to have been compromised.</w:t>
      </w:r>
    </w:p>
    <w:p>
      <w:pPr>
        <w:pStyle w:val="ListParagraph"/>
        <w:numPr>
          <w:ilvl w:val="0"/>
          <w:numId w:val="2"/>
        </w:numPr>
        <w:spacing w:after="100" w:line="276"/>
      </w:pPr>
      <w:r>
        <w:rPr>
          <w:rFonts w:ascii="Arial" w:cs="Arial" w:eastAsia="Arial" w:hAnsi="Arial"/>
          <w:sz w:val="22"/>
          <w:szCs w:val="22"/>
        </w:rPr>
        <w:t xml:space="preserve">Software and firmware integrity: The vendor must provide a mechanism for verifying the integrity of software and firmware delivered to the operator. This may be cryptographic signing of software packages, checksum verification, or vendor-published hash values for all delivered software versions. Software or firmware whose integrity cannot be verified must not be installed on OT systems.</w:t>
      </w:r>
    </w:p>
    <w:p>
      <w:pPr>
        <w:pStyle w:val="Heading2"/>
        <w:spacing w:after="160" w:before="280"/>
      </w:pPr>
      <w:r>
        <w:rPr>
          <w:rFonts w:ascii="Arial" w:cs="Arial" w:eastAsia="Arial" w:hAnsi="Arial"/>
          <w:b/>
          <w:bCs/>
          <w:color w:val="2E75B6"/>
          <w:sz w:val="26"/>
          <w:szCs w:val="26"/>
        </w:rPr>
        <w:t xml:space="preserve">13.4.3  Supply Chain Security</w:t>
      </w:r>
    </w:p>
    <w:p>
      <w:pPr>
        <w:spacing w:after="160" w:line="276"/>
        <w:jc w:val="both"/>
      </w:pPr>
      <w:r>
        <w:rPr>
          <w:rFonts w:ascii="Arial" w:cs="Arial" w:eastAsia="Arial" w:hAnsi="Arial"/>
          <w:b w:val="false"/>
          <w:bCs w:val="false"/>
          <w:color w:val="000000"/>
          <w:sz w:val="22"/>
          <w:szCs w:val="22"/>
        </w:rPr>
        <w:t xml:space="preserve">Supply chain security — the security of the hardware and software supply chain through which OT components reach the operator — has emerged as one of the most significant OT security challenges of the 2020s. The SolarWinds attack demonstrated that a trusted software update mechanism could be subverted to distribute malware through a supply chain that was trusted by its recipients. The discovery of counterfeit Cisco equipment in critical infrastructure networks demonstrated that hardware supply chains are equally vulnerable. For OT environments, where the introduction of malicious hardware or firmware can have direct physical consequences, supply chain security is a risk that demands specific management attention.</w:t>
      </w:r>
    </w:p>
    <w:p>
      <w:pPr>
        <w:spacing w:after="160" w:line="276"/>
        <w:jc w:val="both"/>
      </w:pPr>
      <w:r>
        <w:rPr>
          <w:rFonts w:ascii="Arial" w:cs="Arial" w:eastAsia="Arial" w:hAnsi="Arial"/>
          <w:b w:val="false"/>
          <w:bCs w:val="false"/>
          <w:color w:val="000000"/>
          <w:sz w:val="22"/>
          <w:szCs w:val="22"/>
        </w:rPr>
        <w:t xml:space="preserve">The OT supply chain security programme must address:</w:t>
      </w:r>
    </w:p>
    <w:p>
      <w:pPr>
        <w:pStyle w:val="ListParagraph"/>
        <w:numPr>
          <w:ilvl w:val="0"/>
          <w:numId w:val="2"/>
        </w:numPr>
        <w:spacing w:after="100" w:line="276"/>
      </w:pPr>
      <w:r>
        <w:rPr>
          <w:rFonts w:ascii="Arial" w:cs="Arial" w:eastAsia="Arial" w:hAnsi="Arial"/>
          <w:sz w:val="22"/>
          <w:szCs w:val="22"/>
        </w:rPr>
        <w:t xml:space="preserve">Procurement from authorised sources: OT hardware and software must be procured from authorised vendor channels — not through grey market or secondary market sources. The cost savings from grey market procurement are not worth the risk of counterfeit hardware with embedded malicious firmware. Procurement policy must specify authorised procurement channels for all OT product categories.</w:t>
      </w:r>
    </w:p>
    <w:p>
      <w:pPr>
        <w:pStyle w:val="ListParagraph"/>
        <w:numPr>
          <w:ilvl w:val="0"/>
          <w:numId w:val="2"/>
        </w:numPr>
        <w:spacing w:after="100" w:line="276"/>
      </w:pPr>
      <w:r>
        <w:rPr>
          <w:rFonts w:ascii="Arial" w:cs="Arial" w:eastAsia="Arial" w:hAnsi="Arial"/>
          <w:sz w:val="22"/>
          <w:szCs w:val="22"/>
        </w:rPr>
        <w:t xml:space="preserve">Integrity verification at delivery: Hardware and software delivered to the OT environment must be integrity-verified before installation. For software, this means verifying cryptographic signatures or hash values against vendor-published values. For hardware, this means visual inspection for tampering and, for critical components, consideration of vendor-provided tamper-evident packaging or supply chain attestation documentation.</w:t>
      </w:r>
    </w:p>
    <w:p>
      <w:pPr>
        <w:pStyle w:val="ListParagraph"/>
        <w:numPr>
          <w:ilvl w:val="0"/>
          <w:numId w:val="2"/>
        </w:numPr>
        <w:spacing w:after="100" w:line="276"/>
      </w:pPr>
      <w:r>
        <w:rPr>
          <w:rFonts w:ascii="Arial" w:cs="Arial" w:eastAsia="Arial" w:hAnsi="Arial"/>
          <w:sz w:val="22"/>
          <w:szCs w:val="22"/>
        </w:rPr>
        <w:t xml:space="preserve">SBOM (Software Bill of Materials): For new OT system deployments and major upgrades, operators should require vendors to provide a Software Bill of Materials — a comprehensive inventory of all software components included in the OT product, including third-party libraries and open-source components. The SBOM enables the operator to assess the vulnerability exposure of the delivered product against known CVEs.</w:t>
      </w:r>
    </w:p>
    <w:p>
      <w:pPr>
        <w:pStyle w:val="ListParagraph"/>
        <w:numPr>
          <w:ilvl w:val="0"/>
          <w:numId w:val="2"/>
        </w:numPr>
        <w:spacing w:after="100" w:line="276"/>
      </w:pPr>
      <w:r>
        <w:rPr>
          <w:rFonts w:ascii="Arial" w:cs="Arial" w:eastAsia="Arial" w:hAnsi="Arial"/>
          <w:sz w:val="22"/>
          <w:szCs w:val="22"/>
        </w:rPr>
        <w:t xml:space="preserve">Vulnerability disclosure monitoring: The operator must monitor vulnerability disclosures for all OT products in their supply chain — not just the top-level product but the embedded components and third-party software included in OT products. This requires the asset inventory and SBOM to be maintained as working documents, not historical records.</w:t>
      </w:r>
    </w:p>
    <w:p>
      <w:r>
        <w:br w:type="page"/>
      </w:r>
    </w:p>
    <w:p>
      <w:pPr>
        <w:pStyle w:val="Heading1"/>
        <w:spacing w:after="200" w:before="400"/>
      </w:pPr>
      <w:r>
        <w:rPr>
          <w:rFonts w:ascii="Arial" w:cs="Arial" w:eastAsia="Arial" w:hAnsi="Arial"/>
          <w:b/>
          <w:bCs/>
          <w:color w:val="1F3864"/>
          <w:sz w:val="34"/>
          <w:szCs w:val="34"/>
        </w:rPr>
        <w:t xml:space="preserve">13.5  Personnel Security in OT Environments</w:t>
      </w:r>
    </w:p>
    <w:p>
      <w:pPr>
        <w:spacing w:after="160" w:line="276"/>
        <w:jc w:val="both"/>
      </w:pPr>
      <w:r>
        <w:rPr>
          <w:rFonts w:ascii="Arial" w:cs="Arial" w:eastAsia="Arial" w:hAnsi="Arial"/>
          <w:b w:val="false"/>
          <w:bCs w:val="false"/>
          <w:color w:val="000000"/>
          <w:sz w:val="22"/>
          <w:szCs w:val="22"/>
        </w:rPr>
        <w:t xml:space="preserve">Personnel security addresses the human dimension of OT security risk — the risks that arise from the people who have authorised access to OT systems, whether through negligence, error, or malicious intent. IEC 62443-2-1 §4.3.2.4 (SHALL) requires that the organisation establish and maintain a personnel security programme that addresses security responsibilities throughout the employment lifecycle. This programme must address three distinct risk categories: the risk of hiring individuals who present a security threat (mitigated through pre-employment screening); the risk of existing employees whose security behaviour or access becomes inappropriate (mitigated through ongoing monitoring and role change procedures); and the risk of deliberate insider threat — the malicious use of authorised access to cause harm.</w:t>
      </w:r>
    </w:p>
    <w:p>
      <w:pPr>
        <w:spacing w:after="160" w:line="276"/>
        <w:jc w:val="both"/>
      </w:pPr>
      <w:r>
        <w:rPr>
          <w:rFonts w:ascii="Arial" w:cs="Arial" w:eastAsia="Arial" w:hAnsi="Arial"/>
          <w:b w:val="false"/>
          <w:bCs w:val="false"/>
          <w:color w:val="000000"/>
          <w:sz w:val="22"/>
          <w:szCs w:val="22"/>
        </w:rPr>
        <w:t xml:space="preserve">The insider threat dimension of personnel security deserves particular attention in OT environments because the consequences of a malicious insider in an OT context can be catastrophic. An operator or engineer with legitimate access to process control systems can cause physical damage, product release, or safety system defeat that an external attacker can only achieve after overcoming multiple technical controls. The 2000 Maroochy Shire sewage spill — in which a disgruntled former contractor used knowledge of the control system and legitimate equipment to release millions of litres of raw sewage into local waterways — is the seminal OT insider threat case study. The perpetrator was not a sophisticated hacker; he was a knowledgeable former employee with retained equipment and a grievance (Abrams and Weiss, 2008).</w:t>
      </w:r>
    </w:p>
    <w:p>
      <w:pPr>
        <w:pStyle w:val="Heading2"/>
        <w:spacing w:after="160" w:before="280"/>
      </w:pPr>
      <w:r>
        <w:rPr>
          <w:rFonts w:ascii="Arial" w:cs="Arial" w:eastAsia="Arial" w:hAnsi="Arial"/>
          <w:b/>
          <w:bCs/>
          <w:color w:val="2E75B6"/>
          <w:sz w:val="26"/>
          <w:szCs w:val="26"/>
        </w:rPr>
        <w:t xml:space="preserve">13.5.1  Pre-Employment Screening</w:t>
      </w:r>
    </w:p>
    <w:p>
      <w:pPr>
        <w:spacing w:after="160" w:line="276"/>
        <w:jc w:val="both"/>
      </w:pPr>
      <w:r>
        <w:rPr>
          <w:rFonts w:ascii="Arial" w:cs="Arial" w:eastAsia="Arial" w:hAnsi="Arial"/>
          <w:b w:val="false"/>
          <w:bCs w:val="false"/>
          <w:color w:val="000000"/>
          <w:sz w:val="22"/>
          <w:szCs w:val="22"/>
        </w:rPr>
        <w:t xml:space="preserve">Pre-employment screening for OT security-sensitive roles should be calibrated to the risk profile of the position. The following framework provides a tiered approach to screening requirements based on the OT access level associated with each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80"/>
        <w:gridCol w:w="2680"/>
      </w:tblGrid>
      <w:tr>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Role Examples</w:t>
            </w:r>
          </w:p>
        </w:tc>
        <w:tc>
          <w:tcPr>
            <w:tcW w:type="dxa" w:w="36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Minimum Screening Requirements</w:t>
            </w:r>
          </w:p>
        </w:tc>
        <w:tc>
          <w:tcPr>
            <w:tcW w:type="dxa" w:w="26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Additional SL 3 Requirements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Tier 1
High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 Engineer, OT Security Manager, Executive Sponsor, Incident Response Coordinator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Criminal records check (national); employment history verification (5 years); education qualification verification; professional reference checks (2 minimum); financial probity check where legally permissible; security clearance where regulated sector requires.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Broader geographic criminal records check; social media assessment; formal security interview; counter-intelligence briefing for roles with access to classified threat intelligence; periodic re-screening (3 years).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Tier 2
Medium</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Control Room Operators, OT/Instrument Engineers, OT Security Analysts, Operations Supervisors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Criminal records check (national); employment history verification (3 years); professional reference checks (1 minimum); right to work verification.</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Financial probity check; social media assessment; periodic re-screening (5 years).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Tier 3
Standard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Administrative staff with incidental OT area access, Non-OT IT staff with IDMZ access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Criminal records check (national); right to work verification; employment history confirmation.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Periodic re-screening (5 years).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Contractors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Third-party contractors with regular OT site access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Vendor personnel security policy compliance (Section 13.4.2); site security induction; escorted access where not pre-screened to Tier 2 equivalent.</w:t>
            </w:r>
          </w:p>
        </w:tc>
        <w:tc>
          <w:tcPr>
            <w:tcW w:type="dxa" w:w="26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Vendor contractual requirement for Tier 2 equivalent screening for personnel with regular unescorted OT access.</w:t>
            </w:r>
          </w:p>
        </w:tc>
      </w:tr>
    </w:tbl>
    <w:p>
      <w:pPr>
        <w:spacing w:after="220" w:before="80"/>
        <w:jc w:val="center"/>
      </w:pPr>
      <w:r>
        <w:rPr>
          <w:rFonts w:ascii="Arial" w:cs="Arial" w:eastAsia="Arial" w:hAnsi="Arial"/>
          <w:b/>
          <w:bCs/>
          <w:i/>
          <w:iCs/>
          <w:color w:val="1F3864"/>
          <w:sz w:val="20"/>
          <w:szCs w:val="20"/>
        </w:rPr>
        <w:t xml:space="preserve">Table 13.5: Personnel Security Screening Requirements by Role Tier</w:t>
      </w:r>
    </w:p>
    <w:p>
      <w:pPr>
        <w:spacing w:after="200"/>
      </w:pPr>
      <w:r>
        <w:t xml:space="preserve"/>
      </w:r>
    </w:p>
    <w:p>
      <w:pPr>
        <w:pStyle w:val="Heading2"/>
        <w:spacing w:after="160" w:before="280"/>
      </w:pPr>
      <w:r>
        <w:rPr>
          <w:rFonts w:ascii="Arial" w:cs="Arial" w:eastAsia="Arial" w:hAnsi="Arial"/>
          <w:b/>
          <w:bCs/>
          <w:color w:val="2E75B6"/>
          <w:sz w:val="26"/>
          <w:szCs w:val="26"/>
        </w:rPr>
        <w:t xml:space="preserve">13.5.2  Security Responsibilities Throughout the Employment Lifecycle</w:t>
      </w:r>
    </w:p>
    <w:p>
      <w:pPr>
        <w:spacing w:after="160" w:line="276"/>
        <w:jc w:val="both"/>
      </w:pPr>
      <w:r>
        <w:rPr>
          <w:rFonts w:ascii="Arial" w:cs="Arial" w:eastAsia="Arial" w:hAnsi="Arial"/>
          <w:b w:val="false"/>
          <w:bCs w:val="false"/>
          <w:color w:val="000000"/>
          <w:sz w:val="22"/>
          <w:szCs w:val="22"/>
        </w:rPr>
        <w:t xml:space="preserve">Personnel security obligations must be embedded in the employment relationship at every stage, not just at the point of joining. The following lifecycle events each require specific security actions:</w:t>
      </w:r>
    </w:p>
    <w:p>
      <w:pPr>
        <w:pStyle w:val="ListParagraph"/>
        <w:numPr>
          <w:ilvl w:val="0"/>
          <w:numId w:val="2"/>
        </w:numPr>
        <w:spacing w:after="100" w:line="276"/>
      </w:pPr>
      <w:r>
        <w:rPr>
          <w:rFonts w:ascii="Arial" w:cs="Arial" w:eastAsia="Arial" w:hAnsi="Arial"/>
          <w:sz w:val="22"/>
          <w:szCs w:val="22"/>
        </w:rPr>
        <w:t xml:space="preserve">At engagement: Security responsibilities must be communicated and acknowledged before the individual commences work in any OT-accessible role. This must include: the specific security obligations relevant to the role; the consequences of security policy violation; the requirement to report security concerns; and the specific OT access controls the individual must comply with. Acknowledgement must be documented.</w:t>
      </w:r>
    </w:p>
    <w:p>
      <w:pPr>
        <w:pStyle w:val="ListParagraph"/>
        <w:numPr>
          <w:ilvl w:val="0"/>
          <w:numId w:val="2"/>
        </w:numPr>
        <w:spacing w:after="100" w:line="276"/>
      </w:pPr>
      <w:r>
        <w:rPr>
          <w:rFonts w:ascii="Arial" w:cs="Arial" w:eastAsia="Arial" w:hAnsi="Arial"/>
          <w:sz w:val="22"/>
          <w:szCs w:val="22"/>
        </w:rPr>
        <w:t xml:space="preserve">During employment — role change: When an individual's role changes — promotion, lateral move, assignment change — their OT access must be reviewed and, where necessary, revised within five working days. The principle of least privilege requires that access that was appropriate for the previous role but is not required for the new role must be removed. The most common source of excessive privilege in OT environments is not deliberate over-provisioning — it is the failure to review and revoke access when individuals change roles.</w:t>
      </w:r>
    </w:p>
    <w:p>
      <w:pPr>
        <w:pStyle w:val="ListParagraph"/>
        <w:numPr>
          <w:ilvl w:val="0"/>
          <w:numId w:val="2"/>
        </w:numPr>
        <w:spacing w:after="100" w:line="276"/>
      </w:pPr>
      <w:r>
        <w:rPr>
          <w:rFonts w:ascii="Arial" w:cs="Arial" w:eastAsia="Arial" w:hAnsi="Arial"/>
          <w:sz w:val="22"/>
          <w:szCs w:val="22"/>
        </w:rPr>
        <w:t xml:space="preserve">During employment — concern identification: Managers and colleagues must be trained to recognise and report behaviours that may indicate an insider threat risk — unexpected financial hardship, expressions of grievance about the organisation, unusual interest in security systems outside their role, attempts to access systems outside their normal scope, or unexplained downloads of OT configuration data. The reporting channel must be psychologically safe — individuals must not fear retaliation for reporting concerns in good faith.</w:t>
      </w:r>
    </w:p>
    <w:p>
      <w:pPr>
        <w:pStyle w:val="ListParagraph"/>
        <w:numPr>
          <w:ilvl w:val="0"/>
          <w:numId w:val="2"/>
        </w:numPr>
        <w:spacing w:after="100" w:line="276"/>
      </w:pPr>
      <w:r>
        <w:rPr>
          <w:rFonts w:ascii="Arial" w:cs="Arial" w:eastAsia="Arial" w:hAnsi="Arial"/>
          <w:sz w:val="22"/>
          <w:szCs w:val="22"/>
        </w:rPr>
        <w:t xml:space="preserve">At departure — resignation or retirement: OT access must be revoked on the final day of employment — not when IT gets around to processing the HR notification. The departure checklist must include: revocation of all OT accounts; revocation of physical access credentials; return of any OT system media (USB drives, documentation, backup media); and a structured departure interview that includes a reminder of post-employment confidentiality obligations.</w:t>
      </w:r>
    </w:p>
    <w:p>
      <w:pPr>
        <w:pStyle w:val="ListParagraph"/>
        <w:numPr>
          <w:ilvl w:val="0"/>
          <w:numId w:val="2"/>
        </w:numPr>
        <w:spacing w:after="100" w:line="276"/>
      </w:pPr>
      <w:r>
        <w:rPr>
          <w:rFonts w:ascii="Arial" w:cs="Arial" w:eastAsia="Arial" w:hAnsi="Arial"/>
          <w:sz w:val="22"/>
          <w:szCs w:val="22"/>
        </w:rPr>
        <w:t xml:space="preserve">At departure — dismissal: When an individual is dismissed — particularly in circumstances involving a grievance — OT access must be revoked before the individual is informed of the dismissal. The sequence is: coordinate with IT/OT security to pre-stage access revocation; conduct the dismissal conversation; immediately activate the access revocation. This sequence is designed to prevent the Maroochy-class scenario in which a dismissed employee retains access and uses it to cause harm in the immediate aftermath of dismissal.</w:t>
      </w:r>
    </w:p>
    <w:p>
      <w:pPr>
        <w:pStyle w:val="Heading2"/>
        <w:spacing w:after="160" w:before="280"/>
      </w:pPr>
      <w:r>
        <w:rPr>
          <w:rFonts w:ascii="Arial" w:cs="Arial" w:eastAsia="Arial" w:hAnsi="Arial"/>
          <w:b/>
          <w:bCs/>
          <w:color w:val="2E75B6"/>
          <w:sz w:val="26"/>
          <w:szCs w:val="26"/>
        </w:rPr>
        <w:t xml:space="preserve">13.5.3  Insider Threat Indicators and Response</w:t>
      </w:r>
    </w:p>
    <w:p>
      <w:pPr>
        <w:spacing w:after="160" w:line="276"/>
        <w:jc w:val="both"/>
      </w:pPr>
      <w:r>
        <w:rPr>
          <w:rFonts w:ascii="Arial" w:cs="Arial" w:eastAsia="Arial" w:hAnsi="Arial"/>
          <w:b w:val="false"/>
          <w:bCs w:val="false"/>
          <w:color w:val="000000"/>
          <w:sz w:val="22"/>
          <w:szCs w:val="22"/>
        </w:rPr>
        <w:t xml:space="preserve">The insider threat is not primarily a technical problem — it is a human problem that requires a human-centred detection and response approach. Technical controls (access monitoring, DLP, user behaviour analytics) can support insider threat detection, but they are not sufficient alone. The most effective insider threat detection programmes combine technical monitoring with a culture in which colleagues and managers feel safe reporting concerns, and in which reported concerns are investigated promptly and appropriately.</w:t>
      </w:r>
    </w:p>
    <w:p>
      <w:pPr>
        <w:spacing w:after="160" w:line="276"/>
        <w:jc w:val="both"/>
      </w:pPr>
      <w:r>
        <w:rPr>
          <w:rFonts w:ascii="Arial" w:cs="Arial" w:eastAsia="Arial" w:hAnsi="Arial"/>
          <w:b w:val="false"/>
          <w:bCs w:val="false"/>
          <w:color w:val="000000"/>
          <w:sz w:val="22"/>
          <w:szCs w:val="22"/>
        </w:rPr>
        <w:t xml:space="preserve">Research on insider threat in critical infrastructure (Shaw et al., 2001; Hunker and Probst, 2011; CERT Insider Threat Center, 2019) consistently identifies a set of behavioural and contextual indicators that precede insider incidents. These indicators do not confirm an insider threat — many are present in individuals who never pose a security risk — but they define the population that warrants enhanced monitoring and, where appropriate, proactive management intervention:</w:t>
      </w:r>
    </w:p>
    <w:p>
      <w:pPr>
        <w:pStyle w:val="ListParagraph"/>
        <w:numPr>
          <w:ilvl w:val="0"/>
          <w:numId w:val="2"/>
        </w:numPr>
        <w:spacing w:after="100" w:line="276"/>
      </w:pPr>
      <w:r>
        <w:rPr>
          <w:rFonts w:ascii="Arial" w:cs="Arial" w:eastAsia="Arial" w:hAnsi="Arial"/>
          <w:sz w:val="22"/>
          <w:szCs w:val="22"/>
        </w:rPr>
        <w:t xml:space="preserve">Unexplained financial pressures or sudden lifestyle changes inconsistent with known income</w:t>
      </w:r>
    </w:p>
    <w:p>
      <w:pPr>
        <w:pStyle w:val="ListParagraph"/>
        <w:numPr>
          <w:ilvl w:val="0"/>
          <w:numId w:val="2"/>
        </w:numPr>
        <w:spacing w:after="100" w:line="276"/>
      </w:pPr>
      <w:r>
        <w:rPr>
          <w:rFonts w:ascii="Arial" w:cs="Arial" w:eastAsia="Arial" w:hAnsi="Arial"/>
          <w:sz w:val="22"/>
          <w:szCs w:val="22"/>
        </w:rPr>
        <w:t xml:space="preserve">Expressions of grievance — about management decisions, compensation, recognition, or perceived unfair treatment — that are intense and persistent</w:t>
      </w:r>
    </w:p>
    <w:p>
      <w:pPr>
        <w:pStyle w:val="ListParagraph"/>
        <w:numPr>
          <w:ilvl w:val="0"/>
          <w:numId w:val="2"/>
        </w:numPr>
        <w:spacing w:after="100" w:line="276"/>
      </w:pPr>
      <w:r>
        <w:rPr>
          <w:rFonts w:ascii="Arial" w:cs="Arial" w:eastAsia="Arial" w:hAnsi="Arial"/>
          <w:sz w:val="22"/>
          <w:szCs w:val="22"/>
        </w:rPr>
        <w:t xml:space="preserve">Unusual access patterns — accessing OT systems outside normal working hours, accessing systems outside the scope of their role, or repeatedly attempting to access systems they are not authorised to use</w:t>
      </w:r>
    </w:p>
    <w:p>
      <w:pPr>
        <w:pStyle w:val="ListParagraph"/>
        <w:numPr>
          <w:ilvl w:val="0"/>
          <w:numId w:val="2"/>
        </w:numPr>
        <w:spacing w:after="100" w:line="276"/>
      </w:pPr>
      <w:r>
        <w:rPr>
          <w:rFonts w:ascii="Arial" w:cs="Arial" w:eastAsia="Arial" w:hAnsi="Arial"/>
          <w:sz w:val="22"/>
          <w:szCs w:val="22"/>
        </w:rPr>
        <w:t xml:space="preserve">Unexplained interest in OT security arrangements — asking questions about security controls, monitoring capabilities, or access logs that are outside the individual's role</w:t>
      </w:r>
    </w:p>
    <w:p>
      <w:pPr>
        <w:pStyle w:val="ListParagraph"/>
        <w:numPr>
          <w:ilvl w:val="0"/>
          <w:numId w:val="2"/>
        </w:numPr>
        <w:spacing w:after="100" w:line="276"/>
      </w:pPr>
      <w:r>
        <w:rPr>
          <w:rFonts w:ascii="Arial" w:cs="Arial" w:eastAsia="Arial" w:hAnsi="Arial"/>
          <w:sz w:val="22"/>
          <w:szCs w:val="22"/>
        </w:rPr>
        <w:t xml:space="preserve">Large or unusual data transfers from OT systems — downloading of configuration files, historian data, or other OT data without a documented business requirement</w:t>
      </w:r>
    </w:p>
    <w:p>
      <w:pPr>
        <w:pStyle w:val="ListParagraph"/>
        <w:numPr>
          <w:ilvl w:val="0"/>
          <w:numId w:val="2"/>
        </w:numPr>
        <w:spacing w:after="100" w:line="276"/>
      </w:pPr>
      <w:r>
        <w:rPr>
          <w:rFonts w:ascii="Arial" w:cs="Arial" w:eastAsia="Arial" w:hAnsi="Arial"/>
          <w:sz w:val="22"/>
          <w:szCs w:val="22"/>
        </w:rPr>
        <w:t xml:space="preserve">Reluctance to take leave — which may indicate that the individual is monitoring a process they have interfered with or maintaining access that would be discovered during their absence</w:t>
      </w:r>
    </w:p>
    <w:p>
      <w:pPr>
        <w:spacing w:after="160" w:line="276"/>
        <w:jc w:val="both"/>
      </w:pPr>
      <w:r>
        <w:rPr>
          <w:rFonts w:ascii="Arial" w:cs="Arial" w:eastAsia="Arial" w:hAnsi="Arial"/>
          <w:b w:val="false"/>
          <w:bCs w:val="false"/>
          <w:color w:val="000000"/>
          <w:sz w:val="22"/>
          <w:szCs w:val="22"/>
        </w:rPr>
        <w:t xml:space="preserve">The response to identified insider threat indicators must be proportionate, confidential, and legally compliant. In most jurisdictions, enhanced monitoring of a specific individual requires HR and legal involvement and must comply with employment law and privacy legislation. The OT Security Manager should not attempt to manage an insider threat investigation without legal and HR support.</w:t>
      </w:r>
    </w:p>
    <w:p>
      <w:r>
        <w:br w:type="page"/>
      </w:r>
    </w:p>
    <w:p>
      <w:pPr>
        <w:pStyle w:val="Heading1"/>
        <w:spacing w:after="200" w:before="400"/>
      </w:pPr>
      <w:r>
        <w:rPr>
          <w:rFonts w:ascii="Arial" w:cs="Arial" w:eastAsia="Arial" w:hAnsi="Arial"/>
          <w:b/>
          <w:bCs/>
          <w:color w:val="1F3864"/>
          <w:sz w:val="34"/>
          <w:szCs w:val="34"/>
        </w:rPr>
        <w:t xml:space="preserve">13.6  Physical Security for OT Environments</w:t>
      </w:r>
    </w:p>
    <w:p>
      <w:pPr>
        <w:spacing w:after="160" w:line="276"/>
        <w:jc w:val="both"/>
      </w:pPr>
      <w:r>
        <w:rPr>
          <w:rFonts w:ascii="Arial" w:cs="Arial" w:eastAsia="Arial" w:hAnsi="Arial"/>
          <w:b w:val="false"/>
          <w:bCs w:val="false"/>
          <w:color w:val="000000"/>
          <w:sz w:val="22"/>
          <w:szCs w:val="22"/>
        </w:rPr>
        <w:t xml:space="preserve">Physical security for OT environments addresses the class of threats that cannot be mitigated by network controls: an attacker, insider, or contractor with physical access to an OT system can introduce malware through a USB drive, make configuration changes directly on a controller's engineering port, defeat network isolation by connecting their own network device, or physically damage equipment in ways that have direct process consequences. Physical security controls are the first line of defence for protecting OT systems from these direct physical threats — and they are often the weakest element of OT security programmes in organisations that have invested heavily in technical network controls while neglecting the physical protection of the systems those controls are designed to protect.</w:t>
      </w:r>
    </w:p>
    <w:p>
      <w:pPr>
        <w:spacing w:after="160" w:line="276"/>
        <w:jc w:val="both"/>
      </w:pPr>
      <w:r>
        <w:rPr>
          <w:rFonts w:ascii="Arial" w:cs="Arial" w:eastAsia="Arial" w:hAnsi="Arial"/>
          <w:b w:val="false"/>
          <w:bCs w:val="false"/>
          <w:color w:val="000000"/>
          <w:sz w:val="22"/>
          <w:szCs w:val="22"/>
        </w:rPr>
        <w:t xml:space="preserve">IEC 62443-2-1 §4.3.3.3 (SHALL) requires that the organisation establish and maintain physical security controls appropriate to the security requirements of the CSMS scope. The physical security programme must be aligned with the zone architecture of the OT network — just as the network zone and conduit model defines who can communicate with what systems electronically, the physical security programme defines who can physically access what systems.</w:t>
      </w:r>
    </w:p>
    <w:p>
      <w:pPr>
        <w:pStyle w:val="Heading2"/>
        <w:spacing w:after="160" w:before="280"/>
      </w:pPr>
      <w:r>
        <w:rPr>
          <w:rFonts w:ascii="Arial" w:cs="Arial" w:eastAsia="Arial" w:hAnsi="Arial"/>
          <w:b/>
          <w:bCs/>
          <w:color w:val="2E75B6"/>
          <w:sz w:val="26"/>
          <w:szCs w:val="26"/>
        </w:rPr>
        <w:t xml:space="preserve">13.6.1  Physical Security Zones</w:t>
      </w:r>
    </w:p>
    <w:p>
      <w:pPr>
        <w:spacing w:after="160" w:line="276"/>
        <w:jc w:val="both"/>
      </w:pPr>
      <w:r>
        <w:rPr>
          <w:rFonts w:ascii="Arial" w:cs="Arial" w:eastAsia="Arial" w:hAnsi="Arial"/>
          <w:b w:val="false"/>
          <w:bCs w:val="false"/>
          <w:color w:val="000000"/>
          <w:sz w:val="22"/>
          <w:szCs w:val="22"/>
        </w:rPr>
        <w:t xml:space="preserve">The physical security programme should be structured around physical security zones that mirror the logical network zones of the zone and conduit architecture:</w:t>
      </w:r>
    </w:p>
    <w:p>
      <w:pPr>
        <w:pStyle w:val="ListParagraph"/>
        <w:numPr>
          <w:ilvl w:val="0"/>
          <w:numId w:val="2"/>
        </w:numPr>
        <w:spacing w:after="100" w:line="276"/>
      </w:pPr>
      <w:r>
        <w:rPr>
          <w:rFonts w:ascii="Arial" w:cs="Arial" w:eastAsia="Arial" w:hAnsi="Arial"/>
          <w:sz w:val="22"/>
          <w:szCs w:val="22"/>
        </w:rPr>
        <w:t xml:space="preserve">Level 1 Physical Security Zone (Unrestricted): Public areas of the facility — car parks, reception, visitor areas. No OT access. Standard CCTV and perimeter security.</w:t>
      </w:r>
    </w:p>
    <w:p>
      <w:pPr>
        <w:pStyle w:val="ListParagraph"/>
        <w:numPr>
          <w:ilvl w:val="0"/>
          <w:numId w:val="2"/>
        </w:numPr>
        <w:spacing w:after="100" w:line="276"/>
      </w:pPr>
      <w:r>
        <w:rPr>
          <w:rFonts w:ascii="Arial" w:cs="Arial" w:eastAsia="Arial" w:hAnsi="Arial"/>
          <w:sz w:val="22"/>
          <w:szCs w:val="22"/>
        </w:rPr>
        <w:t xml:space="preserve">Level 2 Physical Security Zone (Site Access): The general site area accessible to all site employees and approved visitors. Physical perimeter controlled by site access control system (badge readers, turnstiles, security guard). OT equipment in this zone (field devices, junction boxes, remote I/O) must be in locked enclosures.</w:t>
      </w:r>
    </w:p>
    <w:p>
      <w:pPr>
        <w:pStyle w:val="ListParagraph"/>
        <w:numPr>
          <w:ilvl w:val="0"/>
          <w:numId w:val="2"/>
        </w:numPr>
        <w:spacing w:after="100" w:line="276"/>
      </w:pPr>
      <w:r>
        <w:rPr>
          <w:rFonts w:ascii="Arial" w:cs="Arial" w:eastAsia="Arial" w:hAnsi="Arial"/>
          <w:sz w:val="22"/>
          <w:szCs w:val="22"/>
        </w:rPr>
        <w:t xml:space="preserve">Level 3 Physical Security Zone (Restricted — OT Area): The area containing OT infrastructure — control room, instrument workshop, server rooms, engineering offices. Access restricted to OT-authorised personnel. Two-factor physical access (badge + PIN, or badge + biometric) where SL 3 is required. Visitor escort mandatory. CCTV coverage.</w:t>
      </w:r>
    </w:p>
    <w:p>
      <w:pPr>
        <w:pStyle w:val="ListParagraph"/>
        <w:numPr>
          <w:ilvl w:val="0"/>
          <w:numId w:val="2"/>
        </w:numPr>
        <w:spacing w:after="100" w:line="276"/>
      </w:pPr>
      <w:r>
        <w:rPr>
          <w:rFonts w:ascii="Arial" w:cs="Arial" w:eastAsia="Arial" w:hAnsi="Arial"/>
          <w:sz w:val="22"/>
          <w:szCs w:val="22"/>
        </w:rPr>
        <w:t xml:space="preserve">Level 4 Physical Security Zone (Highly Restricted — Critical OT): The area containing safety-critical OT systems — SIS equipment room, emergency shutdown panel, critical process controllers. Access restricted to a defined, named list of authorised individuals. Access logged and reviewed. Physical lock and key in addition to electronic access control. CCTV with motion detection alerting.</w:t>
      </w:r>
    </w:p>
    <w:p>
      <w:pPr>
        <w:pStyle w:val="Heading2"/>
        <w:spacing w:after="160" w:before="280"/>
      </w:pPr>
      <w:r>
        <w:rPr>
          <w:rFonts w:ascii="Arial" w:cs="Arial" w:eastAsia="Arial" w:hAnsi="Arial"/>
          <w:b/>
          <w:bCs/>
          <w:color w:val="2E75B6"/>
          <w:sz w:val="26"/>
          <w:szCs w:val="26"/>
        </w:rPr>
        <w:t xml:space="preserve">13.6.2  Control Room Security</w:t>
      </w:r>
    </w:p>
    <w:p>
      <w:pPr>
        <w:spacing w:after="160" w:line="276"/>
        <w:jc w:val="both"/>
      </w:pPr>
      <w:r>
        <w:rPr>
          <w:rFonts w:ascii="Arial" w:cs="Arial" w:eastAsia="Arial" w:hAnsi="Arial"/>
          <w:b w:val="false"/>
          <w:bCs w:val="false"/>
          <w:color w:val="000000"/>
          <w:sz w:val="22"/>
          <w:szCs w:val="22"/>
        </w:rPr>
        <w:t xml:space="preserve">The control room is the highest-value physical target in most industrial OT environments — it is the physical location from which all process control is exercised, and physical access to the control room provides access to HMI workstations, operator interfaces, and the physical process control capability. The control room must be treated as a restricted physical security zone with the following controls:</w:t>
      </w:r>
    </w:p>
    <w:p>
      <w:pPr>
        <w:pStyle w:val="ListParagraph"/>
        <w:numPr>
          <w:ilvl w:val="0"/>
          <w:numId w:val="2"/>
        </w:numPr>
        <w:spacing w:after="100" w:line="276"/>
      </w:pPr>
      <w:r>
        <w:rPr>
          <w:rFonts w:ascii="Arial" w:cs="Arial" w:eastAsia="Arial" w:hAnsi="Arial"/>
          <w:sz w:val="22"/>
          <w:szCs w:val="22"/>
        </w:rPr>
        <w:t xml:space="preserve">Access control: Electronic access control (badge reader) with individual credential; access log reviewed weekly; visitor access requires escort by an authorised control room employee at all times; temporary access credentials issued for specific business purpose and revoked immediately after.</w:t>
      </w:r>
    </w:p>
    <w:p>
      <w:pPr>
        <w:pStyle w:val="ListParagraph"/>
        <w:numPr>
          <w:ilvl w:val="0"/>
          <w:numId w:val="2"/>
        </w:numPr>
        <w:spacing w:after="100" w:line="276"/>
      </w:pPr>
      <w:r>
        <w:rPr>
          <w:rFonts w:ascii="Arial" w:cs="Arial" w:eastAsia="Arial" w:hAnsi="Arial"/>
          <w:sz w:val="22"/>
          <w:szCs w:val="22"/>
        </w:rPr>
        <w:t xml:space="preserve">Clean desk policy: OT system documentation, passwords, and access credentials must not be stored on the control room desk in physical or electronic form accessible to a casual visitor. Workstation screens must be locked when unattended. Individual logon credentials must not be visible (written on sticky notes, written on whiteboards, etc.).</w:t>
      </w:r>
    </w:p>
    <w:p>
      <w:pPr>
        <w:pStyle w:val="ListParagraph"/>
        <w:numPr>
          <w:ilvl w:val="0"/>
          <w:numId w:val="2"/>
        </w:numPr>
        <w:spacing w:after="100" w:line="276"/>
      </w:pPr>
      <w:r>
        <w:rPr>
          <w:rFonts w:ascii="Arial" w:cs="Arial" w:eastAsia="Arial" w:hAnsi="Arial"/>
          <w:sz w:val="22"/>
          <w:szCs w:val="22"/>
        </w:rPr>
        <w:t xml:space="preserve">USB and portable media control: USB ports on control room workstations must be physically blocked (port blockers) or logically disabled (GPO) except for specifically authorised peripherals (approved keyboards, mice, CAC readers). No personal USB drives, personal phones connected to workstation USB ports, or personal portable media may be used in the control room.</w:t>
      </w:r>
    </w:p>
    <w:p>
      <w:pPr>
        <w:pStyle w:val="ListParagraph"/>
        <w:numPr>
          <w:ilvl w:val="0"/>
          <w:numId w:val="2"/>
        </w:numPr>
        <w:spacing w:after="100" w:line="276"/>
      </w:pPr>
      <w:r>
        <w:rPr>
          <w:rFonts w:ascii="Arial" w:cs="Arial" w:eastAsia="Arial" w:hAnsi="Arial"/>
          <w:sz w:val="22"/>
          <w:szCs w:val="22"/>
        </w:rPr>
        <w:t xml:space="preserve">Network access: No personal devices (laptops, tablets, mobile phones) may be connected to the control room OT network. Maintenance laptops used for OT work must be dedicated OT devices — not personal or corporate IT laptops — and must be managed under the OT device management programme.</w:t>
      </w:r>
    </w:p>
    <w:p>
      <w:pPr>
        <w:pStyle w:val="ListParagraph"/>
        <w:numPr>
          <w:ilvl w:val="0"/>
          <w:numId w:val="2"/>
        </w:numPr>
        <w:spacing w:after="100" w:line="276"/>
      </w:pPr>
      <w:r>
        <w:rPr>
          <w:rFonts w:ascii="Arial" w:cs="Arial" w:eastAsia="Arial" w:hAnsi="Arial"/>
          <w:sz w:val="22"/>
          <w:szCs w:val="22"/>
        </w:rPr>
        <w:t xml:space="preserve">Camera and recording: Personal phones and cameras must not be used to photograph HMI screens, process displays, or OT documentation in the control room. Many OT security incidents have involved attackers obtaining detailed operational information through photographs of control room HMI displays.</w:t>
      </w:r>
    </w:p>
    <w:p>
      <w:pPr>
        <w:pStyle w:val="Heading2"/>
        <w:spacing w:after="160" w:before="280"/>
      </w:pPr>
      <w:r>
        <w:rPr>
          <w:rFonts w:ascii="Arial" w:cs="Arial" w:eastAsia="Arial" w:hAnsi="Arial"/>
          <w:b/>
          <w:bCs/>
          <w:color w:val="2E75B6"/>
          <w:sz w:val="26"/>
          <w:szCs w:val="26"/>
        </w:rPr>
        <w:t xml:space="preserve">13.6.3  Portable Media and Removable Device Management</w:t>
      </w:r>
    </w:p>
    <w:p>
      <w:pPr>
        <w:spacing w:after="160" w:line="276"/>
        <w:jc w:val="both"/>
      </w:pPr>
      <w:r>
        <w:rPr>
          <w:rFonts w:ascii="Arial" w:cs="Arial" w:eastAsia="Arial" w:hAnsi="Arial"/>
          <w:b w:val="false"/>
          <w:bCs w:val="false"/>
          <w:color w:val="000000"/>
          <w:sz w:val="22"/>
          <w:szCs w:val="22"/>
        </w:rPr>
        <w:t xml:space="preserve">Portable media — USB drives, optical discs, SD cards, portable hard drives — represent one of the most significant physical security threats to OT environments because they provide a mechanism for introducing malware to an air-gapped or network-isolated OT system. The Stuxnet worm, which destroyed approximately one-fifth of Iran's nuclear centrifuges, was introduced to a network-isolated OT system through an infected USB drive (Zetter, 2014). The mechanism was not novel — it had been a documented attack vector for years before Stuxnet. But it illustrated, definitively, that network isolation alone is not sufficient to protect OT systems that can be reached through portable media.</w:t>
      </w:r>
    </w:p>
    <w:p>
      <w:pPr>
        <w:spacing w:after="160" w:line="276"/>
        <w:jc w:val="both"/>
      </w:pPr>
      <w:r>
        <w:rPr>
          <w:rFonts w:ascii="Arial" w:cs="Arial" w:eastAsia="Arial" w:hAnsi="Arial"/>
          <w:b w:val="false"/>
          <w:bCs w:val="false"/>
          <w:color w:val="000000"/>
          <w:sz w:val="22"/>
          <w:szCs w:val="22"/>
        </w:rPr>
        <w:t xml:space="preserve">The OT portable media management programme must implement the following controls:</w:t>
      </w:r>
    </w:p>
    <w:p>
      <w:pPr>
        <w:pStyle w:val="ListParagraph"/>
        <w:numPr>
          <w:ilvl w:val="0"/>
          <w:numId w:val="2"/>
        </w:numPr>
        <w:spacing w:after="100" w:line="276"/>
      </w:pPr>
      <w:r>
        <w:rPr>
          <w:rFonts w:ascii="Arial" w:cs="Arial" w:eastAsia="Arial" w:hAnsi="Arial"/>
          <w:sz w:val="22"/>
          <w:szCs w:val="22"/>
        </w:rPr>
        <w:t xml:space="preserve">Authorised media only: Only IT/OT security-approved, organisation-issued portable media may be used in the OT environment. Personal USB drives — including drives belonging to vendor personnel — must not be connected to any OT system under any circumstances.</w:t>
      </w:r>
    </w:p>
    <w:p>
      <w:pPr>
        <w:pStyle w:val="ListParagraph"/>
        <w:numPr>
          <w:ilvl w:val="0"/>
          <w:numId w:val="2"/>
        </w:numPr>
        <w:spacing w:after="100" w:line="276"/>
      </w:pPr>
      <w:r>
        <w:rPr>
          <w:rFonts w:ascii="Arial" w:cs="Arial" w:eastAsia="Arial" w:hAnsi="Arial"/>
          <w:sz w:val="22"/>
          <w:szCs w:val="22"/>
        </w:rPr>
        <w:t xml:space="preserve">Malware scanning before use: All portable media used in the OT environment must be scanned for malware on a designated, OT-isolated malware scanning workstation before use. The scanning workstation must use an OT-appropriate security tool with current definitions and must be connected to neither the OT network nor the corporate IT network. Media that fails the scan must be quarantined and investigated.</w:t>
      </w:r>
    </w:p>
    <w:p>
      <w:pPr>
        <w:pStyle w:val="ListParagraph"/>
        <w:numPr>
          <w:ilvl w:val="0"/>
          <w:numId w:val="2"/>
        </w:numPr>
        <w:spacing w:after="100" w:line="276"/>
      </w:pPr>
      <w:r>
        <w:rPr>
          <w:rFonts w:ascii="Arial" w:cs="Arial" w:eastAsia="Arial" w:hAnsi="Arial"/>
          <w:sz w:val="22"/>
          <w:szCs w:val="22"/>
        </w:rPr>
        <w:t xml:space="preserve">Media tracking: All approved OT portable media must be uniquely identified (asset tag, serial number), logged in the asset register, and tracked — who has the media, what it contains, and where it was last used. Loss or theft of OT media must be reported immediately and treated as a security incident.</w:t>
      </w:r>
    </w:p>
    <w:p>
      <w:pPr>
        <w:pStyle w:val="ListParagraph"/>
        <w:numPr>
          <w:ilvl w:val="0"/>
          <w:numId w:val="2"/>
        </w:numPr>
        <w:spacing w:after="100" w:line="276"/>
      </w:pPr>
      <w:r>
        <w:rPr>
          <w:rFonts w:ascii="Arial" w:cs="Arial" w:eastAsia="Arial" w:hAnsi="Arial"/>
          <w:sz w:val="22"/>
          <w:szCs w:val="22"/>
        </w:rPr>
        <w:t xml:space="preserve">Media lifecycle: OT media must be securely wiped before being re-used for a different purpose and must be physically destroyed at end of life. Media retirement must follow a documented destruction procedure with records retained for audit purposes.</w:t>
      </w:r>
    </w:p>
    <w:p>
      <w:pPr>
        <w:pStyle w:val="Heading2"/>
        <w:spacing w:after="160" w:before="280"/>
      </w:pPr>
      <w:r>
        <w:rPr>
          <w:rFonts w:ascii="Arial" w:cs="Arial" w:eastAsia="Arial" w:hAnsi="Arial"/>
          <w:b/>
          <w:bCs/>
          <w:color w:val="2E75B6"/>
          <w:sz w:val="26"/>
          <w:szCs w:val="26"/>
        </w:rPr>
        <w:t xml:space="preserve">13.6.4  OT Maintenance and Engineering Laptop Security</w:t>
      </w:r>
    </w:p>
    <w:p>
      <w:pPr>
        <w:spacing w:after="160" w:line="276"/>
        <w:jc w:val="both"/>
      </w:pPr>
      <w:r>
        <w:rPr>
          <w:rFonts w:ascii="Arial" w:cs="Arial" w:eastAsia="Arial" w:hAnsi="Arial"/>
          <w:b w:val="false"/>
          <w:bCs w:val="false"/>
          <w:color w:val="000000"/>
          <w:sz w:val="22"/>
          <w:szCs w:val="22"/>
        </w:rPr>
        <w:t xml:space="preserve">Engineering laptops used for OT work — for PLC programming, DCS configuration, or SCADA engineering — represent a particularly sensitive physical security risk because they carry the software tools needed to modify OT control logic. A compromised engineering laptop connected to an OT engineering network provides an attacker with the same capability as a legitimate engineer. The security requirements for OT engineering laptops must reflect this risk:</w:t>
      </w:r>
    </w:p>
    <w:p>
      <w:pPr>
        <w:pStyle w:val="ListParagraph"/>
        <w:numPr>
          <w:ilvl w:val="0"/>
          <w:numId w:val="2"/>
        </w:numPr>
        <w:spacing w:after="100" w:line="276"/>
      </w:pPr>
      <w:r>
        <w:rPr>
          <w:rFonts w:ascii="Arial" w:cs="Arial" w:eastAsia="Arial" w:hAnsi="Arial"/>
          <w:sz w:val="22"/>
          <w:szCs w:val="22"/>
        </w:rPr>
        <w:t xml:space="preserve">Dedicated devices: OT engineering laptops must be dedicated to OT use — they must not be used for personal email, web browsing, or corporate IT activities. The OT engineering laptop is an OT asset, managed under the OT change management process, not a personal productivity device.</w:t>
      </w:r>
    </w:p>
    <w:p>
      <w:pPr>
        <w:pStyle w:val="ListParagraph"/>
        <w:numPr>
          <w:ilvl w:val="0"/>
          <w:numId w:val="2"/>
        </w:numPr>
        <w:spacing w:after="100" w:line="276"/>
      </w:pPr>
      <w:r>
        <w:rPr>
          <w:rFonts w:ascii="Arial" w:cs="Arial" w:eastAsia="Arial" w:hAnsi="Arial"/>
          <w:sz w:val="22"/>
          <w:szCs w:val="22"/>
        </w:rPr>
        <w:t xml:space="preserve">Software management: The software installed on OT engineering laptops must be managed — only approved, licensed OT engineering software may be installed. No personal software, no generic office applications (other than those specifically required), and no internet browsers (or internet access disabled). Software updates must follow the OT change management and patch management process.</w:t>
      </w:r>
    </w:p>
    <w:p>
      <w:pPr>
        <w:pStyle w:val="ListParagraph"/>
        <w:numPr>
          <w:ilvl w:val="0"/>
          <w:numId w:val="2"/>
        </w:numPr>
        <w:spacing w:after="100" w:line="276"/>
      </w:pPr>
      <w:r>
        <w:rPr>
          <w:rFonts w:ascii="Arial" w:cs="Arial" w:eastAsia="Arial" w:hAnsi="Arial"/>
          <w:sz w:val="22"/>
          <w:szCs w:val="22"/>
        </w:rPr>
        <w:t xml:space="preserve">Physical security when not in use: OT engineering laptops must be stored securely when not in use — in a locked cabinet in the instrument workshop or a locked office. They must not be left unattended in vehicles, taken home, or left in non-secure locations.</w:t>
      </w:r>
    </w:p>
    <w:p>
      <w:pPr>
        <w:pStyle w:val="ListParagraph"/>
        <w:numPr>
          <w:ilvl w:val="0"/>
          <w:numId w:val="2"/>
        </w:numPr>
        <w:spacing w:after="100" w:line="276"/>
      </w:pPr>
      <w:r>
        <w:rPr>
          <w:rFonts w:ascii="Arial" w:cs="Arial" w:eastAsia="Arial" w:hAnsi="Arial"/>
          <w:sz w:val="22"/>
          <w:szCs w:val="22"/>
        </w:rPr>
        <w:t xml:space="preserve">Connection logging: All connections from OT engineering laptops to OT devices must be logged — the device connected to, the time of connection, and the engineer who made the connection. This logging may be implemented through the PAM solution (for networked connections) or through a physical connection log (for serial/USB engineering port connections).</w:t>
      </w:r>
    </w:p>
    <w:p>
      <w:r>
        <w:br w:type="page"/>
      </w:r>
    </w:p>
    <w:p>
      <w:pPr>
        <w:pStyle w:val="Heading1"/>
        <w:spacing w:after="200" w:before="400"/>
      </w:pPr>
      <w:r>
        <w:rPr>
          <w:rFonts w:ascii="Arial" w:cs="Arial" w:eastAsia="Arial" w:hAnsi="Arial"/>
          <w:b/>
          <w:bCs/>
          <w:color w:val="1F3864"/>
          <w:sz w:val="34"/>
          <w:szCs w:val="34"/>
        </w:rPr>
        <w:t xml:space="preserve">13.7  Security Exercises and the OT Incident Response Capability</w:t>
      </w:r>
    </w:p>
    <w:p>
      <w:pPr>
        <w:spacing w:after="160" w:line="276"/>
        <w:jc w:val="both"/>
      </w:pPr>
      <w:r>
        <w:rPr>
          <w:rFonts w:ascii="Arial" w:cs="Arial" w:eastAsia="Arial" w:hAnsi="Arial"/>
          <w:b w:val="false"/>
          <w:bCs w:val="false"/>
          <w:color w:val="000000"/>
          <w:sz w:val="22"/>
          <w:szCs w:val="22"/>
        </w:rPr>
        <w:t xml:space="preserve">The security exercise programme is the mechanism by which the OT incident response capability is developed, tested, and improved. Written incident response plans and trained personnel are necessary conditions for effective incident response — but they are not sufficient. Effective incident response is a perishable skill that degrades without practice. The decisions, communications, and actions required during an OT security incident are executed under conditions of time pressure, incomplete information, and operational disruption that are fundamentally different from the calm, fully-informed conditions in which the incident response plan was written. The exercise programme creates a controlled environment in which these conditions can be simulated and the response capability can be developed before it is needed in earnest.</w:t>
      </w:r>
    </w:p>
    <w:p>
      <w:pPr>
        <w:spacing w:after="160" w:line="276"/>
        <w:jc w:val="both"/>
      </w:pPr>
      <w:r>
        <w:rPr>
          <w:rFonts w:ascii="Arial" w:cs="Arial" w:eastAsia="Arial" w:hAnsi="Arial"/>
          <w:b w:val="false"/>
          <w:bCs w:val="false"/>
          <w:color w:val="000000"/>
          <w:sz w:val="22"/>
          <w:szCs w:val="22"/>
        </w:rPr>
        <w:t xml:space="preserve">IEC 62443-2-1 §4.4.2 (SHALL) requires that the organisation conduct exercises to test the CSMS and incident response capability. The exercise programme must be structured and progressive — building from individual knowledge testing through team tabletop exercises to full functional exercises that test the complete incident response process under realistic conditions. The exercise programme is also a CSMS improvement mechanism: every exercise produces findings that feed back into the incident response plan, the training programme, the technical controls, and the governance framework.</w:t>
      </w:r>
    </w:p>
    <w:p>
      <w:pPr>
        <w:pStyle w:val="Heading2"/>
        <w:spacing w:after="160" w:before="280"/>
      </w:pPr>
      <w:r>
        <w:rPr>
          <w:rFonts w:ascii="Arial" w:cs="Arial" w:eastAsia="Arial" w:hAnsi="Arial"/>
          <w:b/>
          <w:bCs/>
          <w:color w:val="2E75B6"/>
          <w:sz w:val="26"/>
          <w:szCs w:val="26"/>
        </w:rPr>
        <w:t xml:space="preserve">13.7.1  Exercise Types and Their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800"/>
        <w:gridCol w:w="800"/>
        <w:gridCol w:w="800"/>
        <w:gridCol w:w="1960"/>
      </w:tblGrid>
      <w:tr>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Exercise Type</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Participants</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Frequency</w:t>
            </w:r>
          </w:p>
        </w:tc>
        <w:tc>
          <w:tcPr>
            <w:tcW w:type="dxa" w:w="19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Primary Learning Outcome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Knowledge Test / Quiz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Written or online assessment of individual security knowledge — policies, procedures, escalation paths, and technical concepts. Not a team exercise.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Individual — all CSMS role holders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30–60 min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Annually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Identifies individual knowledge gaps; validates training effectiveness.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Tabletop Exercise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Facilitated discussion-based exercise in which a scenario is presented to a group and the team works through their response decisions, communications, and actions without performing them in reality.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CSMS Governance Committee (all roles)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2–4 hours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Semi-annually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Develops cross-functional response decision-making; identifies process gaps; builds shared understanding of roles.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Functional Exercise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more complex exercise in which participants actually perform specific functions — making calls, drafting notifications, sending communications, activating specific tools — using real tools but without disturbing live systems.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Incident response team + Communications function + Legal/Regulatory</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4–8 hours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Annually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Tests actual execution of procedures, not just discussion; identifies capability gaps; validates notification procedures.</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Full-Scale Exercise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comprehensive simulation of a complete incident response, involving all relevant functions, real tools, and realistic scenario injection over an extended period. May include external stakeholders (regulator, CERT).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All CSMS roles + Operations + Executive + External stakeholders</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Full day or multi-day</w:t>
            </w:r>
          </w:p>
        </w:tc>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Every 2–3 years</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Tests complete organisational response; identifies systemic failures; validates external relationships.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Red Team Assessment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contracted team of OT security specialists attempts to penetrate the OT environment using realistic attack techniques, subject to agreed rules of engagement. Tests technical controls and detection capability.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Red team (external) vs Blue team (OT Security Analyst + SOC)</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1–2 weeks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Every 2–3 years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Tests technical control effectiveness and detection capability under realistic adversary behaviour.</w:t>
            </w:r>
          </w:p>
        </w:tc>
      </w:tr>
    </w:tbl>
    <w:p>
      <w:pPr>
        <w:spacing w:after="220" w:before="80"/>
        <w:jc w:val="center"/>
      </w:pPr>
      <w:r>
        <w:rPr>
          <w:rFonts w:ascii="Arial" w:cs="Arial" w:eastAsia="Arial" w:hAnsi="Arial"/>
          <w:b/>
          <w:bCs/>
          <w:i/>
          <w:iCs/>
          <w:color w:val="1F3864"/>
          <w:sz w:val="20"/>
          <w:szCs w:val="20"/>
        </w:rPr>
        <w:t xml:space="preserve">Table 13.6: OT Security Exercise Types, Application, and Frequency</w:t>
      </w:r>
    </w:p>
    <w:p>
      <w:pPr>
        <w:spacing w:after="200"/>
      </w:pPr>
      <w:r>
        <w:t xml:space="preserve"/>
      </w:r>
    </w:p>
    <w:p>
      <w:pPr>
        <w:pStyle w:val="Heading2"/>
        <w:spacing w:after="160" w:before="280"/>
      </w:pPr>
      <w:r>
        <w:rPr>
          <w:rFonts w:ascii="Arial" w:cs="Arial" w:eastAsia="Arial" w:hAnsi="Arial"/>
          <w:b/>
          <w:bCs/>
          <w:color w:val="2E75B6"/>
          <w:sz w:val="26"/>
          <w:szCs w:val="26"/>
        </w:rPr>
        <w:t xml:space="preserve">13.7.2  Designing Effective OT Tabletop Scenarios</w:t>
      </w:r>
    </w:p>
    <w:p>
      <w:pPr>
        <w:spacing w:after="160" w:line="276"/>
        <w:jc w:val="both"/>
      </w:pPr>
      <w:r>
        <w:rPr>
          <w:rFonts w:ascii="Arial" w:cs="Arial" w:eastAsia="Arial" w:hAnsi="Arial"/>
          <w:b w:val="false"/>
          <w:bCs w:val="false"/>
          <w:color w:val="000000"/>
          <w:sz w:val="22"/>
          <w:szCs w:val="22"/>
        </w:rPr>
        <w:t xml:space="preserve">The tabletop exercise is the most frequently conducted and most accessible exercise type — it requires no special technical infrastructure, can be conducted with a group of 6–12 participants in a meeting room, and can be completed within a half-day. The quality of a tabletop exercise is determined almost entirely by the quality of the scenario and the skill of the facilitator. A poorly designed scenario — one that is too simple to stress the team's decision-making, or one that lacks the OT-specific physical consequence dimension — produces a session that feels like a meeting, not an exercise, and generates little learning value.</w:t>
      </w:r>
    </w:p>
    <w:p>
      <w:pPr>
        <w:spacing w:after="160" w:line="276"/>
        <w:jc w:val="both"/>
      </w:pPr>
      <w:r>
        <w:rPr>
          <w:rFonts w:ascii="Arial" w:cs="Arial" w:eastAsia="Arial" w:hAnsi="Arial"/>
          <w:b w:val="false"/>
          <w:bCs w:val="false"/>
          <w:color w:val="000000"/>
          <w:sz w:val="22"/>
          <w:szCs w:val="22"/>
        </w:rPr>
        <w:t xml:space="preserve">An effective OT tabletop scenario must have the following characteristics:</w:t>
      </w:r>
    </w:p>
    <w:p>
      <w:pPr>
        <w:pStyle w:val="ListParagraph"/>
        <w:numPr>
          <w:ilvl w:val="0"/>
          <w:numId w:val="2"/>
        </w:numPr>
        <w:spacing w:after="100" w:line="276"/>
      </w:pPr>
      <w:r>
        <w:rPr>
          <w:rFonts w:ascii="Arial" w:cs="Arial" w:eastAsia="Arial" w:hAnsi="Arial"/>
          <w:sz w:val="22"/>
          <w:szCs w:val="22"/>
        </w:rPr>
        <w:t xml:space="preserve">Grounded in real OT attack techniques: The scenario must use a realistic attack technique — drawn from MITRE ATT&amp;CK for ICS, documented OT incidents, or current threat intelligence. A scenario that begins 'a hacker sends a phishing email and somehow compromises the DCS' is not realistic enough to produce meaningful learning. A scenario that begins 'the OT-IDS has generated an alert for an unexpected Modbus write command to PLC-07, which controls the cooling water injection pump for Unit 3' is specific enough to drive real response decisions.</w:t>
      </w:r>
    </w:p>
    <w:p>
      <w:pPr>
        <w:pStyle w:val="ListParagraph"/>
        <w:numPr>
          <w:ilvl w:val="0"/>
          <w:numId w:val="2"/>
        </w:numPr>
        <w:spacing w:after="100" w:line="276"/>
      </w:pPr>
      <w:r>
        <w:rPr>
          <w:rFonts w:ascii="Arial" w:cs="Arial" w:eastAsia="Arial" w:hAnsi="Arial"/>
          <w:sz w:val="22"/>
          <w:szCs w:val="22"/>
        </w:rPr>
        <w:t xml:space="preserve">Cross-functional decision points: The scenario must force decisions that require input from multiple functions — the IT/OT security function, OT engineering, operations, and process safety. These cross-functional decision points are where real incidents generate the most confusion and delay, and they are the most valuable learning opportunities.</w:t>
      </w:r>
    </w:p>
    <w:p>
      <w:pPr>
        <w:pStyle w:val="ListParagraph"/>
        <w:numPr>
          <w:ilvl w:val="0"/>
          <w:numId w:val="2"/>
        </w:numPr>
        <w:spacing w:after="100" w:line="276"/>
      </w:pPr>
      <w:r>
        <w:rPr>
          <w:rFonts w:ascii="Arial" w:cs="Arial" w:eastAsia="Arial" w:hAnsi="Arial"/>
          <w:sz w:val="22"/>
          <w:szCs w:val="22"/>
        </w:rPr>
        <w:t xml:space="preserve">Physical consequence dimension: The scenario must include a physical consequence element — a process that is at risk, an alarm that is behaving unexpectedly, a safety function that may have been compromised — because this is what distinguishes OT incident response from IT incident response.</w:t>
      </w:r>
    </w:p>
    <w:p>
      <w:pPr>
        <w:pStyle w:val="ListParagraph"/>
        <w:numPr>
          <w:ilvl w:val="0"/>
          <w:numId w:val="2"/>
        </w:numPr>
        <w:spacing w:after="100" w:line="276"/>
      </w:pPr>
      <w:r>
        <w:rPr>
          <w:rFonts w:ascii="Arial" w:cs="Arial" w:eastAsia="Arial" w:hAnsi="Arial"/>
          <w:sz w:val="22"/>
          <w:szCs w:val="22"/>
        </w:rPr>
        <w:t xml:space="preserve">Inject events: The scenario should include at least two 'inject' events — new pieces of information introduced by the facilitator during the exercise to stress-test the team's adaptive response. For example: 'The ICS-CERT has just published an advisory indicating that the attack technique in this scenario has been associated with a nation-state threat group. The Operations Director is asking whether to notify the regulator.' Injects force the team to adapt their response plan to evolving information, which is the reality of actual incidents.</w:t>
      </w:r>
    </w:p>
    <w:p>
      <w:pPr>
        <w:pStyle w:val="ListParagraph"/>
        <w:numPr>
          <w:ilvl w:val="0"/>
          <w:numId w:val="2"/>
        </w:numPr>
        <w:spacing w:after="100" w:line="276"/>
      </w:pPr>
      <w:r>
        <w:rPr>
          <w:rFonts w:ascii="Arial" w:cs="Arial" w:eastAsia="Arial" w:hAnsi="Arial"/>
          <w:sz w:val="22"/>
          <w:szCs w:val="22"/>
        </w:rPr>
        <w:t xml:space="preserve">Defined learning objectives: Every tabletop exercise must have explicit, pre-defined learning objectives — what specific capabilities, decisions, or processes is this exercise designed to test? The facilitator designs the scenario to force the specific decisions that address the learning objectives. Without defined learning objectives, a tabletop is a discussion about a hypothetical scenario with no particular purpose.</w:t>
      </w:r>
    </w:p>
    <w:p>
      <w:pPr>
        <w:pStyle w:val="Heading2"/>
        <w:spacing w:after="160" w:before="280"/>
      </w:pPr>
      <w:r>
        <w:rPr>
          <w:rFonts w:ascii="Arial" w:cs="Arial" w:eastAsia="Arial" w:hAnsi="Arial"/>
          <w:b/>
          <w:bCs/>
          <w:color w:val="2E75B6"/>
          <w:sz w:val="26"/>
          <w:szCs w:val="26"/>
        </w:rPr>
        <w:t xml:space="preserve">13.7.3  Exercise Planning and the After-Action Review</w:t>
      </w:r>
    </w:p>
    <w:p>
      <w:pPr>
        <w:spacing w:after="160" w:line="276"/>
        <w:jc w:val="both"/>
      </w:pPr>
      <w:r>
        <w:rPr>
          <w:rFonts w:ascii="Arial" w:cs="Arial" w:eastAsia="Arial" w:hAnsi="Arial"/>
          <w:b w:val="false"/>
          <w:bCs w:val="false"/>
          <w:color w:val="000000"/>
          <w:sz w:val="22"/>
          <w:szCs w:val="22"/>
        </w:rPr>
        <w:t xml:space="preserve">Each exercise in the programme must be planned, executed, and reviewed using a structured cycle:</w:t>
      </w:r>
    </w:p>
    <w:p>
      <w:pPr>
        <w:pStyle w:val="ListParagraph"/>
        <w:numPr>
          <w:ilvl w:val="0"/>
          <w:numId w:val="3"/>
        </w:numPr>
        <w:spacing w:after="100" w:line="276"/>
      </w:pPr>
      <w:r>
        <w:rPr>
          <w:rFonts w:ascii="Arial" w:cs="Arial" w:eastAsia="Arial" w:hAnsi="Arial"/>
          <w:sz w:val="22"/>
          <w:szCs w:val="22"/>
        </w:rPr>
        <w:t xml:space="preserve">Planning (4–8 weeks before exercise): Define learning objectives; develop scenario; brief senior leaders; confirm participant list; prepare scenario materials and inject events; brief facilitator.</w:t>
      </w:r>
    </w:p>
    <w:p>
      <w:pPr>
        <w:pStyle w:val="ListParagraph"/>
        <w:numPr>
          <w:ilvl w:val="0"/>
          <w:numId w:val="3"/>
        </w:numPr>
        <w:spacing w:after="100" w:line="276"/>
      </w:pPr>
      <w:r>
        <w:rPr>
          <w:rFonts w:ascii="Arial" w:cs="Arial" w:eastAsia="Arial" w:hAnsi="Arial"/>
          <w:sz w:val="22"/>
          <w:szCs w:val="22"/>
        </w:rPr>
        <w:t xml:space="preserve">Execution: Conduct the exercise with the facilitator maintaining pace and introducing injects; observer records decisions, actions, and gaps; exercise ends with a 'hot wash' — an immediate 30-minute debrief while events are fresh.</w:t>
      </w:r>
    </w:p>
    <w:p>
      <w:pPr>
        <w:pStyle w:val="ListParagraph"/>
        <w:numPr>
          <w:ilvl w:val="0"/>
          <w:numId w:val="3"/>
        </w:numPr>
        <w:spacing w:after="100" w:line="276"/>
      </w:pPr>
      <w:r>
        <w:rPr>
          <w:rFonts w:ascii="Arial" w:cs="Arial" w:eastAsia="Arial" w:hAnsi="Arial"/>
          <w:sz w:val="22"/>
          <w:szCs w:val="22"/>
        </w:rPr>
        <w:t xml:space="preserve">After-Action Review (within 2 weeks): Structured review of the exercise findings — what worked well, what did not, and what specific improvements are needed. Every finding must be assigned to a responsible owner with a completion date.</w:t>
      </w:r>
    </w:p>
    <w:p>
      <w:pPr>
        <w:pStyle w:val="ListParagraph"/>
        <w:numPr>
          <w:ilvl w:val="0"/>
          <w:numId w:val="3"/>
        </w:numPr>
        <w:spacing w:after="100" w:line="276"/>
      </w:pPr>
      <w:r>
        <w:rPr>
          <w:rFonts w:ascii="Arial" w:cs="Arial" w:eastAsia="Arial" w:hAnsi="Arial"/>
          <w:sz w:val="22"/>
          <w:szCs w:val="22"/>
        </w:rPr>
        <w:t xml:space="preserve">Improvement Implementation: Exercise findings are tracked to completion in the CSMS improvement register. The incident response plan is updated to address findings. Training needs identified in the exercise are addressed in the training programme.</w:t>
      </w:r>
    </w:p>
    <w:p>
      <w:pPr>
        <w:pStyle w:val="ListParagraph"/>
        <w:numPr>
          <w:ilvl w:val="0"/>
          <w:numId w:val="3"/>
        </w:numPr>
        <w:spacing w:after="100" w:line="276"/>
      </w:pPr>
      <w:r>
        <w:rPr>
          <w:rFonts w:ascii="Arial" w:cs="Arial" w:eastAsia="Arial" w:hAnsi="Arial"/>
          <w:sz w:val="22"/>
          <w:szCs w:val="22"/>
        </w:rPr>
        <w:t xml:space="preserve">Reporting: Exercise findings and improvement actions are reported to the CSMS Governance Committee at the next scheduled meeting. Significant exercise findings may be escalated to the management review.</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The after-action review is the point at which the exercise produces its primary value — the identification of specific, actionable improvements to the CSMS. An after-action review that produces only general observations ('communication could be better', 'the incident response plan needs updating') without specific, assigned actions is not an effective after-action review. Every finding must be stated in terms that enable a specific action: 'The incident response plan does not define the decision authority for the OT isolation decision (Section 13.2.4). Action: OT Security Manager to update the incident response plan by [date] to include the isolation decision framework.')</w:t>
      </w:r>
    </w:p>
    <w:p>
      <w:pPr>
        <w:pStyle w:val="Heading2"/>
        <w:spacing w:after="160" w:before="280"/>
      </w:pPr>
      <w:r>
        <w:rPr>
          <w:rFonts w:ascii="Arial" w:cs="Arial" w:eastAsia="Arial" w:hAnsi="Arial"/>
          <w:b/>
          <w:bCs/>
          <w:color w:val="2E75B6"/>
          <w:sz w:val="26"/>
          <w:szCs w:val="26"/>
        </w:rPr>
        <w:t xml:space="preserve">13.7.4  Red Team Assessments in OT Environments</w:t>
      </w:r>
    </w:p>
    <w:p>
      <w:pPr>
        <w:spacing w:after="160" w:line="276"/>
        <w:jc w:val="both"/>
      </w:pPr>
      <w:r>
        <w:rPr>
          <w:rFonts w:ascii="Arial" w:cs="Arial" w:eastAsia="Arial" w:hAnsi="Arial"/>
          <w:b w:val="false"/>
          <w:bCs w:val="false"/>
          <w:color w:val="000000"/>
          <w:sz w:val="22"/>
          <w:szCs w:val="22"/>
        </w:rPr>
        <w:t xml:space="preserve">Red team assessments — in which a team of skilled adversary simulators attempts to penetrate the OT environment using realistic attack techniques — provide the most rigorous test of OT security control effectiveness available. They test not just whether controls are in place, but whether they actually work as designed against a motivated, skilled adversary who is actively attempting to defeat them. The red team assessment is the closest operational equivalent to an actual attack, and its findings typically reveal vulnerabilities that no other assessment method identifies.</w:t>
      </w:r>
    </w:p>
    <w:p>
      <w:pPr>
        <w:spacing w:after="160" w:line="276"/>
        <w:jc w:val="both"/>
      </w:pPr>
      <w:r>
        <w:rPr>
          <w:rFonts w:ascii="Arial" w:cs="Arial" w:eastAsia="Arial" w:hAnsi="Arial"/>
          <w:b w:val="false"/>
          <w:bCs w:val="false"/>
          <w:color w:val="000000"/>
          <w:sz w:val="22"/>
          <w:szCs w:val="22"/>
        </w:rPr>
        <w:t xml:space="preserve">Red team assessments in OT environments require specific constraints and management that distinguish them from IT red team assessments. Rules of engagement must be defined with particular care — the specific systems that may be tested, the specific attack techniques that are permitted, and the conditions under which the assessment must be immediately halted to prevent operational impact. OT red teams must include specialists with genuine OT knowledge — an IT penetration tester without OT training should not be permitted to conduct a red team assessment of OT systems, because they may cause process disruptions through techniques that would be harmless in an IT environment.</w:t>
      </w:r>
    </w:p>
    <w:p>
      <w:pPr>
        <w:spacing w:after="160" w:line="276"/>
        <w:jc w:val="both"/>
      </w:pPr>
      <w:r>
        <w:rPr>
          <w:rFonts w:ascii="Arial" w:cs="Arial" w:eastAsia="Arial" w:hAnsi="Arial"/>
          <w:b w:val="false"/>
          <w:bCs w:val="false"/>
          <w:color w:val="000000"/>
          <w:sz w:val="22"/>
          <w:szCs w:val="22"/>
        </w:rPr>
        <w:t xml:space="preserve">The output of a red team assessment is an attack path report — a documented description of the attack paths that the red team successfully traversed, from initial access to the deepest point of penetration achieved. Each attack path is associated with the specific security controls that failed to prevent it, providing a precise and actionable set of remediation priorities. The attack path report is one of the most valuable documents the CSMS programme will produce — but its value depends on the seriousness with which the remediation findings are implemented.</w:t>
      </w:r>
    </w:p>
    <w:p>
      <w:r>
        <w:br w:type="page"/>
      </w:r>
    </w:p>
    <w:p>
      <w:pPr>
        <w:pStyle w:val="Heading1"/>
        <w:spacing w:after="200" w:before="400"/>
      </w:pPr>
      <w:r>
        <w:rPr>
          <w:rFonts w:ascii="Arial" w:cs="Arial" w:eastAsia="Arial" w:hAnsi="Arial"/>
          <w:b/>
          <w:bCs/>
          <w:color w:val="1F3864"/>
          <w:sz w:val="34"/>
          <w:szCs w:val="34"/>
        </w:rPr>
        <w:t xml:space="preserve">13.8  Worked Example: Operational Security Processes — Sunrise Refinery (Month 18)</w:t>
      </w:r>
    </w:p>
    <w:p>
      <w:pPr>
        <w:spacing w:after="160" w:line="276"/>
        <w:jc w:val="both"/>
      </w:pPr>
      <w:r>
        <w:rPr>
          <w:rFonts w:ascii="Arial" w:cs="Arial" w:eastAsia="Arial" w:hAnsi="Arial"/>
          <w:b w:val="false"/>
          <w:bCs w:val="false"/>
          <w:color w:val="000000"/>
          <w:sz w:val="22"/>
          <w:szCs w:val="22"/>
        </w:rPr>
        <w:t xml:space="preserve">The following worked example applies the operational security process framework of this chapter to the Sunrise Refinery at Month 18 — six months after the technical control architecture was substantially implemented (Chapter 12). At this stage, the CSMS is transitioning from implementation to operation, and the operational processes established in this chapter are becoming the primary vehicle for CSMS development and maintenance.</w:t>
      </w:r>
    </w:p>
    <w:p>
      <w:pPr>
        <w:pStyle w:val="Heading2"/>
        <w:spacing w:after="160" w:before="280"/>
      </w:pPr>
      <w:r>
        <w:rPr>
          <w:rFonts w:ascii="Arial" w:cs="Arial" w:eastAsia="Arial" w:hAnsi="Arial"/>
          <w:b/>
          <w:bCs/>
          <w:color w:val="2E75B6"/>
          <w:sz w:val="26"/>
          <w:szCs w:val="26"/>
        </w:rPr>
        <w:t xml:space="preserve">13.8.1  First Declared OT Security Incident — Month 16</w:t>
      </w:r>
    </w:p>
    <w:p>
      <w:pPr>
        <w:spacing w:after="160" w:line="276"/>
        <w:jc w:val="both"/>
      </w:pPr>
      <w:r>
        <w:rPr>
          <w:rFonts w:ascii="Arial" w:cs="Arial" w:eastAsia="Arial" w:hAnsi="Arial"/>
          <w:b w:val="false"/>
          <w:bCs w:val="false"/>
          <w:color w:val="000000"/>
          <w:sz w:val="22"/>
          <w:szCs w:val="22"/>
        </w:rPr>
        <w:t xml:space="preserve">At Month 16, the OT-IDS generated an alert for anomalous Modbus traffic on the Unit 3 process network — specifically, write commands to a PLC register address associated with the cooling water flow control setpoint, originating from an IP address not in the communication baseline. The alert was classified as SEV 2 (HIGH) by the OT Security Analyst and the incident response process was activated.</w:t>
      </w:r>
    </w:p>
    <w:p>
      <w:pPr>
        <w:spacing w:after="160" w:line="276"/>
        <w:jc w:val="both"/>
      </w:pPr>
      <w:r>
        <w:rPr>
          <w:rFonts w:ascii="Arial" w:cs="Arial" w:eastAsia="Arial" w:hAnsi="Arial"/>
          <w:b w:val="false"/>
          <w:bCs w:val="false"/>
          <w:color w:val="000000"/>
          <w:sz w:val="22"/>
          <w:szCs w:val="22"/>
        </w:rPr>
        <w:t xml:space="preserve">The incident response unfolded as follows:</w:t>
      </w:r>
    </w:p>
    <w:p>
      <w:pPr>
        <w:shd w:fill="E0F0F0" w:val="clear"/>
        <w:spacing w:after="40" w:before="60"/>
        <w:ind w:left="360" w:right="360"/>
      </w:pPr>
      <w:r>
        <w:rPr>
          <w:rFonts w:ascii="Arial" w:cs="Arial" w:eastAsia="Arial" w:hAnsi="Arial"/>
          <w:b/>
          <w:bCs/>
          <w:color w:val="1F3864"/>
          <w:sz w:val="22"/>
          <w:szCs w:val="22"/>
        </w:rPr>
        <w:t xml:space="preserve">Sunrise Refinery — Incident Response Timeline (Month 16 Incident)</w:t>
      </w:r>
    </w:p>
    <w:p>
      <w:pPr>
        <w:shd w:fill="E0F0F0" w:val="clear"/>
        <w:spacing w:after="30" w:before="30"/>
        <w:ind w:left="360" w:right="360"/>
      </w:pPr>
      <w:r>
        <w:rPr>
          <w:rFonts w:ascii="Arial" w:cs="Arial" w:eastAsia="Arial" w:hAnsi="Arial"/>
          <w:b/>
          <w:bCs/>
          <w:sz w:val="20"/>
          <w:szCs w:val="20"/>
        </w:rPr>
        <w:t xml:space="preserve">T+0:00  OT-IDS alert generated: anomalous Modbus write to PLC-U3-07 from 10.20.14.87</w:t>
      </w:r>
    </w:p>
    <w:p>
      <w:pPr>
        <w:shd w:fill="E0F0F0" w:val="clear"/>
        <w:spacing w:after="30" w:before="30"/>
        <w:ind w:left="360" w:right="360"/>
      </w:pPr>
      <w:r>
        <w:rPr>
          <w:rFonts w:ascii="Arial" w:cs="Arial" w:eastAsia="Arial" w:hAnsi="Arial"/>
          <w:b w:val="false"/>
          <w:bCs w:val="false"/>
          <w:sz w:val="20"/>
          <w:szCs w:val="20"/>
        </w:rPr>
        <w:t xml:space="preserve">T+0:15  OT Security Analyst reviews alert. Confirms 10.20.14.87 is an IT-network-addressed device — not in OT network range. IDMZ firewall should have blocked this traffic. SEV 2 declared. OT Security Manager notified.</w:t>
      </w:r>
    </w:p>
    <w:p>
      <w:pPr>
        <w:shd w:fill="E0F0F0" w:val="clear"/>
        <w:spacing w:after="30" w:before="30"/>
        <w:ind w:left="360" w:right="360"/>
      </w:pPr>
      <w:r>
        <w:rPr>
          <w:rFonts w:ascii="Arial" w:cs="Arial" w:eastAsia="Arial" w:hAnsi="Arial"/>
          <w:b w:val="false"/>
          <w:bCs w:val="false"/>
          <w:sz w:val="20"/>
          <w:szCs w:val="20"/>
        </w:rPr>
        <w:t xml:space="preserve">T+0:30  OT Security Manager activates incident response process. OT Engineering Liaison and Operations Manager notified. Out-of-band communication (mobile phones) established.</w:t>
      </w:r>
    </w:p>
    <w:p>
      <w:pPr>
        <w:shd w:fill="E0F0F0" w:val="clear"/>
        <w:spacing w:after="30" w:before="30"/>
        <w:ind w:left="360" w:right="360"/>
      </w:pPr>
      <w:r>
        <w:rPr>
          <w:rFonts w:ascii="Arial" w:cs="Arial" w:eastAsia="Arial" w:hAnsi="Arial"/>
          <w:b w:val="false"/>
          <w:bCs w:val="false"/>
          <w:sz w:val="20"/>
          <w:szCs w:val="20"/>
        </w:rPr>
        <w:t xml:space="preserve">T+0:45  OT Engineering Liaison investigates: PLC-U3-07 shows no process impact — the register written was a maintenance test register, not an operational setpoint. Cooling water flow is normal. Physical consequence: NIL.</w:t>
      </w:r>
    </w:p>
    <w:p>
      <w:pPr>
        <w:shd w:fill="E0F0F0" w:val="clear"/>
        <w:spacing w:after="30" w:before="30"/>
        <w:ind w:left="360" w:right="360"/>
      </w:pPr>
      <w:r>
        <w:rPr>
          <w:rFonts w:ascii="Arial" w:cs="Arial" w:eastAsia="Arial" w:hAnsi="Arial"/>
          <w:b w:val="false"/>
          <w:bCs w:val="false"/>
          <w:sz w:val="20"/>
          <w:szCs w:val="20"/>
        </w:rPr>
        <w:t xml:space="preserve">T+1:00  OT Security Analyst traces 10.20.14.87 to a vendor maintenance laptop connected to an OT network port by an Emerson technician for a DCS maintenance job earlier in the day. The technician has since departed the site. The laptop was connected to an OT port without following the vendor access procedure (no PAM session, no prior authorisation recorded).</w:t>
      </w:r>
    </w:p>
    <w:p>
      <w:pPr>
        <w:shd w:fill="E0F0F0" w:val="clear"/>
        <w:spacing w:after="30" w:before="30"/>
        <w:ind w:left="360" w:right="360"/>
      </w:pPr>
      <w:r>
        <w:rPr>
          <w:rFonts w:ascii="Arial" w:cs="Arial" w:eastAsia="Arial" w:hAnsi="Arial"/>
          <w:b w:val="false"/>
          <w:bCs w:val="false"/>
          <w:sz w:val="20"/>
          <w:szCs w:val="20"/>
        </w:rPr>
        <w:t xml:space="preserve">T+1:15  Decision: Process impact is NIL. Laptop is no longer connected (technician departed). Isolation decision not required. Containment: OT network port disconnected and disabled in managed switch.</w:t>
      </w:r>
    </w:p>
    <w:p>
      <w:pPr>
        <w:shd w:fill="E0F0F0" w:val="clear"/>
        <w:spacing w:after="30" w:before="30"/>
        <w:ind w:left="360" w:right="360"/>
      </w:pPr>
      <w:r>
        <w:rPr>
          <w:rFonts w:ascii="Arial" w:cs="Arial" w:eastAsia="Arial" w:hAnsi="Arial"/>
          <w:b w:val="false"/>
          <w:bCs w:val="false"/>
          <w:sz w:val="20"/>
          <w:szCs w:val="20"/>
        </w:rPr>
        <w:t xml:space="preserve">T+2:00  Emerson contacted via out-of-hours security contact. Technician confirms maintenance laptop connected and forgot to disconnect before leaving site. Laptop not connected to any external network while on-site. Log review: only maintenance test writes observed.</w:t>
      </w:r>
    </w:p>
    <w:p>
      <w:pPr>
        <w:shd w:fill="E0F0F0" w:val="clear"/>
        <w:spacing w:after="30" w:before="30"/>
        <w:ind w:left="360" w:right="360"/>
      </w:pPr>
      <w:r>
        <w:rPr>
          <w:rFonts w:ascii="Arial" w:cs="Arial" w:eastAsia="Arial" w:hAnsi="Arial"/>
          <w:b w:val="false"/>
          <w:bCs w:val="false"/>
          <w:sz w:val="20"/>
          <w:szCs w:val="20"/>
        </w:rPr>
        <w:t xml:space="preserve">T+4:00  OT Security Manager assesses: incident classification confirmed at SEV 2. No process impact. No evidence of malicious intent. Vendor policy violation confirmed.</w:t>
      </w:r>
    </w:p>
    <w:p>
      <w:pPr>
        <w:shd w:fill="E0F0F0" w:val="clear"/>
        <w:spacing w:after="30" w:before="30"/>
        <w:ind w:left="360" w:right="360"/>
      </w:pPr>
      <w:r>
        <w:rPr>
          <w:rFonts w:ascii="Arial" w:cs="Arial" w:eastAsia="Arial" w:hAnsi="Arial"/>
          <w:b w:val="false"/>
          <w:bCs w:val="false"/>
          <w:sz w:val="20"/>
          <w:szCs w:val="20"/>
        </w:rPr>
        <w:t xml:space="preserve">T+4:30  Executive Sponsor informed. Operations Director determines regulatory notification not required (no significant incident per NIS2 criteria). Decision documented.</w:t>
      </w:r>
    </w:p>
    <w:p>
      <w:pPr>
        <w:shd w:fill="E0F0F0" w:val="clear"/>
        <w:spacing w:after="30" w:before="30"/>
        <w:ind w:left="360" w:right="360"/>
      </w:pPr>
      <w:r>
        <w:rPr>
          <w:rFonts w:ascii="Arial" w:cs="Arial" w:eastAsia="Arial" w:hAnsi="Arial"/>
          <w:b w:val="false"/>
          <w:bCs w:val="false"/>
          <w:sz w:val="20"/>
          <w:szCs w:val="20"/>
        </w:rPr>
        <w:t xml:space="preserve">T+8:00  Incident closed. Eradication complete. Evidence preserved (OT-IDS logs, IDMZ firewall logs, managed switch port logs).</w:t>
      </w:r>
    </w:p>
    <w:p>
      <w:pPr>
        <w:spacing w:after="300"/>
      </w:pPr>
      <w:r>
        <w:t xml:space="preserve"/>
      </w:r>
    </w:p>
    <w:p>
      <w:pPr>
        <w:pStyle w:val="Heading2"/>
        <w:spacing w:after="160" w:before="280"/>
      </w:pPr>
      <w:r>
        <w:rPr>
          <w:rFonts w:ascii="Arial" w:cs="Arial" w:eastAsia="Arial" w:hAnsi="Arial"/>
          <w:b/>
          <w:bCs/>
          <w:color w:val="2E75B6"/>
          <w:sz w:val="26"/>
          <w:szCs w:val="26"/>
        </w:rPr>
        <w:t xml:space="preserve">13.8.2  Post-Incident Review Findings</w:t>
      </w:r>
    </w:p>
    <w:p>
      <w:pPr>
        <w:spacing w:after="160" w:line="276"/>
        <w:jc w:val="both"/>
      </w:pPr>
      <w:r>
        <w:rPr>
          <w:rFonts w:ascii="Arial" w:cs="Arial" w:eastAsia="Arial" w:hAnsi="Arial"/>
          <w:b w:val="false"/>
          <w:bCs w:val="false"/>
          <w:color w:val="000000"/>
          <w:sz w:val="22"/>
          <w:szCs w:val="22"/>
        </w:rPr>
        <w:t xml:space="preserve">The post-incident review, conducted two weeks after the incident, identified three specific findings and assigned improvement actions:</w:t>
      </w:r>
    </w:p>
    <w:p>
      <w:pPr>
        <w:pStyle w:val="ListParagraph"/>
        <w:numPr>
          <w:ilvl w:val="0"/>
          <w:numId w:val="2"/>
        </w:numPr>
        <w:spacing w:after="100" w:line="276"/>
      </w:pPr>
      <w:r>
        <w:rPr>
          <w:rFonts w:ascii="Arial" w:cs="Arial" w:eastAsia="Arial" w:hAnsi="Arial"/>
          <w:sz w:val="22"/>
          <w:szCs w:val="22"/>
        </w:rPr>
        <w:t xml:space="preserve">Finding 1 — IDMZ firewall bypass: The IDMZ firewall should have blocked traffic from the IT network address range (10.20.x.x) to the OT network. Investigation revealed that the vendor laptop was connected directly to an OT network switch port — it bypassed the IDMZ entirely by plugging into the OT-side network rather than going through the remote access infrastructure. The firewall rule set was correct; the physical access control that should have prevented an unauthorised device from being connected to an OT switch port failed. Action: Physical port security (MAC address filtering and port authentication — 802.1X) to be implemented on all OT switch ports within 60 days. OT Engineering Liaison responsible.</w:t>
      </w:r>
    </w:p>
    <w:p>
      <w:pPr>
        <w:pStyle w:val="ListParagraph"/>
        <w:numPr>
          <w:ilvl w:val="0"/>
          <w:numId w:val="2"/>
        </w:numPr>
        <w:spacing w:after="100" w:line="276"/>
      </w:pPr>
      <w:r>
        <w:rPr>
          <w:rFonts w:ascii="Arial" w:cs="Arial" w:eastAsia="Arial" w:hAnsi="Arial"/>
          <w:sz w:val="22"/>
          <w:szCs w:val="22"/>
        </w:rPr>
        <w:t xml:space="preserve">Finding 2 — Vendor access procedure not followed: The Emerson technician connected their maintenance laptop without initiating a PAM session, which is required by the OT Vendor and Third-Party Security Policy. Investigation revealed the technician was unaware of the requirement — they had not been briefed on the specific access procedure at site induction. Action: Vendor site induction process to be updated to include the specific requirement for PAM session initiation before laptop connection. Induction acknowledgement form to be updated. OT Security Analyst responsible, within 30 days.</w:t>
      </w:r>
    </w:p>
    <w:p>
      <w:pPr>
        <w:pStyle w:val="ListParagraph"/>
        <w:numPr>
          <w:ilvl w:val="0"/>
          <w:numId w:val="2"/>
        </w:numPr>
        <w:spacing w:after="100" w:line="276"/>
      </w:pPr>
      <w:r>
        <w:rPr>
          <w:rFonts w:ascii="Arial" w:cs="Arial" w:eastAsia="Arial" w:hAnsi="Arial"/>
          <w:sz w:val="22"/>
          <w:szCs w:val="22"/>
        </w:rPr>
        <w:t xml:space="preserve">Finding 3 — Alert response time: The OT Security Analyst reviewed the alert 15 minutes after generation. During out-of-hours periods, this response time would have been significantly longer. Action: Alert escalation procedure to be updated to include automatic escalation to the OT Security Analyst's mobile phone for SEV 2 and above alerts outside business hours. OT-IDS alert policy to be updated. OT Security Analyst responsible, within 30 days.</w:t>
      </w:r>
    </w:p>
    <w:p>
      <w:pPr>
        <w:pStyle w:val="Heading2"/>
        <w:spacing w:after="160" w:before="280"/>
      </w:pPr>
      <w:r>
        <w:rPr>
          <w:rFonts w:ascii="Arial" w:cs="Arial" w:eastAsia="Arial" w:hAnsi="Arial"/>
          <w:b/>
          <w:bCs/>
          <w:color w:val="2E75B6"/>
          <w:sz w:val="26"/>
          <w:szCs w:val="26"/>
        </w:rPr>
        <w:t xml:space="preserve">13.8.3  Month 18 Exercise — Tabletop: Ransomware with OT Proximity</w:t>
      </w:r>
    </w:p>
    <w:p>
      <w:pPr>
        <w:spacing w:after="160" w:line="276"/>
        <w:jc w:val="both"/>
      </w:pPr>
      <w:r>
        <w:rPr>
          <w:rFonts w:ascii="Arial" w:cs="Arial" w:eastAsia="Arial" w:hAnsi="Arial"/>
          <w:b w:val="false"/>
          <w:bCs w:val="false"/>
          <w:color w:val="000000"/>
          <w:sz w:val="22"/>
          <w:szCs w:val="22"/>
        </w:rPr>
        <w:t xml:space="preserve">The Month 18 CSMS Governance Committee meeting included a 3-hour tabletop exercise. The scenario was a ransomware attack with OT proximity — based on the Colonial Pipeline incident pattern but adapted to the Sunrise Refinery context. The exercise used the scenario structure from Chapter 11 (Section 11.6.2) with additional injects developed from the Month 16 incident findings.</w:t>
      </w:r>
    </w:p>
    <w:p>
      <w:pPr>
        <w:spacing w:after="160" w:line="276"/>
        <w:jc w:val="both"/>
      </w:pPr>
      <w:r>
        <w:rPr>
          <w:rFonts w:ascii="Arial" w:cs="Arial" w:eastAsia="Arial" w:hAnsi="Arial"/>
          <w:b w:val="false"/>
          <w:bCs w:val="false"/>
          <w:color w:val="000000"/>
          <w:sz w:val="22"/>
          <w:szCs w:val="22"/>
        </w:rPr>
        <w:t xml:space="preserve">The exercise produced four key findings that were recorded in the CSMS improvement register:</w:t>
      </w:r>
    </w:p>
    <w:p>
      <w:pPr>
        <w:pStyle w:val="ListParagraph"/>
        <w:numPr>
          <w:ilvl w:val="0"/>
          <w:numId w:val="2"/>
        </w:numPr>
        <w:spacing w:after="100" w:line="276"/>
      </w:pPr>
      <w:r>
        <w:rPr>
          <w:rFonts w:ascii="Arial" w:cs="Arial" w:eastAsia="Arial" w:hAnsi="Arial"/>
          <w:sz w:val="22"/>
          <w:szCs w:val="22"/>
        </w:rPr>
        <w:t xml:space="preserve">The incident response plan did not clearly specify the decision authority for initiating a manual process shutdown in response to a suspected OT security incident. Three exercise participants (Operations Manager, OT Security Manager, and Process Safety Manager) each believed they had the authority to make this decision. Action: Incident response plan to be updated to define the specific decision authority and escalation path for the manual shutdown decision, validated with the Operations Director.</w:t>
      </w:r>
    </w:p>
    <w:p>
      <w:pPr>
        <w:pStyle w:val="ListParagraph"/>
        <w:numPr>
          <w:ilvl w:val="0"/>
          <w:numId w:val="2"/>
        </w:numPr>
        <w:spacing w:after="100" w:line="276"/>
      </w:pPr>
      <w:r>
        <w:rPr>
          <w:rFonts w:ascii="Arial" w:cs="Arial" w:eastAsia="Arial" w:hAnsi="Arial"/>
          <w:sz w:val="22"/>
          <w:szCs w:val="22"/>
        </w:rPr>
        <w:t xml:space="preserve">The out-of-band communication arrangement (mobile phones) was functional but the exercise revealed that several participants did not have current mobile numbers for all other participants. The notification tree had not been updated since Month 6. Action: Notification tree to be reviewed and updated quarterly. OT Security Manager responsible.</w:t>
      </w:r>
    </w:p>
    <w:p>
      <w:pPr>
        <w:pStyle w:val="ListParagraph"/>
        <w:numPr>
          <w:ilvl w:val="0"/>
          <w:numId w:val="2"/>
        </w:numPr>
        <w:spacing w:after="100" w:line="276"/>
      </w:pPr>
      <w:r>
        <w:rPr>
          <w:rFonts w:ascii="Arial" w:cs="Arial" w:eastAsia="Arial" w:hAnsi="Arial"/>
          <w:sz w:val="22"/>
          <w:szCs w:val="22"/>
        </w:rPr>
        <w:t xml:space="preserve">The regulatory notification procedure was unclear about what constitutes a 'significant incident' under the NIS2 Directive. Legal counsel was not represented in the exercise and could not be reached during the simulated incident. Action: Legal counsel to provide a written guidance note on the NIS2 notification trigger criteria, to be appended to the incident response plan. Executive Sponsor to engage legal counsel.</w:t>
      </w:r>
    </w:p>
    <w:p>
      <w:pPr>
        <w:pStyle w:val="ListParagraph"/>
        <w:numPr>
          <w:ilvl w:val="0"/>
          <w:numId w:val="2"/>
        </w:numPr>
        <w:spacing w:after="100" w:line="276"/>
      </w:pPr>
      <w:r>
        <w:rPr>
          <w:rFonts w:ascii="Arial" w:cs="Arial" w:eastAsia="Arial" w:hAnsi="Arial"/>
          <w:sz w:val="22"/>
          <w:szCs w:val="22"/>
        </w:rPr>
        <w:t xml:space="preserve">The OT Security Analyst demonstrated excellent technical triage capability but the Operations Representative and Process Safety Manager were uncertain about what operational information to provide to assist the technical investigation. Action: Joint training exercise between OT Security Analyst and Operations/Process Safety — a structured information exchange drill — to be scheduled at Month 20.</w:t>
      </w:r>
    </w:p>
    <w:p>
      <w:r>
        <w:br w:type="page"/>
      </w:r>
    </w:p>
    <w:p>
      <w:pPr>
        <w:pStyle w:val="Heading1"/>
        <w:spacing w:after="200" w:before="400"/>
      </w:pPr>
      <w:r>
        <w:rPr>
          <w:rFonts w:ascii="Arial" w:cs="Arial" w:eastAsia="Arial" w:hAnsi="Arial"/>
          <w:b/>
          <w:bCs/>
          <w:color w:val="1F3864"/>
          <w:sz w:val="34"/>
          <w:szCs w:val="34"/>
        </w:rPr>
        <w:t xml:space="preserve">13.9  Chapter Summary</w:t>
      </w:r>
    </w:p>
    <w:p>
      <w:pPr>
        <w:spacing w:after="160" w:line="276"/>
        <w:jc w:val="both"/>
      </w:pPr>
      <w:r>
        <w:rPr>
          <w:rFonts w:ascii="Arial" w:cs="Arial" w:eastAsia="Arial" w:hAnsi="Arial"/>
          <w:b w:val="false"/>
          <w:bCs w:val="false"/>
          <w:color w:val="000000"/>
          <w:sz w:val="22"/>
          <w:szCs w:val="22"/>
        </w:rPr>
        <w:t xml:space="preserve">This chapter has addressed the operational dimension of the CSMS — the processes that sustain the governance framework of Chapter 11 and the technical controls of Chapter 12 through the day-to-day and week-to-week activities of OT security operations. Six operational process domains have been developed in detail, collectively providing the framework for maintaining the currency and effectiveness of the CSMS beyond the initial implementation phase.</w:t>
      </w:r>
    </w:p>
    <w:p>
      <w:pPr>
        <w:spacing w:after="160" w:line="276"/>
        <w:jc w:val="both"/>
      </w:pPr>
      <w:r>
        <w:rPr>
          <w:rFonts w:ascii="Arial" w:cs="Arial" w:eastAsia="Arial" w:hAnsi="Arial"/>
          <w:b w:val="false"/>
          <w:bCs w:val="false"/>
          <w:color w:val="000000"/>
          <w:sz w:val="22"/>
          <w:szCs w:val="22"/>
        </w:rPr>
        <w:t xml:space="preserve">OT security incident response is the operational capability most directly tested by the threat landscape. The six-phase lifecycle (Preparation, Detection and Analysis, Containment, Eradication, Recovery, and Post-Incident Review), the four-level severity classification framework, and the pre-planned OT isolation decision framework provide the structured approach needed to respond effectively to OT security events that have physical consequence potential — events that cannot be managed with the same instincts and procedures as IT security incidents.</w:t>
      </w:r>
    </w:p>
    <w:p>
      <w:pPr>
        <w:spacing w:after="160" w:line="276"/>
        <w:jc w:val="both"/>
      </w:pPr>
      <w:r>
        <w:rPr>
          <w:rFonts w:ascii="Arial" w:cs="Arial" w:eastAsia="Arial" w:hAnsi="Arial"/>
          <w:b w:val="false"/>
          <w:bCs w:val="false"/>
          <w:color w:val="000000"/>
          <w:sz w:val="22"/>
          <w:szCs w:val="22"/>
        </w:rPr>
        <w:t xml:space="preserve">OT change management, as a security control, addresses one of the most persistent sources of security degradation in OT environments: the progressive, unmanaged drift of OT system configurations away from the authorised security baseline. The three-tier change type framework (Emergency, Standard, and Routine) provides the governance structure for managing this risk — ensuring that every modification to an OT system, regardless of its operational motivation, is assessed for security implications before it is implemented.</w:t>
      </w:r>
    </w:p>
    <w:p>
      <w:pPr>
        <w:spacing w:after="160" w:line="276"/>
        <w:jc w:val="both"/>
      </w:pPr>
      <w:r>
        <w:rPr>
          <w:rFonts w:ascii="Arial" w:cs="Arial" w:eastAsia="Arial" w:hAnsi="Arial"/>
          <w:b w:val="false"/>
          <w:bCs w:val="false"/>
          <w:color w:val="000000"/>
          <w:sz w:val="22"/>
          <w:szCs w:val="22"/>
        </w:rPr>
        <w:t xml:space="preserve">Vendor and third-party security management extends the CSMS boundary to include the external parties whose access to OT systems creates significant attack surface. The vendor security lifecycle — from pre-engagement assessment through contractual security requirements, onboarding, ongoing management, and contract termination — provides the framework for managing this risk systematically rather than reactively. Supply chain security, addressed through authorised procurement channels, integrity verification at delivery, and Software Bill of Materials requirements, addresses the emerging class of supply chain attacks that target the trusted relationships between OT operators and their vendors.</w:t>
      </w:r>
    </w:p>
    <w:p>
      <w:pPr>
        <w:spacing w:after="160" w:line="276"/>
        <w:jc w:val="both"/>
      </w:pPr>
      <w:r>
        <w:rPr>
          <w:rFonts w:ascii="Arial" w:cs="Arial" w:eastAsia="Arial" w:hAnsi="Arial"/>
          <w:b w:val="false"/>
          <w:bCs w:val="false"/>
          <w:color w:val="000000"/>
          <w:sz w:val="22"/>
          <w:szCs w:val="22"/>
        </w:rPr>
        <w:t xml:space="preserve">Personnel security addresses the human dimension of OT risk — the risks that arise from the people who have authorised access to OT systems, whether through negligence, error, or malicious intent. The tiered pre-employment screening framework, the lifecycle security obligations embedded in the employment relationship, and the insider threat indicator framework provide the management tools for addressing the class of threats that technical controls cannot fully mitigate.</w:t>
      </w:r>
    </w:p>
    <w:p>
      <w:pPr>
        <w:spacing w:after="160" w:line="276"/>
        <w:jc w:val="both"/>
      </w:pPr>
      <w:r>
        <w:rPr>
          <w:rFonts w:ascii="Arial" w:cs="Arial" w:eastAsia="Arial" w:hAnsi="Arial"/>
          <w:b w:val="false"/>
          <w:bCs w:val="false"/>
          <w:color w:val="000000"/>
          <w:sz w:val="22"/>
          <w:szCs w:val="22"/>
        </w:rPr>
        <w:t xml:space="preserve">Physical security for OT environments — structured around physical security zones that mirror the logical network zone architecture — addresses the class of threats that bypass network controls entirely: the USB drive that introduces malware to an isolated OT system; the engineering laptop connected directly to an OT switch port; the visitor with unescorted access to a control room. The portable media management programme, the control room security requirements, and the OT engineering laptop security standards are the specific controls that address these physical threat vectors.</w:t>
      </w:r>
    </w:p>
    <w:p>
      <w:pPr>
        <w:spacing w:after="160" w:line="276"/>
        <w:jc w:val="both"/>
      </w:pPr>
      <w:r>
        <w:rPr>
          <w:rFonts w:ascii="Arial" w:cs="Arial" w:eastAsia="Arial" w:hAnsi="Arial"/>
          <w:b w:val="false"/>
          <w:bCs w:val="false"/>
          <w:color w:val="000000"/>
          <w:sz w:val="22"/>
          <w:szCs w:val="22"/>
        </w:rPr>
        <w:t xml:space="preserve">The security exercise programme — structured progressively from knowledge tests through tabletop exercises, functional exercises, and red team assessments — is the mechanism by which the incident response capability established in the incident response plan is tested and developed into genuine operational competence. The after-action review process and the CSMS improvement register close the loop between exercise findings and CSMS development.</w:t>
      </w:r>
    </w:p>
    <w:p>
      <w:pPr>
        <w:spacing w:after="160" w:line="276"/>
        <w:jc w:val="both"/>
      </w:pPr>
      <w:r>
        <w:rPr>
          <w:rFonts w:ascii="Arial" w:cs="Arial" w:eastAsia="Arial" w:hAnsi="Arial"/>
          <w:b w:val="false"/>
          <w:bCs w:val="false"/>
          <w:color w:val="000000"/>
          <w:sz w:val="22"/>
          <w:szCs w:val="22"/>
        </w:rPr>
        <w:t xml:space="preserve">The Sunrise Refinery worked example demonstrates these operational processes in a realistic context — showing how a real OT security incident activates the incident response process, how the post-incident review produces specific improvement actions, and how the tabletop exercise programme develops the organisational response capability. The imperfections revealed in the Sunrise Refinery example — the vendor access procedure violation, the firewall bypass, the unclear decision authority for manual shutdown — are not atypical. They are the normal output of a CSMS that is operating as intended: discovering its own gaps through structured processes, before those gaps are exploited in an actual incident, and acting to close them.</w:t>
      </w:r>
    </w:p>
    <w:p>
      <w:pPr>
        <w:spacing w:after="160" w:line="276"/>
        <w:jc w:val="both"/>
      </w:pPr>
      <w:r>
        <w:rPr>
          <w:rFonts w:ascii="Arial" w:cs="Arial" w:eastAsia="Arial" w:hAnsi="Arial"/>
          <w:b w:val="false"/>
          <w:bCs w:val="false"/>
          <w:color w:val="000000"/>
          <w:sz w:val="22"/>
          <w:szCs w:val="22"/>
        </w:rPr>
        <w:t xml:space="preserve">Chapter 14 will address the final component of the CSMS operational framework: monitoring, measurement, and continuous improvement — the KPIs, audit programme, and reassessment trigger framework that provide the management information needed to demonstrate CSMS effectiveness, identify emerging gaps, and sustain the management commitment on which all other CSMS elements depend.</w:t>
      </w:r>
    </w:p>
    <w:p>
      <w:r>
        <w:br w:type="page"/>
      </w:r>
    </w:p>
    <w:p>
      <w:pPr>
        <w:pStyle w:val="Heading1"/>
        <w:spacing w:after="200" w:before="400"/>
      </w:pPr>
      <w:r>
        <w:rPr>
          <w:rFonts w:ascii="Arial" w:cs="Arial" w:eastAsia="Arial" w:hAnsi="Arial"/>
          <w:b/>
          <w:bCs/>
          <w:color w:val="1F3864"/>
          <w:sz w:val="34"/>
          <w:szCs w:val="34"/>
        </w:rPr>
        <w:t xml:space="preserve">References</w:t>
      </w:r>
    </w:p>
    <w:p>
      <w:pPr>
        <w:pStyle w:val="ListParagraph"/>
        <w:numPr>
          <w:ilvl w:val="0"/>
          <w:numId w:val="3"/>
        </w:numPr>
        <w:spacing w:after="80" w:line="276"/>
      </w:pPr>
      <w:r>
        <w:rPr>
          <w:rFonts w:ascii="Arial" w:cs="Arial" w:eastAsia="Arial" w:hAnsi="Arial"/>
          <w:sz w:val="20"/>
          <w:szCs w:val="20"/>
        </w:rPr>
        <w:t xml:space="preserve">Abrams, M. and Weiss, J. (2008). Malicious Control System Cyber Security Attack Case Study — Maroochy Water Services, Australia. McLean, VA: MITRE Corporation.</w:t>
      </w:r>
    </w:p>
    <w:p>
      <w:pPr>
        <w:pStyle w:val="ListParagraph"/>
        <w:numPr>
          <w:ilvl w:val="0"/>
          <w:numId w:val="3"/>
        </w:numPr>
        <w:spacing w:after="80" w:line="276"/>
      </w:pPr>
      <w:r>
        <w:rPr>
          <w:rFonts w:ascii="Arial" w:cs="Arial" w:eastAsia="Arial" w:hAnsi="Arial"/>
          <w:sz w:val="20"/>
          <w:szCs w:val="20"/>
        </w:rPr>
        <w:t xml:space="preserve">Australian Government (2018). Security of Critical Infrastructure Act 2018 (as amended by the Security Legislation Amendment (Critical Infrastructure) Act 2021). Canberra: Commonwealth of Australia.</w:t>
      </w:r>
    </w:p>
    <w:p>
      <w:pPr>
        <w:pStyle w:val="ListParagraph"/>
        <w:numPr>
          <w:ilvl w:val="0"/>
          <w:numId w:val="3"/>
        </w:numPr>
        <w:spacing w:after="80" w:line="276"/>
      </w:pPr>
      <w:r>
        <w:rPr>
          <w:rFonts w:ascii="Arial" w:cs="Arial" w:eastAsia="Arial" w:hAnsi="Arial"/>
          <w:sz w:val="20"/>
          <w:szCs w:val="20"/>
        </w:rPr>
        <w:t xml:space="preserve">Carnegie Mellon University CERT Insider Threat Center (2019). Common Sense Guide to Mitigating Insider Threats (6th ed.). Pittsburgh, PA: Carnegie Mellon University Software Engineering Institute.</w:t>
      </w:r>
    </w:p>
    <w:p>
      <w:pPr>
        <w:pStyle w:val="ListParagraph"/>
        <w:numPr>
          <w:ilvl w:val="0"/>
          <w:numId w:val="3"/>
        </w:numPr>
        <w:spacing w:after="80" w:line="276"/>
      </w:pPr>
      <w:r>
        <w:rPr>
          <w:rFonts w:ascii="Arial" w:cs="Arial" w:eastAsia="Arial" w:hAnsi="Arial"/>
          <w:sz w:val="20"/>
          <w:szCs w:val="20"/>
        </w:rPr>
        <w:t xml:space="preserve">CISA (Cybersecurity and Infrastructure Security Agency) (2021). Alert AA21-131A: DarkSide Ransomware: Best Practices for Preventing Business Disruption from Ransomware Attacks. Washington DC: CISA.</w:t>
      </w:r>
    </w:p>
    <w:p>
      <w:pPr>
        <w:pStyle w:val="ListParagraph"/>
        <w:numPr>
          <w:ilvl w:val="0"/>
          <w:numId w:val="3"/>
        </w:numPr>
        <w:spacing w:after="80" w:line="276"/>
      </w:pPr>
      <w:r>
        <w:rPr>
          <w:rFonts w:ascii="Arial" w:cs="Arial" w:eastAsia="Arial" w:hAnsi="Arial"/>
          <w:sz w:val="20"/>
          <w:szCs w:val="20"/>
        </w:rPr>
        <w:t xml:space="preserve">CISA (2022). Cross-Sector Cybersecurity Performance Goals. Washington DC: CISA.</w:t>
      </w:r>
    </w:p>
    <w:p>
      <w:pPr>
        <w:pStyle w:val="ListParagraph"/>
        <w:numPr>
          <w:ilvl w:val="0"/>
          <w:numId w:val="3"/>
        </w:numPr>
        <w:spacing w:after="80" w:line="276"/>
      </w:pPr>
      <w:r>
        <w:rPr>
          <w:rFonts w:ascii="Arial" w:cs="Arial" w:eastAsia="Arial" w:hAnsi="Arial"/>
          <w:sz w:val="20"/>
          <w:szCs w:val="20"/>
        </w:rPr>
        <w:t xml:space="preserve">CISA (2023). Incident and Vulnerability Response Playbooks for Federal Civilian Executive Branch Agencies. Washington DC: CISA.</w:t>
      </w:r>
    </w:p>
    <w:p>
      <w:pPr>
        <w:pStyle w:val="ListParagraph"/>
        <w:numPr>
          <w:ilvl w:val="0"/>
          <w:numId w:val="3"/>
        </w:numPr>
        <w:spacing w:after="80" w:line="276"/>
      </w:pPr>
      <w:r>
        <w:rPr>
          <w:rFonts w:ascii="Arial" w:cs="Arial" w:eastAsia="Arial" w:hAnsi="Arial"/>
          <w:sz w:val="20"/>
          <w:szCs w:val="20"/>
        </w:rPr>
        <w:t xml:space="preserve">Dragos (2023). ICS/OT Cybersecurity Year in Review 2022. Hanover, MD: Dragos, Inc.</w:t>
      </w:r>
    </w:p>
    <w:p>
      <w:pPr>
        <w:pStyle w:val="ListParagraph"/>
        <w:numPr>
          <w:ilvl w:val="0"/>
          <w:numId w:val="3"/>
        </w:numPr>
        <w:spacing w:after="80" w:line="276"/>
      </w:pPr>
      <w:r>
        <w:rPr>
          <w:rFonts w:ascii="Arial" w:cs="Arial" w:eastAsia="Arial" w:hAnsi="Arial"/>
          <w:sz w:val="20"/>
          <w:szCs w:val="20"/>
        </w:rPr>
        <w:t xml:space="preserve">European Parliament (2022). Directive (EU) 2022/2555 (NIS2 Directive) on Measures for a High Common Level of Cybersecurity Across the Union. Official Journal of the European Union, L 333, 80–152.</w:t>
      </w:r>
    </w:p>
    <w:p>
      <w:pPr>
        <w:pStyle w:val="ListParagraph"/>
        <w:numPr>
          <w:ilvl w:val="0"/>
          <w:numId w:val="3"/>
        </w:numPr>
        <w:spacing w:after="80" w:line="276"/>
      </w:pPr>
      <w:r>
        <w:rPr>
          <w:rFonts w:ascii="Arial" w:cs="Arial" w:eastAsia="Arial" w:hAnsi="Arial"/>
          <w:sz w:val="20"/>
          <w:szCs w:val="20"/>
        </w:rPr>
        <w:t xml:space="preserve">Health and Safety Executive (HSE) (1998). The Explosion and Fires at the Texaco Refinery, Milford Haven, 24 July 1994. London: HMSO.</w:t>
      </w:r>
    </w:p>
    <w:p>
      <w:pPr>
        <w:pStyle w:val="ListParagraph"/>
        <w:numPr>
          <w:ilvl w:val="0"/>
          <w:numId w:val="3"/>
        </w:numPr>
        <w:spacing w:after="80" w:line="276"/>
      </w:pPr>
      <w:r>
        <w:rPr>
          <w:rFonts w:ascii="Arial" w:cs="Arial" w:eastAsia="Arial" w:hAnsi="Arial"/>
          <w:sz w:val="20"/>
          <w:szCs w:val="20"/>
        </w:rPr>
        <w:t xml:space="preserve">Hunker, J. and Probst, C.W. (2011). Insiders and Insider Threats — An Overview of Definitions and Mitigation Techniques. Journal of Wireless Mobile Networks, Ubiquitous Computing, and Dependable Applications, 2(1), 4–27.</w:t>
      </w:r>
    </w:p>
    <w:p>
      <w:pPr>
        <w:pStyle w:val="ListParagraph"/>
        <w:numPr>
          <w:ilvl w:val="0"/>
          <w:numId w:val="3"/>
        </w:numPr>
        <w:spacing w:after="80" w:line="276"/>
      </w:pPr>
      <w:r>
        <w:rPr>
          <w:rFonts w:ascii="Arial" w:cs="Arial" w:eastAsia="Arial" w:hAnsi="Arial"/>
          <w:sz w:val="20"/>
          <w:szCs w:val="20"/>
        </w:rPr>
        <w:t xml:space="preserve">IEC (2010). IEC 62443-2-1: Security for Industrial Automation and Control Systems — Part 2-1: Establishing an Industrial Automation and Control System Security Programme.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(2015). IEC 62443-2-4: Security for Industrial Automation and Control Systems — Part 2-4: Security Program Requirements for IACS Service Providers. Geneva: International Electrotechnical Commission.</w:t>
      </w:r>
    </w:p>
    <w:p>
      <w:pPr>
        <w:pStyle w:val="ListParagraph"/>
        <w:numPr>
          <w:ilvl w:val="0"/>
          <w:numId w:val="3"/>
        </w:numPr>
        <w:spacing w:after="80" w:line="276"/>
      </w:pPr>
      <w:r>
        <w:rPr>
          <w:rFonts w:ascii="Arial" w:cs="Arial" w:eastAsia="Arial" w:hAnsi="Arial"/>
          <w:sz w:val="20"/>
          <w:szCs w:val="20"/>
        </w:rPr>
        <w:t xml:space="preserve">IEC (2013). IEC 62443-3-3: Industrial Communication Networks — Network and System Security — Part 3-3: System Security Requirements and Security Levels. Geneva: International Electrotechnical Commission.</w:t>
      </w:r>
    </w:p>
    <w:p>
      <w:pPr>
        <w:pStyle w:val="ListParagraph"/>
        <w:numPr>
          <w:ilvl w:val="0"/>
          <w:numId w:val="3"/>
        </w:numPr>
        <w:spacing w:after="80" w:line="276"/>
      </w:pPr>
      <w:r>
        <w:rPr>
          <w:rFonts w:ascii="Arial" w:cs="Arial" w:eastAsia="Arial" w:hAnsi="Arial"/>
          <w:sz w:val="20"/>
          <w:szCs w:val="20"/>
        </w:rPr>
        <w:t xml:space="preserve">ISA-99 Committee (2009). ISA-TR99.02.01: Security Technologies for Industrial Automation and Control Systems. Research Triangle Park, NC: International Society of Automation.</w:t>
      </w:r>
    </w:p>
    <w:p>
      <w:pPr>
        <w:pStyle w:val="ListParagraph"/>
        <w:numPr>
          <w:ilvl w:val="0"/>
          <w:numId w:val="3"/>
        </w:numPr>
        <w:spacing w:after="80" w:line="276"/>
      </w:pPr>
      <w:r>
        <w:rPr>
          <w:rFonts w:ascii="Arial" w:cs="Arial" w:eastAsia="Arial" w:hAnsi="Arial"/>
          <w:sz w:val="20"/>
          <w:szCs w:val="20"/>
        </w:rPr>
        <w:t xml:space="preserve">Lee, R.M., Assante, M.J., and Conway, T. (2016). Analysis of the Cyber Attack on the Ukrainian Power Grid. Washington DC: E-ISAC / SANS ICS.</w:t>
      </w:r>
    </w:p>
    <w:p>
      <w:pPr>
        <w:pStyle w:val="ListParagraph"/>
        <w:numPr>
          <w:ilvl w:val="0"/>
          <w:numId w:val="3"/>
        </w:numPr>
        <w:spacing w:after="80" w:line="276"/>
      </w:pPr>
      <w:r>
        <w:rPr>
          <w:rFonts w:ascii="Arial" w:cs="Arial" w:eastAsia="Arial" w:hAnsi="Arial"/>
          <w:sz w:val="20"/>
          <w:szCs w:val="20"/>
        </w:rPr>
        <w:t xml:space="preserve">Mitnick, K.D. and Simon, W.L. (2002). The Art of Deception: Controlling the Human Element of Security. Indianapolis, IN: Wiley.</w:t>
      </w:r>
    </w:p>
    <w:p>
      <w:pPr>
        <w:pStyle w:val="ListParagraph"/>
        <w:numPr>
          <w:ilvl w:val="0"/>
          <w:numId w:val="3"/>
        </w:numPr>
        <w:spacing w:after="80" w:line="276"/>
      </w:pPr>
      <w:r>
        <w:rPr>
          <w:rFonts w:ascii="Arial" w:cs="Arial" w:eastAsia="Arial" w:hAnsi="Arial"/>
          <w:sz w:val="20"/>
          <w:szCs w:val="20"/>
        </w:rPr>
        <w:t xml:space="preserve">MITRE Corporation (2020). ATT&amp;CK for Industrial Control Systems (ICS). McLean, VA: MITRE. Retrieved from https://attack.mitre.org/matrices/ics/</w:t>
      </w:r>
    </w:p>
    <w:p>
      <w:pPr>
        <w:pStyle w:val="ListParagraph"/>
        <w:numPr>
          <w:ilvl w:val="0"/>
          <w:numId w:val="3"/>
        </w:numPr>
        <w:spacing w:after="80" w:line="276"/>
      </w:pPr>
      <w:r>
        <w:rPr>
          <w:rFonts w:ascii="Arial" w:cs="Arial" w:eastAsia="Arial" w:hAnsi="Arial"/>
          <w:sz w:val="20"/>
          <w:szCs w:val="20"/>
        </w:rPr>
        <w:t xml:space="preserve">NERC (2016). CIP-008-6: Cyber Security — Incident Reporting and Response Planning. Atlanta, GA: North American Electric Reliability Corporation.</w:t>
      </w:r>
    </w:p>
    <w:p>
      <w:pPr>
        <w:pStyle w:val="ListParagraph"/>
        <w:numPr>
          <w:ilvl w:val="0"/>
          <w:numId w:val="3"/>
        </w:numPr>
        <w:spacing w:after="80" w:line="276"/>
      </w:pPr>
      <w:r>
        <w:rPr>
          <w:rFonts w:ascii="Arial" w:cs="Arial" w:eastAsia="Arial" w:hAnsi="Arial"/>
          <w:sz w:val="20"/>
          <w:szCs w:val="20"/>
        </w:rPr>
        <w:t xml:space="preserve">NIST (2012). Special Publication 800-61 Rev.2: Computer Security Incident Handling Guide. Gaithersburg, MD: National Institute of Standards and Technology.</w:t>
      </w:r>
    </w:p>
    <w:p>
      <w:pPr>
        <w:pStyle w:val="ListParagraph"/>
        <w:numPr>
          <w:ilvl w:val="0"/>
          <w:numId w:val="3"/>
        </w:numPr>
        <w:spacing w:after="80" w:line="276"/>
      </w:pPr>
      <w:r>
        <w:rPr>
          <w:rFonts w:ascii="Arial" w:cs="Arial" w:eastAsia="Arial" w:hAnsi="Arial"/>
          <w:sz w:val="20"/>
          <w:szCs w:val="20"/>
        </w:rPr>
        <w:t xml:space="preserve">NIST (2015). Special Publication 800-82 Rev.2: Guide to Industrial Control Systems (ICS) Security. Gaithersburg, MD: National Institute of Standards and Technology.</w:t>
      </w:r>
    </w:p>
    <w:p>
      <w:pPr>
        <w:pStyle w:val="ListParagraph"/>
        <w:numPr>
          <w:ilvl w:val="0"/>
          <w:numId w:val="3"/>
        </w:numPr>
        <w:spacing w:after="80" w:line="276"/>
      </w:pPr>
      <w:r>
        <w:rPr>
          <w:rFonts w:ascii="Arial" w:cs="Arial" w:eastAsia="Arial" w:hAnsi="Arial"/>
          <w:sz w:val="20"/>
          <w:szCs w:val="20"/>
        </w:rPr>
        <w:t xml:space="preserve">NIST (2018). Special Publication 800-160 Vol.2: Developing Cyber Resilient Systems — A Systems Security Engineering Approach. Gaithersburg, MD: National Institute of Standards and Technology.</w:t>
      </w:r>
    </w:p>
    <w:p>
      <w:pPr>
        <w:pStyle w:val="ListParagraph"/>
        <w:numPr>
          <w:ilvl w:val="0"/>
          <w:numId w:val="3"/>
        </w:numPr>
        <w:spacing w:after="80" w:line="276"/>
      </w:pPr>
      <w:r>
        <w:rPr>
          <w:rFonts w:ascii="Arial" w:cs="Arial" w:eastAsia="Arial" w:hAnsi="Arial"/>
          <w:sz w:val="20"/>
          <w:szCs w:val="20"/>
        </w:rPr>
        <w:t xml:space="preserve">OSHA (1992). 29 CFR Part 1910.119: Process Safety Management of Highly Hazardous Chemicals. Washington DC: US Occupational Safety and Health Administration.</w:t>
      </w:r>
    </w:p>
    <w:p>
      <w:pPr>
        <w:pStyle w:val="ListParagraph"/>
        <w:numPr>
          <w:ilvl w:val="0"/>
          <w:numId w:val="3"/>
        </w:numPr>
        <w:spacing w:after="80" w:line="276"/>
      </w:pPr>
      <w:r>
        <w:rPr>
          <w:rFonts w:ascii="Arial" w:cs="Arial" w:eastAsia="Arial" w:hAnsi="Arial"/>
          <w:sz w:val="20"/>
          <w:szCs w:val="20"/>
        </w:rPr>
        <w:t xml:space="preserve">Reason, J. (1997). Managing the Risks of Organisational Accidents. Aldershot: Ashgate.</w:t>
      </w:r>
    </w:p>
    <w:p>
      <w:pPr>
        <w:pStyle w:val="ListParagraph"/>
        <w:numPr>
          <w:ilvl w:val="0"/>
          <w:numId w:val="3"/>
        </w:numPr>
        <w:spacing w:after="80" w:line="276"/>
      </w:pPr>
      <w:r>
        <w:rPr>
          <w:rFonts w:ascii="Arial" w:cs="Arial" w:eastAsia="Arial" w:hAnsi="Arial"/>
          <w:sz w:val="20"/>
          <w:szCs w:val="20"/>
        </w:rPr>
        <w:t xml:space="preserve">Rid, T. (2013). Cyber War Will Not Take Place. London: Hurst Publishers.</w:t>
      </w:r>
    </w:p>
    <w:p>
      <w:pPr>
        <w:pStyle w:val="ListParagraph"/>
        <w:numPr>
          <w:ilvl w:val="0"/>
          <w:numId w:val="3"/>
        </w:numPr>
        <w:spacing w:after="80" w:line="276"/>
      </w:pPr>
      <w:r>
        <w:rPr>
          <w:rFonts w:ascii="Arial" w:cs="Arial" w:eastAsia="Arial" w:hAnsi="Arial"/>
          <w:sz w:val="20"/>
          <w:szCs w:val="20"/>
        </w:rPr>
        <w:t xml:space="preserve">Shaw, E., Fischer, L., and Rose, A. (2001). Insider Risk Evaluation and Audit. Technical Report. McLean, VA: United States Secret Service / RAND Corporation.</w:t>
      </w:r>
    </w:p>
    <w:p>
      <w:pPr>
        <w:pStyle w:val="ListParagraph"/>
        <w:numPr>
          <w:ilvl w:val="0"/>
          <w:numId w:val="3"/>
        </w:numPr>
        <w:spacing w:after="80" w:line="276"/>
      </w:pPr>
      <w:r>
        <w:rPr>
          <w:rFonts w:ascii="Arial" w:cs="Arial" w:eastAsia="Arial" w:hAnsi="Arial"/>
          <w:sz w:val="20"/>
          <w:szCs w:val="20"/>
        </w:rPr>
        <w:t xml:space="preserve">UK Parliament (2015). Control of Major Accident Hazards Regulations 2015 (SI 2015/483). London: The Stationery Office.</w:t>
      </w:r>
    </w:p>
    <w:p>
      <w:pPr>
        <w:pStyle w:val="ListParagraph"/>
        <w:numPr>
          <w:ilvl w:val="0"/>
          <w:numId w:val="3"/>
        </w:numPr>
        <w:spacing w:after="80" w:line="276"/>
      </w:pPr>
      <w:r>
        <w:rPr>
          <w:rFonts w:ascii="Arial" w:cs="Arial" w:eastAsia="Arial" w:hAnsi="Arial"/>
          <w:sz w:val="20"/>
          <w:szCs w:val="20"/>
        </w:rPr>
        <w:t xml:space="preserve">von Solms, R. and van Niekerk, J. (2013). From Information Security to Cyber Security. Computers and Security, 38, 97–102. https://doi.org/10.1016/j.cose.2013.04.004</w:t>
      </w:r>
    </w:p>
    <w:p>
      <w:pPr>
        <w:pStyle w:val="ListParagraph"/>
        <w:numPr>
          <w:ilvl w:val="0"/>
          <w:numId w:val="3"/>
        </w:numPr>
        <w:spacing w:after="80" w:line="276"/>
      </w:pPr>
      <w:r>
        <w:rPr>
          <w:rFonts w:ascii="Arial" w:cs="Arial" w:eastAsia="Arial" w:hAnsi="Arial"/>
          <w:sz w:val="20"/>
          <w:szCs w:val="20"/>
        </w:rPr>
        <w:t xml:space="preserve">Widup, S. (2014). The Computer Forensics and Incident Response Handbook. New York: McGraw-Hill.</w:t>
      </w:r>
    </w:p>
    <w:p>
      <w:pPr>
        <w:pStyle w:val="ListParagraph"/>
        <w:numPr>
          <w:ilvl w:val="0"/>
          <w:numId w:val="3"/>
        </w:numPr>
        <w:spacing w:after="80" w:line="276"/>
      </w:pPr>
      <w:r>
        <w:rPr>
          <w:rFonts w:ascii="Arial" w:cs="Arial" w:eastAsia="Arial" w:hAnsi="Arial"/>
          <w:sz w:val="20"/>
          <w:szCs w:val="20"/>
        </w:rPr>
        <w:t xml:space="preserve">Zetter, K. (2014). Countdown to Zero Day: Stuxnet and the Launch of the World's First Digital Weapon. New York: Crown Publishers.</w:t>
      </w:r>
    </w:p>
    <w:p>
      <w:pPr>
        <w:pStyle w:val="ListParagraph"/>
        <w:numPr>
          <w:ilvl w:val="0"/>
          <w:numId w:val="3"/>
        </w:numPr>
        <w:spacing w:after="80" w:line="276"/>
      </w:pPr>
      <w:r>
        <w:rPr>
          <w:rFonts w:ascii="Arial" w:cs="Arial" w:eastAsia="Arial" w:hAnsi="Arial"/>
          <w:sz w:val="20"/>
          <w:szCs w:val="20"/>
        </w:rPr>
        <w:t xml:space="preserve">Zimmerman, C. (2014). Ten Strategies of a World-Class Cybersecurity Operations Center. McLean, VA: MITRE Corporation.</w:t>
      </w:r>
    </w:p>
    <w:p>
      <w:pPr>
        <w:spacing w:after="200"/>
      </w:pPr>
      <w:r>
        <w:t xml:space="preserve"/>
      </w:r>
    </w:p>
    <w:p>
      <w:pPr>
        <w:pStyle w:val="Heading1"/>
        <w:spacing w:after="200" w:before="400"/>
      </w:pPr>
      <w:r>
        <w:rPr>
          <w:rFonts w:ascii="Arial" w:cs="Arial" w:eastAsia="Arial" w:hAnsi="Arial"/>
          <w:b/>
          <w:bCs/>
          <w:color w:val="1F3864"/>
          <w:sz w:val="34"/>
          <w:szCs w:val="34"/>
        </w:rPr>
        <w:t xml:space="preserve">Additional Resources for Further Study</w:t>
      </w:r>
    </w:p>
    <w:p>
      <w:pPr>
        <w:pStyle w:val="Heading2"/>
        <w:spacing w:after="160" w:before="280"/>
      </w:pPr>
      <w:r>
        <w:rPr>
          <w:rFonts w:ascii="Arial" w:cs="Arial" w:eastAsia="Arial" w:hAnsi="Arial"/>
          <w:b/>
          <w:bCs/>
          <w:color w:val="2E75B6"/>
          <w:sz w:val="26"/>
          <w:szCs w:val="26"/>
        </w:rPr>
        <w:t xml:space="preserve">Primary Standards</w:t>
      </w:r>
    </w:p>
    <w:p>
      <w:pPr>
        <w:pStyle w:val="ListParagraph"/>
        <w:numPr>
          <w:ilvl w:val="0"/>
          <w:numId w:val="2"/>
        </w:numPr>
        <w:spacing w:after="100" w:line="276"/>
      </w:pPr>
      <w:r>
        <w:rPr>
          <w:rFonts w:ascii="Arial" w:cs="Arial" w:eastAsia="Arial" w:hAnsi="Arial"/>
          <w:sz w:val="22"/>
          <w:szCs w:val="22"/>
        </w:rPr>
        <w:t xml:space="preserve">IEC 62443-2-1:2010 — Establishing an IACS Security Programme. [Section 4.3.2.4 (personnel security), 4.3.2.5 (supply chain/vendor), 4.3.2.8 (incident response), and 4.3.3 (change management) directly underpin this chapter.]</w:t>
      </w:r>
    </w:p>
    <w:p>
      <w:pPr>
        <w:pStyle w:val="ListParagraph"/>
        <w:numPr>
          <w:ilvl w:val="0"/>
          <w:numId w:val="2"/>
        </w:numPr>
        <w:spacing w:after="100" w:line="276"/>
      </w:pPr>
      <w:r>
        <w:rPr>
          <w:rFonts w:ascii="Arial" w:cs="Arial" w:eastAsia="Arial" w:hAnsi="Arial"/>
          <w:sz w:val="22"/>
          <w:szCs w:val="22"/>
        </w:rPr>
        <w:t xml:space="preserve">IEC 62443-2-4:2015 — Security Program Requirements for IACS Service Providers. [The primary reference for vendor security requirements — Section 13.4 draws directly from this standard.]</w:t>
      </w:r>
    </w:p>
    <w:p>
      <w:pPr>
        <w:pStyle w:val="ListParagraph"/>
        <w:numPr>
          <w:ilvl w:val="0"/>
          <w:numId w:val="2"/>
        </w:numPr>
        <w:spacing w:after="100" w:line="276"/>
      </w:pPr>
      <w:r>
        <w:rPr>
          <w:rFonts w:ascii="Arial" w:cs="Arial" w:eastAsia="Arial" w:hAnsi="Arial"/>
          <w:sz w:val="22"/>
          <w:szCs w:val="22"/>
        </w:rPr>
        <w:t xml:space="preserve">NIST SP 800-61 Rev.2 — Computer Security Incident Handling Guide. [The foundational incident response lifecycle reference, adapted for OT context in Section 13.2.]</w:t>
      </w:r>
    </w:p>
    <w:p>
      <w:pPr>
        <w:pStyle w:val="ListParagraph"/>
        <w:numPr>
          <w:ilvl w:val="0"/>
          <w:numId w:val="2"/>
        </w:numPr>
        <w:spacing w:after="100" w:line="276"/>
      </w:pPr>
      <w:r>
        <w:rPr>
          <w:rFonts w:ascii="Arial" w:cs="Arial" w:eastAsia="Arial" w:hAnsi="Arial"/>
          <w:sz w:val="22"/>
          <w:szCs w:val="22"/>
        </w:rPr>
        <w:t xml:space="preserve">NERC CIP-008 — Cyber Security Incident Reporting and Response Planning. [The electric utility sector benchmark for OT incident response requirements; applicable principles extend to all critical infrastructure sectors.]</w:t>
      </w:r>
    </w:p>
    <w:p>
      <w:pPr>
        <w:pStyle w:val="Heading2"/>
        <w:spacing w:after="160" w:before="280"/>
      </w:pPr>
      <w:r>
        <w:rPr>
          <w:rFonts w:ascii="Arial" w:cs="Arial" w:eastAsia="Arial" w:hAnsi="Arial"/>
          <w:b/>
          <w:bCs/>
          <w:color w:val="2E75B6"/>
          <w:sz w:val="26"/>
          <w:szCs w:val="26"/>
        </w:rPr>
        <w:t xml:space="preserve">Reference Texts</w:t>
      </w:r>
    </w:p>
    <w:p>
      <w:pPr>
        <w:pStyle w:val="ListParagraph"/>
        <w:numPr>
          <w:ilvl w:val="0"/>
          <w:numId w:val="2"/>
        </w:numPr>
        <w:spacing w:after="100" w:line="276"/>
      </w:pPr>
      <w:r>
        <w:rPr>
          <w:rFonts w:ascii="Arial" w:cs="Arial" w:eastAsia="Arial" w:hAnsi="Arial"/>
          <w:sz w:val="22"/>
          <w:szCs w:val="22"/>
        </w:rPr>
        <w:t xml:space="preserve">Reason, J. (1997). Managing the Risks of Organisational Accidents. Ashgate. [Chapter 5 on organisational pathologies and Chapter 7 on managing latent failures provide directly relevant academic grounding for the cultural dimensions of operational process management.]</w:t>
      </w:r>
    </w:p>
    <w:p>
      <w:pPr>
        <w:pStyle w:val="ListParagraph"/>
        <w:numPr>
          <w:ilvl w:val="0"/>
          <w:numId w:val="2"/>
        </w:numPr>
        <w:spacing w:after="100" w:line="276"/>
      </w:pPr>
      <w:r>
        <w:rPr>
          <w:rFonts w:ascii="Arial" w:cs="Arial" w:eastAsia="Arial" w:hAnsi="Arial"/>
          <w:sz w:val="22"/>
          <w:szCs w:val="22"/>
        </w:rPr>
        <w:t xml:space="preserve">Zetter, K. (2014). Countdown to Zero Day. Crown Publishers. [Chapters 12–14 on the operational security processes that failed to detect Stuxnet provide vivid case study material for Sections 13.3 and 13.6.]</w:t>
      </w:r>
    </w:p>
    <w:p>
      <w:pPr>
        <w:pStyle w:val="ListParagraph"/>
        <w:numPr>
          <w:ilvl w:val="0"/>
          <w:numId w:val="2"/>
        </w:numPr>
        <w:spacing w:after="100" w:line="276"/>
      </w:pPr>
      <w:r>
        <w:rPr>
          <w:rFonts w:ascii="Arial" w:cs="Arial" w:eastAsia="Arial" w:hAnsi="Arial"/>
          <w:sz w:val="22"/>
          <w:szCs w:val="22"/>
        </w:rPr>
        <w:t xml:space="preserve">Carnegie Mellon CERT Insider Threat Center (2019). Common Sense Guide to Mitigating Insider Threats (6th ed.). [The definitive practitioner reference for insider threat management — directly applicable to Section 13.5.]</w:t>
      </w:r>
    </w:p>
    <w:p>
      <w:pPr>
        <w:pStyle w:val="Heading2"/>
        <w:spacing w:after="160" w:before="280"/>
      </w:pPr>
      <w:r>
        <w:rPr>
          <w:rFonts w:ascii="Arial" w:cs="Arial" w:eastAsia="Arial" w:hAnsi="Arial"/>
          <w:b/>
          <w:bCs/>
          <w:color w:val="2E75B6"/>
          <w:sz w:val="26"/>
          <w:szCs w:val="26"/>
        </w:rPr>
        <w:t xml:space="preserve">Practical Resources</w:t>
      </w:r>
    </w:p>
    <w:p>
      <w:pPr>
        <w:pStyle w:val="ListParagraph"/>
        <w:numPr>
          <w:ilvl w:val="0"/>
          <w:numId w:val="2"/>
        </w:numPr>
        <w:spacing w:after="100" w:line="276"/>
      </w:pPr>
      <w:r>
        <w:rPr>
          <w:rFonts w:ascii="Arial" w:cs="Arial" w:eastAsia="Arial" w:hAnsi="Arial"/>
          <w:sz w:val="22"/>
          <w:szCs w:val="22"/>
        </w:rPr>
        <w:t xml:space="preserve">CISA Tabletop Exercise Packages (CTEPs): https://www.cisa.gov/resources-tools/services/cisa-tabletop-exercise-packages — Pre-developed OT security exercise scenarios for critical infrastructure sectors, adaptable to specific facility contexts.</w:t>
      </w:r>
    </w:p>
    <w:p>
      <w:pPr>
        <w:pStyle w:val="ListParagraph"/>
        <w:numPr>
          <w:ilvl w:val="0"/>
          <w:numId w:val="2"/>
        </w:numPr>
        <w:spacing w:after="100" w:line="276"/>
      </w:pPr>
      <w:r>
        <w:rPr>
          <w:rFonts w:ascii="Arial" w:cs="Arial" w:eastAsia="Arial" w:hAnsi="Arial"/>
          <w:sz w:val="22"/>
          <w:szCs w:val="22"/>
        </w:rPr>
        <w:t xml:space="preserve">SANS ICS Curriculum: https://www.sans.org/ics/ — Industry-standard OT security training including incident response and forensics courses directly applicable to Section 13.2.</w:t>
      </w:r>
    </w:p>
    <w:p>
      <w:pPr>
        <w:pStyle w:val="ListParagraph"/>
        <w:numPr>
          <w:ilvl w:val="0"/>
          <w:numId w:val="2"/>
        </w:numPr>
        <w:spacing w:after="100" w:line="276"/>
      </w:pPr>
      <w:r>
        <w:rPr>
          <w:rFonts w:ascii="Arial" w:cs="Arial" w:eastAsia="Arial" w:hAnsi="Arial"/>
          <w:sz w:val="22"/>
          <w:szCs w:val="22"/>
        </w:rPr>
        <w:t xml:space="preserve">ICS-CERT Training: https://ics-cert.us-cert.gov/Training-Available-Through-ICS-CERT — Free and subsidised training for critical infrastructure OT security practitioners.</w:t>
      </w:r>
    </w:p>
    <w:p>
      <w:r>
        <w:br w:type="page"/>
      </w:r>
    </w:p>
    <w:p>
      <w:pPr>
        <w:pStyle w:val="Heading1"/>
        <w:spacing w:after="200" w:before="400"/>
      </w:pPr>
      <w:r>
        <w:rPr>
          <w:rFonts w:ascii="Arial" w:cs="Arial" w:eastAsia="Arial" w:hAnsi="Arial"/>
          <w:b/>
          <w:bCs/>
          <w:color w:val="1F3864"/>
          <w:sz w:val="34"/>
          <w:szCs w:val="34"/>
        </w:rPr>
        <w:t xml:space="preserve">Review Questions and Exercises</w:t>
      </w:r>
    </w:p>
    <w:p>
      <w:pPr>
        <w:spacing w:after="160" w:line="276"/>
        <w:jc w:val="both"/>
      </w:pPr>
      <w:r>
        <w:rPr>
          <w:rFonts w:ascii="Arial" w:cs="Arial" w:eastAsia="Arial" w:hAnsi="Arial"/>
          <w:b w:val="false"/>
          <w:bCs w:val="false"/>
          <w:color w:val="000000"/>
          <w:sz w:val="22"/>
          <w:szCs w:val="22"/>
        </w:rPr>
        <w:t xml:space="preserve">The following questions are structured at three cognitive levels: Level 1 (knowledge and comprehension), Level 2 (application and analysis), and Level 3 (synthesis and critical evaluation).</w:t>
      </w:r>
    </w:p>
    <w:p>
      <w:pPr>
        <w:pStyle w:val="Heading2"/>
        <w:spacing w:after="160" w:before="280"/>
      </w:pPr>
      <w:r>
        <w:rPr>
          <w:rFonts w:ascii="Arial" w:cs="Arial" w:eastAsia="Arial" w:hAnsi="Arial"/>
          <w:b/>
          <w:bCs/>
          <w:color w:val="2E75B6"/>
          <w:sz w:val="26"/>
          <w:szCs w:val="26"/>
        </w:rPr>
        <w:t xml:space="preserve">Part A — Knowledge and Comprehension (Level 1)</w:t>
      </w:r>
    </w:p>
    <w:p>
      <w:pPr>
        <w:pStyle w:val="Heading3"/>
        <w:spacing w:after="120" w:before="220"/>
      </w:pPr>
      <w:r>
        <w:rPr>
          <w:rFonts w:ascii="Arial" w:cs="Arial" w:eastAsia="Arial" w:hAnsi="Arial"/>
          <w:b/>
          <w:bCs/>
          <w:color w:val="1F3864"/>
          <w:sz w:val="23"/>
          <w:szCs w:val="23"/>
        </w:rPr>
        <w:t xml:space="preserve">A1.</w:t>
      </w:r>
    </w:p>
    <w:p>
      <w:pPr>
        <w:spacing w:after="160" w:line="276"/>
        <w:jc w:val="both"/>
      </w:pPr>
      <w:r>
        <w:rPr>
          <w:rFonts w:ascii="Arial" w:cs="Arial" w:eastAsia="Arial" w:hAnsi="Arial"/>
          <w:b w:val="false"/>
          <w:bCs w:val="false"/>
          <w:color w:val="000000"/>
          <w:sz w:val="22"/>
          <w:szCs w:val="22"/>
        </w:rPr>
        <w:t xml:space="preserve">Describe the six phases of the OT security incident response lifecycle (Table 13.1) and explain, for each phase, the primary OT-specific consideration that distinguishes OT incident response from IT incident response. Which phase do you consider most critical to the effectiveness of the OT incident response capability, and why? Your answer should reference specific IEC 62443-2-1 requirements and at least two documented OT incident case studies.</w:t>
      </w:r>
    </w:p>
    <w:p>
      <w:pPr>
        <w:pStyle w:val="Heading3"/>
        <w:spacing w:after="120" w:before="220"/>
      </w:pPr>
      <w:r>
        <w:rPr>
          <w:rFonts w:ascii="Arial" w:cs="Arial" w:eastAsia="Arial" w:hAnsi="Arial"/>
          <w:b/>
          <w:bCs/>
          <w:color w:val="1F3864"/>
          <w:sz w:val="23"/>
          <w:szCs w:val="23"/>
        </w:rPr>
        <w:t xml:space="preserve">A2.</w:t>
      </w:r>
    </w:p>
    <w:p>
      <w:pPr>
        <w:spacing w:after="160" w:line="276"/>
        <w:jc w:val="both"/>
      </w:pPr>
      <w:r>
        <w:rPr>
          <w:rFonts w:ascii="Arial" w:cs="Arial" w:eastAsia="Arial" w:hAnsi="Arial"/>
          <w:b w:val="false"/>
          <w:bCs w:val="false"/>
          <w:color w:val="000000"/>
          <w:sz w:val="22"/>
          <w:szCs w:val="22"/>
        </w:rPr>
        <w:t xml:space="preserve">Explain the four-level OT incident severity classification framework (Table 13.2). For each severity level, describe: (i) the defining criteria; (ii) the required initial response timeline; and (iii) the notification requirements. Explain why consequence and operational impact — rather than technical indicators such as CVSS score or malware family — are the appropriate primary classification criteria for OT incidents.</w:t>
      </w:r>
    </w:p>
    <w:p>
      <w:pPr>
        <w:pStyle w:val="Heading3"/>
        <w:spacing w:after="120" w:before="220"/>
      </w:pPr>
      <w:r>
        <w:rPr>
          <w:rFonts w:ascii="Arial" w:cs="Arial" w:eastAsia="Arial" w:hAnsi="Arial"/>
          <w:b/>
          <w:bCs/>
          <w:color w:val="1F3864"/>
          <w:sz w:val="23"/>
          <w:szCs w:val="23"/>
        </w:rPr>
        <w:t xml:space="preserve">A3.</w:t>
      </w:r>
    </w:p>
    <w:p>
      <w:pPr>
        <w:spacing w:after="160" w:line="276"/>
        <w:jc w:val="both"/>
      </w:pPr>
      <w:r>
        <w:rPr>
          <w:rFonts w:ascii="Arial" w:cs="Arial" w:eastAsia="Arial" w:hAnsi="Arial"/>
          <w:b w:val="false"/>
          <w:bCs w:val="false"/>
          <w:color w:val="000000"/>
          <w:sz w:val="22"/>
          <w:szCs w:val="22"/>
        </w:rPr>
        <w:t xml:space="preserve">Describe the three OT change types (Emergency, Standard, and Routine) defined in Section 13.3.1 and Table 13.3. For each change type, explain: (i) the defining characteristics; (ii) the required security review process; and (iii) the authorisation requirements. Give one specific example of a change at the Sunrise Refinery that would be classified in each category, with justification.</w:t>
      </w:r>
    </w:p>
    <w:p>
      <w:pPr>
        <w:pStyle w:val="Heading3"/>
        <w:spacing w:after="120" w:before="220"/>
      </w:pPr>
      <w:r>
        <w:rPr>
          <w:rFonts w:ascii="Arial" w:cs="Arial" w:eastAsia="Arial" w:hAnsi="Arial"/>
          <w:b/>
          <w:bCs/>
          <w:color w:val="1F3864"/>
          <w:sz w:val="23"/>
          <w:szCs w:val="23"/>
        </w:rPr>
        <w:t xml:space="preserve">A4.</w:t>
      </w:r>
    </w:p>
    <w:p>
      <w:pPr>
        <w:spacing w:after="160" w:line="276"/>
        <w:jc w:val="both"/>
      </w:pPr>
      <w:r>
        <w:rPr>
          <w:rFonts w:ascii="Arial" w:cs="Arial" w:eastAsia="Arial" w:hAnsi="Arial"/>
          <w:b w:val="false"/>
          <w:bCs w:val="false"/>
          <w:color w:val="000000"/>
          <w:sz w:val="22"/>
          <w:szCs w:val="22"/>
        </w:rPr>
        <w:t xml:space="preserve">Explain the vendor security management lifecycle described in Table 13.4. For each stage (Pre-Engagement Assessment, Contract Negotiation, Onboarding, Ongoing Management, Contract Termination), explain the key security objective of that stage and identify the single most important security control or output. What are the three most common vendor security management failure modes in OT environments, and what specific controls address each?</w:t>
      </w:r>
    </w:p>
    <w:p>
      <w:pPr>
        <w:pStyle w:val="Heading3"/>
        <w:spacing w:after="120" w:before="220"/>
      </w:pPr>
      <w:r>
        <w:rPr>
          <w:rFonts w:ascii="Arial" w:cs="Arial" w:eastAsia="Arial" w:hAnsi="Arial"/>
          <w:b/>
          <w:bCs/>
          <w:color w:val="1F3864"/>
          <w:sz w:val="23"/>
          <w:szCs w:val="23"/>
        </w:rPr>
        <w:t xml:space="preserve">A5.</w:t>
      </w:r>
    </w:p>
    <w:p>
      <w:pPr>
        <w:spacing w:after="160" w:line="276"/>
        <w:jc w:val="both"/>
      </w:pPr>
      <w:r>
        <w:rPr>
          <w:rFonts w:ascii="Arial" w:cs="Arial" w:eastAsia="Arial" w:hAnsi="Arial"/>
          <w:b w:val="false"/>
          <w:bCs w:val="false"/>
          <w:color w:val="000000"/>
          <w:sz w:val="22"/>
          <w:szCs w:val="22"/>
        </w:rPr>
        <w:t xml:space="preserve">Describe the four tiers of the personnel security screening framework (Table 13.5). What is the security rationale for differentiating screening requirements by role tier? For a Tier 1 (High) role — such as the OT Security Manager — explain what each element of the minimum screening requirement (criminal records check, employment history verification, financial probity check) is designed to detect and why it is specifically relevant to OT security.</w:t>
      </w:r>
    </w:p>
    <w:p>
      <w:pPr>
        <w:pStyle w:val="Heading3"/>
        <w:spacing w:after="120" w:before="220"/>
      </w:pPr>
      <w:r>
        <w:rPr>
          <w:rFonts w:ascii="Arial" w:cs="Arial" w:eastAsia="Arial" w:hAnsi="Arial"/>
          <w:b/>
          <w:bCs/>
          <w:color w:val="1F3864"/>
          <w:sz w:val="23"/>
          <w:szCs w:val="23"/>
        </w:rPr>
        <w:t xml:space="preserve">A6.</w:t>
      </w:r>
    </w:p>
    <w:p>
      <w:pPr>
        <w:spacing w:after="160" w:line="276"/>
        <w:jc w:val="both"/>
      </w:pPr>
      <w:r>
        <w:rPr>
          <w:rFonts w:ascii="Arial" w:cs="Arial" w:eastAsia="Arial" w:hAnsi="Arial"/>
          <w:b w:val="false"/>
          <w:bCs w:val="false"/>
          <w:color w:val="000000"/>
          <w:sz w:val="22"/>
          <w:szCs w:val="22"/>
        </w:rPr>
        <w:t xml:space="preserve">Explain the five types of security exercise in the programme described in Table 13.6 — Knowledge Test, Tabletop Exercise, Functional Exercise, Full-Scale Exercise, and Red Team Assessment. For each type, explain: (i) what it tests; (ii) who participates; and (iii) what the primary learning outcome is. Why is it insufficient to rely solely on tabletop exercises as the exercise programme, and what does each additional exercise type add to the capability development that tabletops cannot provide?</w:t>
      </w:r>
    </w:p>
    <w:p>
      <w:pPr>
        <w:pStyle w:val="Heading2"/>
        <w:spacing w:after="160" w:before="280"/>
      </w:pPr>
      <w:r>
        <w:rPr>
          <w:rFonts w:ascii="Arial" w:cs="Arial" w:eastAsia="Arial" w:hAnsi="Arial"/>
          <w:b/>
          <w:bCs/>
          <w:color w:val="2E75B6"/>
          <w:sz w:val="26"/>
          <w:szCs w:val="26"/>
        </w:rPr>
        <w:t xml:space="preserve">Part B — Application and Analysis (Level 2)</w:t>
      </w:r>
    </w:p>
    <w:p>
      <w:pPr>
        <w:pStyle w:val="Heading3"/>
        <w:spacing w:after="120" w:before="220"/>
      </w:pPr>
      <w:r>
        <w:rPr>
          <w:rFonts w:ascii="Arial" w:cs="Arial" w:eastAsia="Arial" w:hAnsi="Arial"/>
          <w:b/>
          <w:bCs/>
          <w:color w:val="1F3864"/>
          <w:sz w:val="23"/>
          <w:szCs w:val="23"/>
        </w:rPr>
        <w:t xml:space="preserve">B1. — Incident Response Plan Development</w:t>
      </w:r>
    </w:p>
    <w:p>
      <w:pPr>
        <w:spacing w:after="160" w:line="276"/>
        <w:jc w:val="both"/>
      </w:pPr>
      <w:r>
        <w:rPr>
          <w:rFonts w:ascii="Arial" w:cs="Arial" w:eastAsia="Arial" w:hAnsi="Arial"/>
          <w:b w:val="false"/>
          <w:bCs w:val="false"/>
          <w:color w:val="000000"/>
          <w:sz w:val="22"/>
          <w:szCs w:val="22"/>
        </w:rPr>
        <w:t xml:space="preserve">You are the OT Security Manager at a major petroleum terminal that processes 30 million tonnes of product per year and is subject to COMAH Top Tier regulations. The terminal has been operating the CSMS for 12 months and has just completed the governance and technical control implementation phases. Your task is to develop the OT Incident Response Plan.</w:t>
      </w:r>
    </w:p>
    <w:p>
      <w:pPr>
        <w:spacing w:after="160" w:line="276"/>
        <w:jc w:val="both"/>
      </w:pPr>
      <w:r>
        <w:rPr>
          <w:rFonts w:ascii="Arial" w:cs="Arial" w:eastAsia="Arial" w:hAnsi="Arial"/>
          <w:b w:val="false"/>
          <w:bCs w:val="false"/>
          <w:color w:val="000000"/>
          <w:sz w:val="22"/>
          <w:szCs w:val="22"/>
        </w:rPr>
        <w:t xml:space="preserve">Develop the complete OT Incident Response Plan for the terminal. Your plan must include:</w:t>
      </w:r>
    </w:p>
    <w:p>
      <w:pPr>
        <w:pStyle w:val="ListParagraph"/>
        <w:numPr>
          <w:ilvl w:val="0"/>
          <w:numId w:val="3"/>
        </w:numPr>
        <w:spacing w:after="100" w:line="276"/>
      </w:pPr>
      <w:r>
        <w:rPr>
          <w:rFonts w:ascii="Arial" w:cs="Arial" w:eastAsia="Arial" w:hAnsi="Arial"/>
          <w:sz w:val="22"/>
          <w:szCs w:val="22"/>
        </w:rPr>
        <w:t xml:space="preserve">A severity classification framework calibrated to the terminal's specific risk profile — specifically addressing: ransomware in the OT network; loss of operator visibility on any tank farm; a cyber-initiated product release or fire; and a suspected SIS compromise.</w:t>
      </w:r>
    </w:p>
    <w:p>
      <w:pPr>
        <w:pStyle w:val="ListParagraph"/>
        <w:numPr>
          <w:ilvl w:val="0"/>
          <w:numId w:val="3"/>
        </w:numPr>
        <w:spacing w:after="100" w:line="276"/>
      </w:pPr>
      <w:r>
        <w:rPr>
          <w:rFonts w:ascii="Arial" w:cs="Arial" w:eastAsia="Arial" w:hAnsi="Arial"/>
          <w:sz w:val="22"/>
          <w:szCs w:val="22"/>
        </w:rPr>
        <w:t xml:space="preserve">A notification and escalation tree that addresses: the on-call OT Security Analyst (24/7); the OT Security Manager; the Operations Director; the Terminal General Manager; the regulatory authority (COMAH Competent Authority — HSE/Environment Agency); the company's cyber insurance provider; and external OT forensics support.</w:t>
      </w:r>
    </w:p>
    <w:p>
      <w:pPr>
        <w:pStyle w:val="ListParagraph"/>
        <w:numPr>
          <w:ilvl w:val="0"/>
          <w:numId w:val="3"/>
        </w:numPr>
        <w:spacing w:after="100" w:line="276"/>
      </w:pPr>
      <w:r>
        <w:rPr>
          <w:rFonts w:ascii="Arial" w:cs="Arial" w:eastAsia="Arial" w:hAnsi="Arial"/>
          <w:sz w:val="22"/>
          <w:szCs w:val="22"/>
        </w:rPr>
        <w:t xml:space="preserve">A detailed Phase 3 (Containment) procedure for a SEV 1 incident — specifically addressing the OT isolation decision for a scenario in which the SCADA server is potentially compromised while the terminal has 14 vessels currently in berth with product transfers in progress.</w:t>
      </w:r>
    </w:p>
    <w:p>
      <w:pPr>
        <w:pStyle w:val="ListParagraph"/>
        <w:numPr>
          <w:ilvl w:val="0"/>
          <w:numId w:val="3"/>
        </w:numPr>
        <w:spacing w:after="100" w:line="276"/>
      </w:pPr>
      <w:r>
        <w:rPr>
          <w:rFonts w:ascii="Arial" w:cs="Arial" w:eastAsia="Arial" w:hAnsi="Arial"/>
          <w:sz w:val="22"/>
          <w:szCs w:val="22"/>
        </w:rPr>
        <w:t xml:space="preserve">The regulatory notification requirements for a COMAH Top Tier terminal under a cyber-initiated incident, with specific reference to the notification trigger criteria, the notification timeline, and the content required for the initial notification.</w:t>
      </w:r>
    </w:p>
    <w:p>
      <w:pPr>
        <w:pStyle w:val="ListParagraph"/>
        <w:numPr>
          <w:ilvl w:val="0"/>
          <w:numId w:val="3"/>
        </w:numPr>
        <w:spacing w:after="100" w:line="276"/>
      </w:pPr>
      <w:r>
        <w:rPr>
          <w:rFonts w:ascii="Arial" w:cs="Arial" w:eastAsia="Arial" w:hAnsi="Arial"/>
          <w:sz w:val="22"/>
          <w:szCs w:val="22"/>
        </w:rPr>
        <w:t xml:space="preserve">A post-incident review process that includes: the review timeline; the participants; the specific questions the review must address; and the mechanism for translating review findings into CSMS improvement actions.</w:t>
      </w:r>
    </w:p>
    <w:p>
      <w:pPr>
        <w:pStyle w:val="Heading3"/>
        <w:spacing w:after="120" w:before="220"/>
      </w:pPr>
      <w:r>
        <w:rPr>
          <w:rFonts w:ascii="Arial" w:cs="Arial" w:eastAsia="Arial" w:hAnsi="Arial"/>
          <w:b/>
          <w:bCs/>
          <w:color w:val="1F3864"/>
          <w:sz w:val="23"/>
          <w:szCs w:val="23"/>
        </w:rPr>
        <w:t xml:space="preserve">B2. — Change Management Security Review</w:t>
      </w:r>
    </w:p>
    <w:p>
      <w:pPr>
        <w:spacing w:after="160" w:line="276"/>
        <w:jc w:val="both"/>
      </w:pPr>
      <w:r>
        <w:rPr>
          <w:rFonts w:ascii="Arial" w:cs="Arial" w:eastAsia="Arial" w:hAnsi="Arial"/>
          <w:b w:val="false"/>
          <w:bCs w:val="false"/>
          <w:color w:val="000000"/>
          <w:sz w:val="22"/>
          <w:szCs w:val="22"/>
        </w:rPr>
        <w:t xml:space="preserve">The following four change requests have been submitted to the Sunrise Refinery OT Change Advisory Board. For each change request, you are required to: (i) classify the change (Emergency, Standard, or Routine); (ii) conduct the security review (using the security review dimensions from Section 13.3.2); (iii) specify any conditions or compensating controls required before authorisation; and (iv) specify the authorisation requirements.</w:t>
      </w:r>
    </w:p>
    <w:p>
      <w:pPr>
        <w:pStyle w:val="ListParagraph"/>
        <w:numPr>
          <w:ilvl w:val="0"/>
          <w:numId w:val="2"/>
        </w:numPr>
        <w:spacing w:after="100" w:line="276"/>
      </w:pPr>
      <w:r>
        <w:rPr>
          <w:rFonts w:ascii="Arial" w:cs="Arial" w:eastAsia="Arial" w:hAnsi="Arial"/>
          <w:sz w:val="22"/>
          <w:szCs w:val="22"/>
        </w:rPr>
        <w:t xml:space="preserve">RFC-001: The instrument engineer has identified that the DCS historian server (running OSIsoft PI 2018) has a published vulnerability (CVSS 7.2, network attack vector, authenticated privilege escalation). OSIsoft has released a patch. The patch requires a 4-hour maintenance window on the historian server. The historian is not a safety-critical system, but its unavailability will prevent production reporting to the ERP for the duration of the patch window.</w:t>
      </w:r>
    </w:p>
    <w:p>
      <w:pPr>
        <w:pStyle w:val="ListParagraph"/>
        <w:numPr>
          <w:ilvl w:val="0"/>
          <w:numId w:val="2"/>
        </w:numPr>
        <w:spacing w:after="100" w:line="276"/>
      </w:pPr>
      <w:r>
        <w:rPr>
          <w:rFonts w:ascii="Arial" w:cs="Arial" w:eastAsia="Arial" w:hAnsi="Arial"/>
          <w:sz w:val="22"/>
          <w:szCs w:val="22"/>
        </w:rPr>
        <w:t xml:space="preserve">RFC-002: A new Emerson DeltaV DCS module is being installed for a new process unit (Unit 7). The module will be connected to the existing Level 2 process network using EtherNet/IP. The engineering workstation will require a new software licence for the DeltaV Engineering tools. The process unit will operate at SL 2. The installation is planned for the January maintenance shutdown.</w:t>
      </w:r>
    </w:p>
    <w:p>
      <w:pPr>
        <w:pStyle w:val="ListParagraph"/>
        <w:numPr>
          <w:ilvl w:val="0"/>
          <w:numId w:val="2"/>
        </w:numPr>
        <w:spacing w:after="100" w:line="276"/>
      </w:pPr>
      <w:r>
        <w:rPr>
          <w:rFonts w:ascii="Arial" w:cs="Arial" w:eastAsia="Arial" w:hAnsi="Arial"/>
          <w:sz w:val="22"/>
          <w:szCs w:val="22"/>
        </w:rPr>
        <w:t xml:space="preserve">RFC-003: Operations has requested that a consumer-grade Wi-Fi access point be installed in the control room annex to allow operators to access the company intranet on their mobile phones during breaks. The Wi-Fi access point would be connected to the corporate IT LAN (not the OT network).</w:t>
      </w:r>
    </w:p>
    <w:p>
      <w:pPr>
        <w:pStyle w:val="ListParagraph"/>
        <w:numPr>
          <w:ilvl w:val="0"/>
          <w:numId w:val="2"/>
        </w:numPr>
        <w:spacing w:after="100" w:line="276"/>
      </w:pPr>
      <w:r>
        <w:rPr>
          <w:rFonts w:ascii="Arial" w:cs="Arial" w:eastAsia="Arial" w:hAnsi="Arial"/>
          <w:sz w:val="22"/>
          <w:szCs w:val="22"/>
        </w:rPr>
        <w:t xml:space="preserve">RFC-004: Emergency — the OT-IDS has detected active exploitation of CVE-2024-XXXX on the Unit 3 SCADA workstation. The vendor has released an emergency patch. The SCADA workstation is currently in service managing the Unit 3 process. The OT Security Manager requires immediate action.</w:t>
      </w:r>
    </w:p>
    <w:p>
      <w:pPr>
        <w:pStyle w:val="Heading3"/>
        <w:spacing w:after="120" w:before="220"/>
      </w:pPr>
      <w:r>
        <w:rPr>
          <w:rFonts w:ascii="Arial" w:cs="Arial" w:eastAsia="Arial" w:hAnsi="Arial"/>
          <w:b/>
          <w:bCs/>
          <w:color w:val="1F3864"/>
          <w:sz w:val="23"/>
          <w:szCs w:val="23"/>
        </w:rPr>
        <w:t xml:space="preserve">B3. — Vendor Security Assessment</w:t>
      </w:r>
    </w:p>
    <w:p>
      <w:pPr>
        <w:spacing w:after="160" w:line="276"/>
        <w:jc w:val="both"/>
      </w:pPr>
      <w:r>
        <w:rPr>
          <w:rFonts w:ascii="Arial" w:cs="Arial" w:eastAsia="Arial" w:hAnsi="Arial"/>
          <w:b w:val="false"/>
          <w:bCs w:val="false"/>
          <w:color w:val="000000"/>
          <w:sz w:val="22"/>
          <w:szCs w:val="22"/>
        </w:rPr>
        <w:t xml:space="preserve">Sunrise Refinery is considering engaging a new vendor — OT Analytics Co — to provide a cloud-based process analytics service. OT Analytics Co would receive real-time process data from the Sunrise historian and would return analytics outputs (optimisation recommendations, predictive maintenance alerts) through an API integrated into the DCS engineering workstation. The service would require:</w:t>
      </w:r>
    </w:p>
    <w:p>
      <w:pPr>
        <w:pStyle w:val="ListParagraph"/>
        <w:numPr>
          <w:ilvl w:val="0"/>
          <w:numId w:val="2"/>
        </w:numPr>
        <w:spacing w:after="100" w:line="276"/>
      </w:pPr>
      <w:r>
        <w:rPr>
          <w:rFonts w:ascii="Arial" w:cs="Arial" w:eastAsia="Arial" w:hAnsi="Arial"/>
          <w:sz w:val="22"/>
          <w:szCs w:val="22"/>
        </w:rPr>
        <w:t xml:space="preserve">A continuous data feed from the Sunrise OT historian to OT Analytics Co's cloud platform (AWS)</w:t>
      </w:r>
    </w:p>
    <w:p>
      <w:pPr>
        <w:pStyle w:val="ListParagraph"/>
        <w:numPr>
          <w:ilvl w:val="0"/>
          <w:numId w:val="2"/>
        </w:numPr>
        <w:spacing w:after="100" w:line="276"/>
      </w:pPr>
      <w:r>
        <w:rPr>
          <w:rFonts w:ascii="Arial" w:cs="Arial" w:eastAsia="Arial" w:hAnsi="Arial"/>
          <w:sz w:val="22"/>
          <w:szCs w:val="22"/>
        </w:rPr>
        <w:t xml:space="preserve">An API connection from OT Analytics Co's cloud platform to the Sunrise DCS engineering workstation</w:t>
      </w:r>
    </w:p>
    <w:p>
      <w:pPr>
        <w:pStyle w:val="ListParagraph"/>
        <w:numPr>
          <w:ilvl w:val="0"/>
          <w:numId w:val="2"/>
        </w:numPr>
        <w:spacing w:after="100" w:line="276"/>
      </w:pPr>
      <w:r>
        <w:rPr>
          <w:rFonts w:ascii="Arial" w:cs="Arial" w:eastAsia="Arial" w:hAnsi="Arial"/>
          <w:sz w:val="22"/>
          <w:szCs w:val="22"/>
        </w:rPr>
        <w:t xml:space="preserve">OT Analytics Co personnel to have read-only access to the Sunrise OT historian for configuration purposes</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Conduct a complete pre-engagement vendor security assessment for OT Analytics Co. Your assessment must:</w:t>
      </w:r>
    </w:p>
    <w:p>
      <w:pPr>
        <w:pStyle w:val="ListParagraph"/>
        <w:numPr>
          <w:ilvl w:val="0"/>
          <w:numId w:val="3"/>
        </w:numPr>
        <w:spacing w:after="100" w:line="276"/>
      </w:pPr>
      <w:r>
        <w:rPr>
          <w:rFonts w:ascii="Arial" w:cs="Arial" w:eastAsia="Arial" w:hAnsi="Arial"/>
          <w:sz w:val="22"/>
          <w:szCs w:val="22"/>
        </w:rPr>
        <w:t xml:space="preserve">Identify the specific security risks created by this vendor engagement, with reference to the zone and conduit architecture and the vendor security threat analysis.</w:t>
      </w:r>
    </w:p>
    <w:p>
      <w:pPr>
        <w:pStyle w:val="ListParagraph"/>
        <w:numPr>
          <w:ilvl w:val="0"/>
          <w:numId w:val="3"/>
        </w:numPr>
        <w:spacing w:after="100" w:line="276"/>
      </w:pPr>
      <w:r>
        <w:rPr>
          <w:rFonts w:ascii="Arial" w:cs="Arial" w:eastAsia="Arial" w:hAnsi="Arial"/>
          <w:sz w:val="22"/>
          <w:szCs w:val="22"/>
        </w:rPr>
        <w:t xml:space="preserve">Develop the security questionnaire that OT Analytics Co must complete before approval, with at least 15 specific questions covering the dimensions in Section 13.4.2.</w:t>
      </w:r>
    </w:p>
    <w:p>
      <w:pPr>
        <w:pStyle w:val="ListParagraph"/>
        <w:numPr>
          <w:ilvl w:val="0"/>
          <w:numId w:val="3"/>
        </w:numPr>
        <w:spacing w:after="100" w:line="276"/>
      </w:pPr>
      <w:r>
        <w:rPr>
          <w:rFonts w:ascii="Arial" w:cs="Arial" w:eastAsia="Arial" w:hAnsi="Arial"/>
          <w:sz w:val="22"/>
          <w:szCs w:val="22"/>
        </w:rPr>
        <w:t xml:space="preserve">Specify the contractual security requirements that must be included in the OT Analytics Co service agreement.</w:t>
      </w:r>
    </w:p>
    <w:p>
      <w:pPr>
        <w:pStyle w:val="ListParagraph"/>
        <w:numPr>
          <w:ilvl w:val="0"/>
          <w:numId w:val="3"/>
        </w:numPr>
        <w:spacing w:after="100" w:line="276"/>
      </w:pPr>
      <w:r>
        <w:rPr>
          <w:rFonts w:ascii="Arial" w:cs="Arial" w:eastAsia="Arial" w:hAnsi="Arial"/>
          <w:sz w:val="22"/>
          <w:szCs w:val="22"/>
        </w:rPr>
        <w:t xml:space="preserve">Assess whether the proposed architecture (continuous data feed from historian to cloud; API connection from cloud to DCS engineering workstation) is consistent with the Sunrise zone and conduit architecture and the data flow controls specified in Section 12.8. If not, propose an alternative architecture that achieves the operational objective while maintaining the OT security posture.</w:t>
      </w:r>
    </w:p>
    <w:p>
      <w:pPr>
        <w:pStyle w:val="ListParagraph"/>
        <w:numPr>
          <w:ilvl w:val="0"/>
          <w:numId w:val="3"/>
        </w:numPr>
        <w:spacing w:after="100" w:line="276"/>
      </w:pPr>
      <w:r>
        <w:rPr>
          <w:rFonts w:ascii="Arial" w:cs="Arial" w:eastAsia="Arial" w:hAnsi="Arial"/>
          <w:sz w:val="22"/>
          <w:szCs w:val="22"/>
        </w:rPr>
        <w:t xml:space="preserve">Specify the ongoing management activities that would be required for this vendor relationship, including the access review frequency, the session monitoring requirements, and the breach notification obligations.</w:t>
      </w:r>
    </w:p>
    <w:p>
      <w:pPr>
        <w:pStyle w:val="Heading3"/>
        <w:spacing w:after="120" w:before="220"/>
      </w:pPr>
      <w:r>
        <w:rPr>
          <w:rFonts w:ascii="Arial" w:cs="Arial" w:eastAsia="Arial" w:hAnsi="Arial"/>
          <w:b/>
          <w:bCs/>
          <w:color w:val="1F3864"/>
          <w:sz w:val="23"/>
          <w:szCs w:val="23"/>
        </w:rPr>
        <w:t xml:space="preserve">B4. — Exercise Design: Insider Threat Scenario</w:t>
      </w:r>
    </w:p>
    <w:p>
      <w:pPr>
        <w:spacing w:after="160" w:line="276"/>
        <w:jc w:val="both"/>
      </w:pPr>
      <w:r>
        <w:rPr>
          <w:rFonts w:ascii="Arial" w:cs="Arial" w:eastAsia="Arial" w:hAnsi="Arial"/>
          <w:b w:val="false"/>
          <w:bCs w:val="false"/>
          <w:color w:val="000000"/>
          <w:sz w:val="22"/>
          <w:szCs w:val="22"/>
        </w:rPr>
        <w:t xml:space="preserve">You are designing a tabletop exercise for the Sunrise Refinery CSMS Governance Committee at Month 24. The learning objectives for this exercise are: (i) to test the response to an insider threat scenario; (ii) to test the cross-functional decision-making between HR, OT Security, Operations, and Legal; and (iii) to validate the personnel departure procedure and access revocation process.</w:t>
      </w:r>
    </w:p>
    <w:p>
      <w:pPr>
        <w:spacing w:after="160" w:line="276"/>
        <w:jc w:val="both"/>
      </w:pPr>
      <w:r>
        <w:rPr>
          <w:rFonts w:ascii="Arial" w:cs="Arial" w:eastAsia="Arial" w:hAnsi="Arial"/>
          <w:b w:val="false"/>
          <w:bCs w:val="false"/>
          <w:color w:val="000000"/>
          <w:sz w:val="22"/>
          <w:szCs w:val="22"/>
        </w:rPr>
        <w:t xml:space="preserve">Design the complete tabletop exercise. Your design must include:</w:t>
      </w:r>
    </w:p>
    <w:p>
      <w:pPr>
        <w:pStyle w:val="ListParagraph"/>
        <w:numPr>
          <w:ilvl w:val="0"/>
          <w:numId w:val="3"/>
        </w:numPr>
        <w:spacing w:after="100" w:line="276"/>
      </w:pPr>
      <w:r>
        <w:rPr>
          <w:rFonts w:ascii="Arial" w:cs="Arial" w:eastAsia="Arial" w:hAnsi="Arial"/>
          <w:sz w:val="22"/>
          <w:szCs w:val="22"/>
        </w:rPr>
        <w:t xml:space="preserve">A scenario narrative (approximately 600 words) that establishes the insider threat situation, grounded in the Sunrise Refinery context. The scenario should begin with an ambiguous situation that could indicate either a security incident or a benign explanation, and should progress through at least two inject events that force the team to make increasingly difficult cross-functional decisions.</w:t>
      </w:r>
    </w:p>
    <w:p>
      <w:pPr>
        <w:pStyle w:val="ListParagraph"/>
        <w:numPr>
          <w:ilvl w:val="0"/>
          <w:numId w:val="3"/>
        </w:numPr>
        <w:spacing w:after="100" w:line="276"/>
      </w:pPr>
      <w:r>
        <w:rPr>
          <w:rFonts w:ascii="Arial" w:cs="Arial" w:eastAsia="Arial" w:hAnsi="Arial"/>
          <w:sz w:val="22"/>
          <w:szCs w:val="22"/>
        </w:rPr>
        <w:t xml:space="preserve">Six decision points in the scenario, each with a specific facilitated question, the expected team discussion, and the learning objective addressed by that decision point.</w:t>
      </w:r>
    </w:p>
    <w:p>
      <w:pPr>
        <w:pStyle w:val="ListParagraph"/>
        <w:numPr>
          <w:ilvl w:val="0"/>
          <w:numId w:val="3"/>
        </w:numPr>
        <w:spacing w:after="100" w:line="276"/>
      </w:pPr>
      <w:r>
        <w:rPr>
          <w:rFonts w:ascii="Arial" w:cs="Arial" w:eastAsia="Arial" w:hAnsi="Arial"/>
          <w:sz w:val="22"/>
          <w:szCs w:val="22"/>
        </w:rPr>
        <w:t xml:space="preserve">The specific participants required for this exercise, with the rationale for each. Note: This exercise involves HR and Legal — functions not typically represented in CSMS exercises. Explain why their inclusion is essential for this scenario.</w:t>
      </w:r>
    </w:p>
    <w:p>
      <w:pPr>
        <w:pStyle w:val="ListParagraph"/>
        <w:numPr>
          <w:ilvl w:val="0"/>
          <w:numId w:val="3"/>
        </w:numPr>
        <w:spacing w:after="100" w:line="276"/>
      </w:pPr>
      <w:r>
        <w:rPr>
          <w:rFonts w:ascii="Arial" w:cs="Arial" w:eastAsia="Arial" w:hAnsi="Arial"/>
          <w:sz w:val="22"/>
          <w:szCs w:val="22"/>
        </w:rPr>
        <w:t xml:space="preserve">An after-action review template for this exercise, with at least eight specific questions the after-action review must address.</w:t>
      </w:r>
    </w:p>
    <w:p>
      <w:pPr>
        <w:pStyle w:val="Heading2"/>
        <w:spacing w:after="160" w:before="280"/>
      </w:pPr>
      <w:r>
        <w:rPr>
          <w:rFonts w:ascii="Arial" w:cs="Arial" w:eastAsia="Arial" w:hAnsi="Arial"/>
          <w:b/>
          <w:bCs/>
          <w:color w:val="2E75B6"/>
          <w:sz w:val="26"/>
          <w:szCs w:val="26"/>
        </w:rPr>
        <w:t xml:space="preserve">Part C — Synthesis and Critical Evaluation (Level 3)</w:t>
      </w:r>
    </w:p>
    <w:p>
      <w:pPr>
        <w:pStyle w:val="Heading3"/>
        <w:spacing w:after="120" w:before="220"/>
      </w:pPr>
      <w:r>
        <w:rPr>
          <w:rFonts w:ascii="Arial" w:cs="Arial" w:eastAsia="Arial" w:hAnsi="Arial"/>
          <w:b/>
          <w:bCs/>
          <w:color w:val="1F3864"/>
          <w:sz w:val="23"/>
          <w:szCs w:val="23"/>
        </w:rPr>
        <w:t xml:space="preserve">C1. — Critical Essay: The Challenge of Sustaining Operational Security Processes in OT Environments</w:t>
      </w:r>
    </w:p>
    <w:p>
      <w:pPr>
        <w:spacing w:after="160" w:line="276"/>
        <w:jc w:val="both"/>
      </w:pPr>
      <w:r>
        <w:rPr>
          <w:rFonts w:ascii="Arial" w:cs="Arial" w:eastAsia="Arial" w:hAnsi="Arial"/>
          <w:b w:val="false"/>
          <w:bCs w:val="false"/>
          <w:color w:val="000000"/>
          <w:sz w:val="22"/>
          <w:szCs w:val="22"/>
        </w:rPr>
        <w:t xml:space="preserve">Write a critical essay (minimum 1,500 words) addressing the following proposition:</w:t>
      </w:r>
    </w:p>
    <w:p>
      <w:pPr>
        <w:spacing w:after="160" w:line="276"/>
        <w:jc w:val="both"/>
      </w:pPr>
      <w:r>
        <w:rPr>
          <w:rFonts w:ascii="Arial" w:cs="Arial" w:eastAsia="Arial" w:hAnsi="Arial"/>
          <w:b w:val="false"/>
          <w:bCs w:val="false"/>
          <w:color w:val="000000"/>
          <w:sz w:val="22"/>
          <w:szCs w:val="22"/>
        </w:rPr>
        <w:t xml:space="preserve">'The most difficult aspect of OT security management is not the initial design and implementation of a CSMS — it is the sustained operation of the CSMS over years and decades in the face of the competing pressures of industrial operations. Production targets marginalise change management discipline; operational convenience circumvents vendor access controls; personnel turnover erodes training investment and institutional memory; and management attention drifts toward the latest visible risk while the day-to-day operational security processes that prevent the accumulation of exploitable vulnerabilities are progressively deprioritised. The history of major industrial accidents — both cyber-initiated and otherwise — is fundamentally a history of management systems that worked at implementation and then decayed. The challenge of OT security is not technical — it is organisational.'</w:t>
      </w:r>
    </w:p>
    <w:p>
      <w:pPr>
        <w:spacing w:after="160" w:line="276"/>
        <w:jc w:val="both"/>
      </w:pPr>
      <w:r>
        <w:rPr>
          <w:rFonts w:ascii="Arial" w:cs="Arial" w:eastAsia="Arial" w:hAnsi="Arial"/>
          <w:b w:val="false"/>
          <w:bCs w:val="false"/>
          <w:color w:val="000000"/>
          <w:sz w:val="22"/>
          <w:szCs w:val="22"/>
        </w:rPr>
        <w:t xml:space="preserve">Your essay should:</w:t>
      </w:r>
    </w:p>
    <w:p>
      <w:pPr>
        <w:pStyle w:val="ListParagraph"/>
        <w:numPr>
          <w:ilvl w:val="0"/>
          <w:numId w:val="2"/>
        </w:numPr>
        <w:spacing w:after="100" w:line="276"/>
      </w:pPr>
      <w:r>
        <w:rPr>
          <w:rFonts w:ascii="Arial" w:cs="Arial" w:eastAsia="Arial" w:hAnsi="Arial"/>
          <w:sz w:val="22"/>
          <w:szCs w:val="22"/>
        </w:rPr>
        <w:t xml:space="preserve">Assess the empirical basis of the proposition. What evidence from documented OT security incidents, process safety incident investigations, and organisational resilience research supports or challenges the claim that operational process decay — rather than initial design failure — is the primary source of OT security vulnerability in mature programmes?</w:t>
      </w:r>
    </w:p>
    <w:p>
      <w:pPr>
        <w:pStyle w:val="ListParagraph"/>
        <w:numPr>
          <w:ilvl w:val="0"/>
          <w:numId w:val="2"/>
        </w:numPr>
        <w:spacing w:after="100" w:line="276"/>
      </w:pPr>
      <w:r>
        <w:rPr>
          <w:rFonts w:ascii="Arial" w:cs="Arial" w:eastAsia="Arial" w:hAnsi="Arial"/>
          <w:sz w:val="22"/>
          <w:szCs w:val="22"/>
        </w:rPr>
        <w:t xml:space="preserve">Examine three specific operational processes from this chapter (incident response, change management, or vendor security) where the decay pattern described in the proposition is most clearly observable. For each, explain the specific mechanisms by which operational discipline degrades over time, and the organisational factors that accelerate or retard this decay.</w:t>
      </w:r>
    </w:p>
    <w:p>
      <w:pPr>
        <w:pStyle w:val="ListParagraph"/>
        <w:numPr>
          <w:ilvl w:val="0"/>
          <w:numId w:val="2"/>
        </w:numPr>
        <w:spacing w:after="100" w:line="276"/>
      </w:pPr>
      <w:r>
        <w:rPr>
          <w:rFonts w:ascii="Arial" w:cs="Arial" w:eastAsia="Arial" w:hAnsi="Arial"/>
          <w:sz w:val="22"/>
          <w:szCs w:val="22"/>
        </w:rPr>
        <w:t xml:space="preserve">Engage with the strongest counterargument: the proposition underestimates the role of genuine technical innovation in sustaining operational security processes — specifically, how automation (automated configuration monitoring, automated access review, AI-assisted anomaly detection) can maintain operational security standards without the continuous human attention that historically-required manual processes demand. To what extent can technology substitute for organisational discipline in sustaining CSMS operational processes?</w:t>
      </w:r>
    </w:p>
    <w:p>
      <w:pPr>
        <w:pStyle w:val="ListParagraph"/>
        <w:numPr>
          <w:ilvl w:val="0"/>
          <w:numId w:val="2"/>
        </w:numPr>
        <w:spacing w:after="100" w:line="276"/>
      </w:pPr>
      <w:r>
        <w:rPr>
          <w:rFonts w:ascii="Arial" w:cs="Arial" w:eastAsia="Arial" w:hAnsi="Arial"/>
          <w:sz w:val="22"/>
          <w:szCs w:val="22"/>
        </w:rPr>
        <w:t xml:space="preserve">Propose an integrated framework for sustaining OT security operational processes over the long term — addressing the governance, cultural, and technical mechanisms that most effectively counteract operational process decay. What is the role of the management review process (Chapter 11) in sustaining operational process quality? What metrics (Chapter 14) would most effectively signal early-stage process decay before it becomes a security failure?</w:t>
      </w:r>
    </w:p>
    <w:p>
      <w:pPr>
        <w:pStyle w:val="Heading3"/>
        <w:spacing w:after="120" w:before="220"/>
      </w:pPr>
      <w:r>
        <w:rPr>
          <w:rFonts w:ascii="Arial" w:cs="Arial" w:eastAsia="Arial" w:hAnsi="Arial"/>
          <w:b/>
          <w:bCs/>
          <w:color w:val="1F3864"/>
          <w:sz w:val="23"/>
          <w:szCs w:val="23"/>
        </w:rPr>
        <w:t xml:space="preserve">C2. — Design Exercise: Complete Operational Security Programme for a Greenfield OT Deployment</w:t>
      </w:r>
    </w:p>
    <w:p>
      <w:pPr>
        <w:spacing w:after="160" w:line="276"/>
        <w:jc w:val="both"/>
      </w:pPr>
      <w:r>
        <w:rPr>
          <w:rFonts w:ascii="Arial" w:cs="Arial" w:eastAsia="Arial" w:hAnsi="Arial"/>
          <w:b w:val="false"/>
          <w:bCs w:val="false"/>
          <w:color w:val="000000"/>
          <w:sz w:val="22"/>
          <w:szCs w:val="22"/>
        </w:rPr>
        <w:t xml:space="preserve">Pacific Gateway Port is completing the deployment of its fully automated terminal (introduced in Chapter 11 and continued in Chapter 12). The terminal is now 6 months from go-live, and the CSMS governance framework (Chapter 11) and technical controls (Chapter 12) are substantially complete. You have been engaged as the OT Security Programme Director to design the complete operational security programme for the terminal's first two years of operation.</w:t>
      </w:r>
    </w:p>
    <w:p>
      <w:pPr>
        <w:spacing w:after="160" w:line="276"/>
        <w:jc w:val="both"/>
      </w:pPr>
      <w:r>
        <w:rPr>
          <w:rFonts w:ascii="Arial" w:cs="Arial" w:eastAsia="Arial" w:hAnsi="Arial"/>
          <w:b w:val="false"/>
          <w:bCs w:val="false"/>
          <w:color w:val="000000"/>
          <w:sz w:val="22"/>
          <w:szCs w:val="22"/>
        </w:rPr>
        <w:t xml:space="preserve">Design the complete operational security programme. Your answer must include:</w:t>
      </w:r>
    </w:p>
    <w:p>
      <w:pPr>
        <w:pStyle w:val="ListParagraph"/>
        <w:numPr>
          <w:ilvl w:val="0"/>
          <w:numId w:val="3"/>
        </w:numPr>
        <w:spacing w:after="100" w:line="276"/>
      </w:pPr>
      <w:r>
        <w:rPr>
          <w:rFonts w:ascii="Arial" w:cs="Arial" w:eastAsia="Arial" w:hAnsi="Arial"/>
          <w:sz w:val="22"/>
          <w:szCs w:val="22"/>
        </w:rPr>
        <w:t xml:space="preserve">Incident Response Programme: Design the complete OT incident response programme for the automated terminal, addressing the specific characteristics of automated terminal operations — 24-hour operation without human operators in the terminal yard, complex interactions between IGVs, ASC cranes, and the Fleet Management Server, and cloud-based TOS integration. How does the absence of human operators in the yard affect the incident detection, containment, and recovery process?</w:t>
      </w:r>
    </w:p>
    <w:p>
      <w:pPr>
        <w:pStyle w:val="ListParagraph"/>
        <w:numPr>
          <w:ilvl w:val="0"/>
          <w:numId w:val="3"/>
        </w:numPr>
        <w:spacing w:after="100" w:line="276"/>
      </w:pPr>
      <w:r>
        <w:rPr>
          <w:rFonts w:ascii="Arial" w:cs="Arial" w:eastAsia="Arial" w:hAnsi="Arial"/>
          <w:sz w:val="22"/>
          <w:szCs w:val="22"/>
        </w:rPr>
        <w:t xml:space="preserve">Change Management Programme: Design the OT change management programme for the first two years, addressing: the transition from the commissioning/testing phase to operational change management; the management of ongoing software updates from the FMS, ASC, and TOS vendors; and the specific security review requirements for changes to the cloud TOS architecture.</w:t>
      </w:r>
    </w:p>
    <w:p>
      <w:pPr>
        <w:pStyle w:val="ListParagraph"/>
        <w:numPr>
          <w:ilvl w:val="0"/>
          <w:numId w:val="3"/>
        </w:numPr>
        <w:spacing w:after="100" w:line="276"/>
      </w:pPr>
      <w:r>
        <w:rPr>
          <w:rFonts w:ascii="Arial" w:cs="Arial" w:eastAsia="Arial" w:hAnsi="Arial"/>
          <w:sz w:val="22"/>
          <w:szCs w:val="22"/>
        </w:rPr>
        <w:t xml:space="preserve">Vendor Security Programme: Pacific Gateway Port has 7 critical OT vendors (FMS vendor, ASC vendor, TOS vendor [cloud], gate automation vendor, vessel planning vendor, OT security monitoring vendor, and a system integrator that supports multiple systems). Design the complete vendor security management programme for Year 1, including the pre-engagement assessment, contractual requirements, onboarding procedures, and ongoing management activities for each vendor category.</w:t>
      </w:r>
    </w:p>
    <w:p>
      <w:pPr>
        <w:pStyle w:val="ListParagraph"/>
        <w:numPr>
          <w:ilvl w:val="0"/>
          <w:numId w:val="3"/>
        </w:numPr>
        <w:spacing w:after="100" w:line="276"/>
      </w:pPr>
      <w:r>
        <w:rPr>
          <w:rFonts w:ascii="Arial" w:cs="Arial" w:eastAsia="Arial" w:hAnsi="Arial"/>
          <w:sz w:val="22"/>
          <w:szCs w:val="22"/>
        </w:rPr>
        <w:t xml:space="preserve">Exercise Programme: Design the Year 1 and Year 2 exercise programme for the terminal, with at least 4 exercises (at least 2 different exercise types). For each exercise, specify: the learning objectives; the scenario theme (at least one sentence); the participants; the duration; and the primary finding you would expect the exercise to reveal based on the terminal's specific risk profile.</w:t>
      </w:r>
    </w:p>
    <w:p>
      <w:pPr>
        <w:pStyle w:val="ListParagraph"/>
        <w:numPr>
          <w:ilvl w:val="0"/>
          <w:numId w:val="3"/>
        </w:numPr>
        <w:spacing w:after="100" w:line="276"/>
      </w:pPr>
      <w:r>
        <w:rPr>
          <w:rFonts w:ascii="Arial" w:cs="Arial" w:eastAsia="Arial" w:hAnsi="Arial"/>
          <w:sz w:val="22"/>
          <w:szCs w:val="22"/>
        </w:rPr>
        <w:t xml:space="preserve">CSMS Maturity Roadmap: Develop a 24-month operational security maturity roadmap for the terminal, showing how each of the six operational process domains (incident response, change management, vendor security, personnel security, physical security, and exercises) matures from initial operational state at Month 0 to a demonstrably competent operational state at Month 24. Define what 'demonstrably competent' means for each domain, in terms of specific, observable outputs.</w:t>
      </w:r>
    </w:p>
    <w:p>
      <w:pPr>
        <w:pStyle w:val="Heading3"/>
        <w:spacing w:after="120" w:before="220"/>
      </w:pPr>
      <w:r>
        <w:rPr>
          <w:rFonts w:ascii="Arial" w:cs="Arial" w:eastAsia="Arial" w:hAnsi="Arial"/>
          <w:b/>
          <w:bCs/>
          <w:color w:val="1F3864"/>
          <w:sz w:val="23"/>
          <w:szCs w:val="23"/>
        </w:rPr>
        <w:t xml:space="preserve">C3. — Case Study Analysis: Maroochy Shire Sewage Spill and the Lessons for Personnel Security and Change Management</w:t>
      </w:r>
    </w:p>
    <w:p>
      <w:pPr>
        <w:spacing w:after="160" w:line="276"/>
        <w:jc w:val="both"/>
      </w:pPr>
      <w:r>
        <w:rPr>
          <w:rFonts w:ascii="Arial" w:cs="Arial" w:eastAsia="Arial" w:hAnsi="Arial"/>
          <w:b w:val="false"/>
          <w:bCs w:val="false"/>
          <w:color w:val="000000"/>
          <w:sz w:val="22"/>
          <w:szCs w:val="22"/>
        </w:rPr>
        <w:t xml:space="preserve">The Maroochy Shire sewage spill (Queensland, Australia, 2000) is the foundational OT insider threat case study. Vitek Boden, a former employee of the contractor that had installed the SCADA system for Maroochy Shire Council's sewage system, used a stolen radio and a portable computer to take control of the sewage pumping stations and release approximately 800,000 litres of raw sewage into local waterways, rivers, and a hotel grounds. The attack continued undetected for two months and across 46 separate incidents before Boden was apprehended (Abrams and Weiss, 2008).</w:t>
      </w:r>
    </w:p>
    <w:p>
      <w:pPr>
        <w:spacing w:after="160" w:line="276"/>
        <w:jc w:val="both"/>
      </w:pPr>
      <w:r>
        <w:rPr>
          <w:rFonts w:ascii="Arial" w:cs="Arial" w:eastAsia="Arial" w:hAnsi="Arial"/>
          <w:b w:val="false"/>
          <w:bCs w:val="false"/>
          <w:color w:val="000000"/>
          <w:sz w:val="22"/>
          <w:szCs w:val="22"/>
        </w:rPr>
        <w:t xml:space="preserve">Using the operational security process framework of this chapter, analyse the Maroochy Shire incident:</w:t>
      </w:r>
    </w:p>
    <w:p>
      <w:pPr>
        <w:pStyle w:val="ListParagraph"/>
        <w:numPr>
          <w:ilvl w:val="0"/>
          <w:numId w:val="3"/>
        </w:numPr>
        <w:spacing w:after="100" w:line="276"/>
      </w:pPr>
      <w:r>
        <w:rPr>
          <w:rFonts w:ascii="Arial" w:cs="Arial" w:eastAsia="Arial" w:hAnsi="Arial"/>
          <w:sz w:val="22"/>
          <w:szCs w:val="22"/>
        </w:rPr>
        <w:t xml:space="preserve">Personnel security failure analysis: Identify the specific personnel security control failures that enabled the Maroochy Shire attack. For each failure, specify: (i) the control from Section 13.5 that was absent or inadequate; (ii) the specific failure mode; and (iii) the control that would have prevented or detected the failure. Address both the pre-employment dimension (what screening should have been applied to Boden and the contractor's personnel) and the post-departure dimension (what access revocation and access monitoring should have occurred when the contract ended).</w:t>
      </w:r>
    </w:p>
    <w:p>
      <w:pPr>
        <w:pStyle w:val="ListParagraph"/>
        <w:numPr>
          <w:ilvl w:val="0"/>
          <w:numId w:val="3"/>
        </w:numPr>
        <w:spacing w:after="100" w:line="276"/>
      </w:pPr>
      <w:r>
        <w:rPr>
          <w:rFonts w:ascii="Arial" w:cs="Arial" w:eastAsia="Arial" w:hAnsi="Arial"/>
          <w:sz w:val="22"/>
          <w:szCs w:val="22"/>
        </w:rPr>
        <w:t xml:space="preserve">Change management failure analysis: The stolen radio and portable computer gave Boden the ability to interface with the SCADA system's radio telemetry. Identify the change management failures that allowed Boden to retain the capability to interface with the control system after his employment ended. What configuration management controls (Section 13.3.4), asset management practices, and equipment return procedures would have eliminated this capability?</w:t>
      </w:r>
    </w:p>
    <w:p>
      <w:pPr>
        <w:pStyle w:val="ListParagraph"/>
        <w:numPr>
          <w:ilvl w:val="0"/>
          <w:numId w:val="3"/>
        </w:numPr>
        <w:spacing w:after="100" w:line="276"/>
      </w:pPr>
      <w:r>
        <w:rPr>
          <w:rFonts w:ascii="Arial" w:cs="Arial" w:eastAsia="Arial" w:hAnsi="Arial"/>
          <w:sz w:val="22"/>
          <w:szCs w:val="22"/>
        </w:rPr>
        <w:t xml:space="preserve">Detection failure analysis: The attack continued for two months across 46 incidents before detection. Analyse the detection failure using the security monitoring framework of Chapter 12 (Section 12.5) and the incident response framework of this chapter (Section 13.2). What specific OT-IDS alert policies, anomaly detection capabilities, and incident response triggers should have detected the attack pattern within the first week?</w:t>
      </w:r>
    </w:p>
    <w:p>
      <w:pPr>
        <w:pStyle w:val="ListParagraph"/>
        <w:numPr>
          <w:ilvl w:val="0"/>
          <w:numId w:val="3"/>
        </w:numPr>
        <w:spacing w:after="100" w:line="276"/>
      </w:pPr>
      <w:r>
        <w:rPr>
          <w:rFonts w:ascii="Arial" w:cs="Arial" w:eastAsia="Arial" w:hAnsi="Arial"/>
          <w:sz w:val="22"/>
          <w:szCs w:val="22"/>
        </w:rPr>
        <w:t xml:space="preserve">Governance lessons: The Maroochy Shire attack predated IEC 62443. Assess, with specific reference to the IEC 62443-2-1 Category 2 SHALL requirements, whether a compliant CSMS would have prevented the Maroochy attack. Which specific SHALL requirements most directly address the failure modes you have identified?</w:t>
      </w:r>
    </w:p>
    <w:p>
      <w:pPr>
        <w:pStyle w:val="ListParagraph"/>
        <w:numPr>
          <w:ilvl w:val="0"/>
          <w:numId w:val="3"/>
        </w:numPr>
        <w:spacing w:after="100" w:line="276"/>
      </w:pPr>
      <w:r>
        <w:rPr>
          <w:rFonts w:ascii="Arial" w:cs="Arial" w:eastAsia="Arial" w:hAnsi="Arial"/>
          <w:sz w:val="22"/>
          <w:szCs w:val="22"/>
        </w:rPr>
        <w:t xml:space="preserve">Contemporary relevance: The Maroochy attack used radio telemetry technology that has since been largely replaced by IP-based SCADA communication. Assess the extent to which the lessons of Maroochy remain relevant to contemporary OT environments using IP-based SCADA, cloud integration, and wireless IoT sensor networks. What are the contemporary equivalents of the stolen radio and portable computer?</w:t>
      </w:r>
    </w:p>
    <w:p>
      <w:r>
        <w:br w:type="page"/>
      </w:r>
    </w:p>
    <w:p>
      <w:pPr>
        <w:pStyle w:val="Heading1"/>
        <w:spacing w:after="200" w:before="400"/>
      </w:pPr>
      <w:r>
        <w:rPr>
          <w:rFonts w:ascii="Arial" w:cs="Arial" w:eastAsia="Arial" w:hAnsi="Arial"/>
          <w:b/>
          <w:bCs/>
          <w:color w:val="1F3864"/>
          <w:sz w:val="34"/>
          <w:szCs w:val="34"/>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After-Action Review (AAR)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structured review conducted within two weeks of a security exercise or incident, documenting what happened, what worked well, what did not, and what specific improvements are required. The primary vehicle through which exercise findings are converted into CSMS improvement actions. Every finding must be assigned a responsible owner and a completion date.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Change Advisory Board (CAB)</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governance forum within which OT change requests are reviewed and authorised. The OT CAB is distinct from the IT CAB and includes OT Engineering Liaison, OT Security Analyst, Process Safety Liaison, Operations Representative, and IT Security Liaison as minimum membership. Meets weekly or fortnightly depending on change activity level.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Configuration Baseline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documented, authorised configuration of OT systems — including control logic, network configuration, software versions, and patch levels — against which the actual configuration is compared to detect unauthorised change. The configuration baseline is the technical foundation of the OT change management and configuration monitoring programme.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Emergency Change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change required immediately to prevent or mitigate an active safety or security incident, where the normal change process cannot be completed before the change must be implemented. Requires abbreviated security review before implementation and full security review within 24 hours of implementation.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Insider Threat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risk of harm caused by individuals with authorised access to OT systems — whether through negligence, error, or malicious intent. The Maroochy Shire sewage spill (2000) is the foundational OT insider threat case study. Mitigated through pre-employment screening, ongoing behavioural monitoring, access control based on least privilege, and a psychologically safe reporting culture.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OT Isolation Decision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decision to isolate a potentially compromised OT system from the network — the most consequential and most difficult decision in OT incident response. Requires joint decision-making between the OT Security Manager and Operations Manager, with process safety input for safety-critical systems. Must be pre-planned, pre-authorised, and pre-practised through tabletop exercises.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Post-Incident Review</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structured review of an OT security incident — conducted after the incident is closed — that identifies what happened, how the response performed, and what specific improvements are required. The post-incident review is a CSMS improvement input; its findings must flow back into the risk register, the incident response plan, and the training programme. Mandated by IEC 62443-2-1 §4.3.2.8.</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Red Team Assessment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controlled adversary simulation in which a team of skilled OT security specialists attempts to penetrate the OT environment using realistic attack techniques, subject to agreed rules of engagement. The most rigorous test of OT security control effectiveness available; produces an attack path report identifying specific security control failures. Requires OT-specialist red team personnel — IT penetration testers without OT training should not conduct OT red team assessments.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Routine Change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planned, non-standard OT change that requires individual security review and formal authorisation before implementation. Minimum 5 working days lead time for security review. The most common change type in a mature OT change management programme.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Software Bill of Materials (SBOM)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comprehensive inventory of all software components included in an OT product, including third-party libraries and open-source components. Enables the operator to assess the vulnerability exposure of delivered OT products against known CVEs. Should be required from OT vendors for new system deployments and major upgrades.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Standard Change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pre-approved, routine OT change with a well-understood risk profile and an established, documented implementation procedure. Does not require individual security review — the standard change procedure is reviewed and security-approved once as a class. Each instance is documented by the implementing engineer.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Supply Chain Security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security of the hardware and software supply chain through which OT components reach the operator. Addressed through authorised procurement channels, integrity verification at delivery (cryptographic signature checking, SBOM review), and monitoring of vulnerability disclosures for embedded components. Demonstrated as a major OT threat vector by the SolarWinds attack (2020) and the discovery of counterfeit network equipment in critical infrastructure.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Tabletop Exercise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facilitated discussion-based exercise in which a realistic scenario is presented to a group and the team works through their response decisions, communications, and actions without performing them in reality. The most frequently conducted and most accessible exercise type in the OT security exercise programme. Effectiveness is determined by the quality of the scenario design and the skill of the facilitator.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Vendor Security Lifecycle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The complete programme for managing the security of third-party vendor relationships with OT access — from Pre-Engagement Assessment through Contract Negotiation, Onboarding, Ongoing Management, and Contract Termination. Governed by IEC 62443-2-4 requirements. The most common failure mode is inadequate access revocation at contract termination.</w:t>
            </w:r>
          </w:p>
        </w:tc>
      </w:tr>
    </w:tbl>
    <w:p>
      <w:pPr>
        <w:spacing w:after="400"/>
      </w:pPr>
      <w:r>
        <w:t xml:space="preserve"/>
      </w:r>
    </w:p>
    <w:p>
      <w:pPr>
        <w:spacing w:after="120" w:before="200"/>
        <w:jc w:val="center"/>
      </w:pPr>
      <w:r>
        <w:rPr>
          <w:rFonts w:ascii="Arial" w:cs="Arial" w:eastAsia="Arial" w:hAnsi="Arial"/>
          <w:color w:val="2E75B6"/>
          <w:sz w:val="18"/>
          <w:szCs w:val="18"/>
        </w:rPr>
        <w:t xml:space="preserve">─────────────────────────────────────────────────────────────────────────────────</w:t>
      </w:r>
    </w:p>
    <w:p>
      <w:pPr>
        <w:spacing w:after="120"/>
        <w:jc w:val="center"/>
      </w:pPr>
      <w:r>
        <w:rPr>
          <w:rFonts w:ascii="Arial" w:cs="Arial" w:eastAsia="Arial" w:hAnsi="Arial"/>
          <w:b/>
          <w:bCs/>
          <w:i/>
          <w:iCs/>
          <w:color w:val="1F3864"/>
          <w:sz w:val="24"/>
          <w:szCs w:val="24"/>
        </w:rPr>
        <w:t xml:space="preserve">End of Chapter 13</w:t>
      </w:r>
    </w:p>
    <w:p>
      <w:pPr>
        <w:spacing w:after="80"/>
        <w:jc w:val="center"/>
      </w:pPr>
      <w:r>
        <w:rPr>
          <w:rFonts w:ascii="Arial" w:cs="Arial" w:eastAsia="Arial" w:hAnsi="Arial"/>
          <w:i/>
          <w:iCs/>
          <w:color w:val="2E75B6"/>
          <w:sz w:val="20"/>
          <w:szCs w:val="20"/>
        </w:rPr>
        <w:t xml:space="preserve">Proceed to Chapter 14: Monitoring, Measurement, and Continuous Improvement</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pPr>
    <w:r>
      <w:rPr>
        <w:rFonts w:ascii="Arial" w:cs="Arial" w:eastAsia="Arial" w:hAnsi="Arial"/>
        <w:color w:val="2E75B6"/>
        <w:sz w:val="18"/>
        <w:szCs w:val="18"/>
      </w:rPr>
      <w:t xml:space="preserve">PART III: CSMS Implementation and Monitoring</w:t>
    </w:r>
    <w:r>
      <w:rPr>
        <w:rFonts w:ascii="Arial" w:cs="Arial" w:eastAsia="Arial" w:hAnsi="Arial"/>
        <w:sz w:val="18"/>
        <w:szCs w:val="18"/>
      </w:rPr>
      <w:t xml:space="preserve">	</w:t>
    </w:r>
    <w:r>
      <w:rPr>
        <w:rFonts w:ascii="Arial" w:cs="Arial" w:eastAsia="Arial" w:hAnsi="Arial"/>
        <w:color w:val="2E75B6"/>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i/>
        <w:iCs/>
        <w:color w:val="2E75B6"/>
        <w:sz w:val="18"/>
        <w:szCs w:val="18"/>
      </w:rPr>
      <w:t xml:space="preserve">Chapter 13: Operational Security Processes</w:t>
    </w:r>
    <w:r>
      <w:rPr>
        <w:rFonts w:ascii="Arial" w:cs="Arial" w:eastAsia="Arial" w:hAnsi="Arial"/>
        <w:sz w:val="18"/>
        <w:szCs w:val="18"/>
      </w:rPr>
      <w:t xml:space="preserve">	</w:t>
    </w:r>
    <w:r>
      <w:rPr>
        <w:rFonts w:ascii="Arial" w:cs="Arial" w:eastAsia="Arial" w:hAnsi="Arial"/>
        <w:i/>
        <w:iCs/>
        <w:color w:val="2E75B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F3864"/>
      <w:sz w:val="23"/>
      <w:szCs w:val="23"/>
    </w:rPr>
  </w:style>
  <w:style w:type="paragraph" w:styleId="Heading4">
    <w:name w:val="Heading 4"/>
    <w:basedOn w:val="Normal"/>
    <w:next w:val="Normal"/>
    <w:qFormat/>
    <w:pPr>
      <w:spacing w:after="10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2026-05-14T01:11:00.373Z</dcterms:created>
  <dcterms:modified xsi:type="dcterms:W3CDTF">2026-05-14T01:11:00.386Z</dcterms:modified>
</cp:coreProperties>
</file>

<file path=docProps/custom.xml><?xml version="1.0" encoding="utf-8"?>
<Properties xmlns="http://schemas.openxmlformats.org/officeDocument/2006/custom-properties" xmlns:vt="http://schemas.openxmlformats.org/officeDocument/2006/docPropsVTypes"/>
</file>