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Arial" w:cs="Arial" w:eastAsia="Arial" w:hAnsi="Arial"/>
          <w:b/>
          <w:bCs/>
          <w:color w:val="1F3864"/>
          <w:sz w:val="40"/>
          <w:szCs w:val="40"/>
        </w:rPr>
        <w:t xml:space="preserve">RISK ANALYSIS AND ASSESSMENT</w:t>
      </w:r>
    </w:p>
    <w:p>
      <w:pPr>
        <w:spacing w:after="80"/>
        <w:jc w:val="center"/>
      </w:pPr>
      <w:r>
        <w:rPr>
          <w:rFonts w:ascii="Arial" w:cs="Arial" w:eastAsia="Arial" w:hAnsi="Arial"/>
          <w:i/>
          <w:iCs/>
          <w:color w:val="2E75B6"/>
          <w:sz w:val="28"/>
          <w:szCs w:val="28"/>
        </w:rPr>
        <w:t xml:space="preserve">Third Edition</w:t>
      </w:r>
    </w:p>
    <w:p>
      <w:pPr>
        <w:spacing w:after="400"/>
      </w:pPr>
      <w:r>
        <w:t xml:space="preserve"/>
      </w:r>
    </w:p>
    <w:p>
      <w:pPr>
        <w:spacing w:after="80"/>
        <w:jc w:val="center"/>
      </w:pPr>
      <w:r>
        <w:rPr>
          <w:rFonts w:ascii="Arial" w:cs="Arial" w:eastAsia="Arial" w:hAnsi="Arial"/>
          <w:b/>
          <w:bCs/>
          <w:color w:val="2E75B6"/>
          <w:sz w:val="24"/>
          <w:szCs w:val="24"/>
        </w:rPr>
        <w:t xml:space="preserve">PART I: FOUNDATIONS</w:t>
      </w:r>
    </w:p>
    <w:p>
      <w:pPr>
        <w:spacing w:after="800"/>
      </w:pPr>
      <w:r>
        <w:t xml:space="preserve"/>
      </w:r>
    </w:p>
    <w:p>
      <w:pPr>
        <w:spacing w:after="80"/>
        <w:jc w:val="center"/>
      </w:pPr>
      <w:r>
        <w:rPr>
          <w:rFonts w:ascii="Arial" w:cs="Arial" w:eastAsia="Arial" w:hAnsi="Arial"/>
          <w:b/>
          <w:bCs/>
          <w:color w:val="1F3864"/>
          <w:sz w:val="50"/>
          <w:szCs w:val="50"/>
        </w:rPr>
        <w:t xml:space="preserve">CHAPTER 2</w:t>
      </w:r>
    </w:p>
    <w:p>
      <w:pPr>
        <w:spacing w:after="100"/>
        <w:jc w:val="center"/>
      </w:pPr>
      <w:r>
        <w:rPr>
          <w:rFonts w:ascii="Arial" w:cs="Arial" w:eastAsia="Arial" w:hAnsi="Arial"/>
          <w:b/>
          <w:bCs/>
          <w:color w:val="1F3864"/>
          <w:sz w:val="36"/>
          <w:szCs w:val="36"/>
        </w:rPr>
        <w:t xml:space="preserve">The OT Threat Landscape and Threat Actor Taxonomy</w:t>
      </w:r>
    </w:p>
    <w:p>
      <w:pPr>
        <w:spacing w:after="160"/>
        <w:jc w:val="center"/>
      </w:pPr>
      <w:r>
        <w:rPr>
          <w:rFonts w:ascii="Arial" w:cs="Arial" w:eastAsia="Arial" w:hAnsi="Arial"/>
          <w:i/>
          <w:iCs/>
          <w:color w:val="2E75B6"/>
          <w:sz w:val="22"/>
          <w:szCs w:val="22"/>
        </w:rPr>
        <w:t xml:space="preserve">Who Attacks Industrial Control Systems, Why They Attack, How They Attack, and What This Means for Risk Assessment</w:t>
      </w:r>
    </w:p>
    <w:p>
      <w:r>
        <w:br w:type="page"/>
      </w:r>
    </w:p>
    <w:p>
      <w:pPr>
        <w:spacing w:after="160" w:before="200"/>
      </w:pPr>
      <w:r>
        <w:rPr>
          <w:rFonts w:ascii="Arial" w:cs="Arial" w:eastAsia="Arial" w:hAnsi="Arial"/>
          <w:b/>
          <w:bCs/>
          <w:color w:val="1F3864"/>
          <w:sz w:val="30"/>
          <w:szCs w:val="30"/>
        </w:rPr>
        <w:t xml:space="preserve">Learning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On completion of this chapter, the student will be able to:</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1.  Define the OT threat landscape and explain how it differs structurally from the IT threat landscape — in terms of the threat actors involved, their motivations, their target selection criteria, and the specific attack techniques they employ against industrial control systems.</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pPr>
            <w:r>
              <w:rPr>
                <w:rFonts w:ascii="Arial" w:cs="Arial" w:eastAsia="Arial" w:hAnsi="Arial"/>
                <w:sz w:val="20"/>
                <w:szCs w:val="20"/>
              </w:rPr>
              <w:t xml:space="preserve">2.  Apply the threat actor taxonomy — nation-state actors, criminal ransomware groups, insider threats, hacktivists, and script kiddies — to OT security risk assessment, explaining the capability, motivation, and targeting behaviour of each category and the specific OT sectors and geographies each category most frequently targets.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3.  Describe the documented capabilities, attribution, target sectors, and known attack techniques of the principal nation-state OT threat groups — Sandworm (Russia/GRU), Volt Typhoon (China/MSS), CHERNOVITE (Dragos designation), KAMACITE, and ELECTRUM — with reference to documented incidents and published threat intelligence.</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pPr>
            <w:r>
              <w:rPr>
                <w:rFonts w:ascii="Arial" w:cs="Arial" w:eastAsia="Arial" w:hAnsi="Arial"/>
                <w:sz w:val="20"/>
                <w:szCs w:val="20"/>
              </w:rPr>
              <w:t xml:space="preserve">4.  Explain the MITRE ATT&amp;CK for ICS framework — its structure (tactics, techniques, sub-techniques), its relationship to the enterprise ATT&amp;CK matrix, and its application to OT threat modelling, detection engineering, and security control gap analysis.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5.  Apply the ICS Kill Chain model (Assante and Lee, 2015) to analyse a documented OT security incident, identifying the specific kill chain phase represented by each attacker action and explaining the defensive opportunity each phase provides.</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pPr>
            <w:r>
              <w:rPr>
                <w:rFonts w:ascii="Arial" w:cs="Arial" w:eastAsia="Arial" w:hAnsi="Arial"/>
                <w:sz w:val="20"/>
                <w:szCs w:val="20"/>
              </w:rPr>
              <w:t xml:space="preserve">6.  Explain the role of criminal ransomware groups in the OT threat landscape — their evolution from IT-focused to OT-aware adversaries, their targeting of operational technology as leverage for ransom payment, and the specific OT security implications of ransomware campaigns at Colonial Pipeline, OLDSMAR, and comparable incidents.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7.  Describe the insider threat in the OT context — the specific characteristics of OT insider threat (knowledge advantage, physical access, trust relationships with vendors) — and apply insider threat intelligence to the design of OT security controls that address both malicious and unintentional insider risk.</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pPr>
            <w:r>
              <w:rPr>
                <w:rFonts w:ascii="Arial" w:cs="Arial" w:eastAsia="Arial" w:hAnsi="Arial"/>
                <w:sz w:val="20"/>
                <w:szCs w:val="20"/>
              </w:rPr>
              <w:t xml:space="preserve">8.  Integrate threat landscape intelligence into the likelihood assessment component of the OT security risk assessment framework, demonstrating how threat actor capability, motivation, and targeting behaviour translate into specific likelihood scores for identified risk scenarios.</w:t>
            </w:r>
          </w:p>
        </w:tc>
      </w:tr>
    </w:tbl>
    <w:p>
      <w:pPr>
        <w:spacing w:after="400"/>
      </w:pPr>
      <w:r>
        <w:t xml:space="preserve"/>
      </w:r>
    </w:p>
    <w:p>
      <w:pPr>
        <w:pStyle w:val="Heading1"/>
        <w:spacing w:after="200" w:before="400"/>
      </w:pPr>
      <w:r>
        <w:rPr>
          <w:rFonts w:ascii="Arial" w:cs="Arial" w:eastAsia="Arial" w:hAnsi="Arial"/>
          <w:b/>
          <w:bCs/>
          <w:color w:val="1F3864"/>
          <w:sz w:val="34"/>
          <w:szCs w:val="34"/>
        </w:rPr>
        <w:t xml:space="preserve">2.1  Introduction: The Threat Landscape as the Foundation of Risk Assessment</w:t>
      </w:r>
    </w:p>
    <w:p>
      <w:pPr>
        <w:spacing w:after="160" w:line="276"/>
        <w:jc w:val="both"/>
      </w:pPr>
      <w:r>
        <w:rPr>
          <w:rFonts w:ascii="Arial" w:cs="Arial" w:eastAsia="Arial" w:hAnsi="Arial"/>
          <w:b w:val="false"/>
          <w:bCs w:val="false"/>
          <w:color w:val="000000"/>
          <w:sz w:val="22"/>
          <w:szCs w:val="22"/>
        </w:rPr>
        <w:t xml:space="preserve">Risk, as defined throughout this textbook, is the combination of likelihood and consequence. Chapter 3 will address consequence analysis in depth — the systematic evaluation of what happens when an OT security event causes a process failure. But consequence analysis without threat analysis produces a risk assessment that is fundamentally incomplete: it describes what the damage would be if an attack occurred, without any analysis of whether an attack is plausible, by whom, using what techniques, and with what probability of success. Threat analysis — the systematic characterisation of the threat actors, their motivations, their capabilities, and their methods — is the foundation upon which credible likelihood assessment is built.</w:t>
      </w:r>
    </w:p>
    <w:p>
      <w:pPr>
        <w:spacing w:after="160" w:line="276"/>
        <w:jc w:val="both"/>
      </w:pPr>
      <w:r>
        <w:rPr>
          <w:rFonts w:ascii="Arial" w:cs="Arial" w:eastAsia="Arial" w:hAnsi="Arial"/>
          <w:b w:val="false"/>
          <w:bCs w:val="false"/>
          <w:color w:val="000000"/>
          <w:sz w:val="22"/>
          <w:szCs w:val="22"/>
        </w:rPr>
        <w:t xml:space="preserve">The OT threat landscape of 2024 is categorically different from the OT threat landscape of 2010. In 2010, the year Stuxnet was discovered, sophisticated OT-targeted attacks were the exclusive domain of nation-state intelligence agencies with the resources, knowledge, and strategic motivation to develop bespoke malware capable of targeting specific industrial control systems. The Stuxnet attack required years of development, deep knowledge of Siemens engineering software, physical access to deliver the initial infection, and a sophisticated understanding of uranium enrichment centrifuge control logic. These barriers limited the threat to a tiny population of state-sponsored actors.</w:t>
      </w:r>
    </w:p>
    <w:p>
      <w:pPr>
        <w:spacing w:after="160" w:line="276"/>
        <w:jc w:val="both"/>
      </w:pPr>
      <w:r>
        <w:rPr>
          <w:rFonts w:ascii="Arial" w:cs="Arial" w:eastAsia="Arial" w:hAnsi="Arial"/>
          <w:b w:val="false"/>
          <w:bCs w:val="false"/>
          <w:color w:val="000000"/>
          <w:sz w:val="22"/>
          <w:szCs w:val="22"/>
        </w:rPr>
        <w:t xml:space="preserve">By 2024, those barriers have fallen dramatically. The ransomware-as-a-service ecosystem has commoditised sophisticated attack tooling — making capabilities once available only to nation-states accessible to criminal groups with no particular technical sophistication. The publication of Stuxnet's source code, the leak of NSA tools in the Shadow Brokers release, and the accumulation of publicly available OT attack research have educated a generation of threat actors about OT attack techniques. And the increasing connectivity of OT systems — documented in Chapter 1 — has reduced the access barriers that previously protected many OT environments from remote attack.</w:t>
      </w:r>
    </w:p>
    <w:p>
      <w:pPr>
        <w:spacing w:after="160" w:line="276"/>
        <w:jc w:val="both"/>
      </w:pPr>
      <w:r>
        <w:rPr>
          <w:rFonts w:ascii="Arial" w:cs="Arial" w:eastAsia="Arial" w:hAnsi="Arial"/>
          <w:b w:val="false"/>
          <w:bCs w:val="false"/>
          <w:color w:val="000000"/>
          <w:sz w:val="22"/>
          <w:szCs w:val="22"/>
        </w:rPr>
        <w:t xml:space="preserve">This chapter provides the systematic threat landscape analysis that underpins rigorous OT security risk assessment. It introduces the threat actor taxonomy — the classification of OT threat actors by capability, motivation, and targeting behaviour — and develops detailed profiles of the principal threat actor categories. It introduces the MITRE ATT&amp;CK for ICS framework as the authoritative structured vocabulary for describing OT attack techniques. It presents the ICS Kill Chain model as an analytical framework for understanding how OT attacks progress from initial access to physical consequence. And it demonstrates how threat landscape intelligence is integrated into the likelihood assessment component of the risk assessment framework.</w:t>
      </w:r>
    </w:p>
    <w:p>
      <w:pPr>
        <w:spacing w:after="160" w:line="276"/>
        <w:jc w:val="both"/>
      </w:pPr>
      <w:r>
        <w:rPr>
          <w:rFonts w:ascii="Arial" w:cs="Arial" w:eastAsia="Arial" w:hAnsi="Arial"/>
          <w:b w:val="false"/>
          <w:bCs w:val="false"/>
          <w:color w:val="000000"/>
          <w:sz w:val="22"/>
          <w:szCs w:val="22"/>
        </w:rPr>
        <w:t xml:space="preserve">A note on attribution and threat intelligence: the attribution of cyber attacks — the identification of the specific actor responsible for a specific incident — is a complex, often contested analytical exercise. The threat actor names and attributions used in this chapter reflect the consensus of the threat intelligence community at the time of writing, based on published intelligence from government agencies, commercial threat intelligence providers (Dragos, Mandiant, CrowdStrike, Microsoft), and academic researchers. Attribution is probabilistic, not certain, and can change as new evidence emerges. The security practitioner should treat threat actor attributions as analytical conclusions with associated confidence levels, not as established facts.</w:t>
      </w:r>
    </w:p>
    <w:p>
      <w:r>
        <w:br w:type="page"/>
      </w:r>
    </w:p>
    <w:p>
      <w:pPr>
        <w:pStyle w:val="Heading1"/>
        <w:spacing w:after="200" w:before="400"/>
      </w:pPr>
      <w:r>
        <w:rPr>
          <w:rFonts w:ascii="Arial" w:cs="Arial" w:eastAsia="Arial" w:hAnsi="Arial"/>
          <w:b/>
          <w:bCs/>
          <w:color w:val="1F3864"/>
          <w:sz w:val="34"/>
          <w:szCs w:val="34"/>
        </w:rPr>
        <w:t xml:space="preserve">2.2  The OT Threat Landscape — Structure and Evolution</w:t>
      </w:r>
    </w:p>
    <w:p>
      <w:pPr>
        <w:spacing w:after="160" w:line="276"/>
        <w:jc w:val="both"/>
      </w:pPr>
      <w:r>
        <w:rPr>
          <w:rFonts w:ascii="Arial" w:cs="Arial" w:eastAsia="Arial" w:hAnsi="Arial"/>
          <w:b w:val="false"/>
          <w:bCs w:val="false"/>
          <w:color w:val="000000"/>
          <w:sz w:val="22"/>
          <w:szCs w:val="22"/>
        </w:rPr>
        <w:t xml:space="preserve">The OT threat landscape is best understood as a structured ecosystem of threat actors operating across a spectrum of capability and motivation, pursuing a range of objectives that may or may not involve direct physical consequences. Understanding this ecosystem requires moving beyond the common misconception that 'OT threats = nation-state attacks' — a misconception that leads to underinvestment in defences against the more common, if less dramatic, threats from criminal groups and insiders, and overinvestment in extremely sophisticated defences that are disproportionate to the actual threat profile of most industrial facilities.</w:t>
      </w:r>
    </w:p>
    <w:p>
      <w:pPr>
        <w:pStyle w:val="Heading2"/>
        <w:spacing w:after="160" w:before="300"/>
      </w:pPr>
      <w:r>
        <w:rPr>
          <w:rFonts w:ascii="Arial" w:cs="Arial" w:eastAsia="Arial" w:hAnsi="Arial"/>
          <w:b/>
          <w:bCs/>
          <w:color w:val="2E75B6"/>
          <w:sz w:val="27"/>
          <w:szCs w:val="27"/>
        </w:rPr>
        <w:t xml:space="preserve">2.2.1  The Threat Actor Spectrum</w:t>
      </w:r>
    </w:p>
    <w:p>
      <w:pPr>
        <w:spacing w:after="160" w:line="276"/>
        <w:jc w:val="both"/>
      </w:pPr>
      <w:r>
        <w:rPr>
          <w:rFonts w:ascii="Arial" w:cs="Arial" w:eastAsia="Arial" w:hAnsi="Arial"/>
          <w:b w:val="false"/>
          <w:bCs w:val="false"/>
          <w:color w:val="000000"/>
          <w:sz w:val="22"/>
          <w:szCs w:val="22"/>
        </w:rPr>
        <w:t xml:space="preserve">OT threat actors can be characterised across three dimensions: capability (what they can do), motivation (why they do it), and targeting behaviour (who they go after). The interaction of these three dimensions defines the specific threat profile that each actor category presents to each class of OT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000"/>
        <w:gridCol w:w="2000"/>
        <w:gridCol w:w="2360"/>
      </w:tblGrid>
      <w:tr>
        <w:tc>
          <w:tcPr>
            <w:tcW w:type="dxa" w:w="16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Actor Category</w:t>
            </w:r>
          </w:p>
        </w:tc>
        <w:tc>
          <w:tcPr>
            <w:tcW w:type="dxa" w:w="14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Capability</w:t>
            </w:r>
          </w:p>
        </w:tc>
        <w:tc>
          <w:tcPr>
            <w:tcW w:type="dxa" w:w="20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Primary Motivation</w:t>
            </w:r>
          </w:p>
        </w:tc>
        <w:tc>
          <w:tcPr>
            <w:tcW w:type="dxa" w:w="20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Targeting Behaviour</w:t>
            </w:r>
          </w:p>
        </w:tc>
        <w:tc>
          <w:tcPr>
            <w:tcW w:type="dxa" w:w="236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OT Relevance</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Nation-State (Tier 1)</w:t>
            </w:r>
          </w:p>
        </w:tc>
        <w:tc>
          <w:tcPr>
            <w:tcW w:type="dxa" w:w="14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Extremely high — custom OT malware, multi-year campaigns, zero-day exploits, physical consequence capability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Geopolitical — espionage, pre-positioning for conflict, coercion, sabotage in support of strategic objectives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Highly selective — specific sectors (energy, water, CNI) in specific adversary nations; persistent access prioritised over immediate impact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Highest consequence potential. Pre-positioned access may persist for years before activation. Colonial-class disruption capability. Relatively low frequency against any single target.</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Nation-State (Tier 2)</w:t>
            </w:r>
          </w:p>
        </w:tc>
        <w:tc>
          <w:tcPr>
            <w:tcW w:type="dxa" w:w="14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High — sophisticated spearphishing, living-off-the-land techniques, some OT-specific capability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Economic espionage, intellectual property theft, strategic access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Broadly targeted within specific sectors; less selective than Tier 1; often opportunistic within strategic targeting criteria</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Significant espionage risk. Process data, operational IP theft. May serve as initial access broker for Tier 1 actors.</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Criminal Ransomware</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Medium-high — sophisticated ransomware platforms, initial access brokers, affiliate model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Financial extortion — ransom payment, often threatening OT disruption as leverage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Opportunistic within sectors with high ransom-payment propensity; increasingly OT-aware; may shut down OT preventatively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Most frequent cause of significant OT disruption. Colonial Pipeline precedent. OT shutdown as business disruption lever. Ransom costs + recovery costs + reputational damage.</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Hacktivist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Low-medium — mostly publicly available tools; occasionally sophisticated in motivated campaigns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Political/ideological — protest, embarrassment, or disruption in support of a cause; anti-industry campaigns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Target selection driven by political narrative — environmental issues (oil companies), conflict (government utilities), social justice</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Limited physical consequence capability but potential for HMI defacement, data disclosure, or minor disruption. Reputation and regulatory risk.</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Insider — Malicious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Variable (very high for authorised OT engineer) — deep system knowledge, physical access, trusted vendor relationships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Revenge (disgruntled employee/contractor), financial gain (paid by external actor), ideology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Facility-specific — attacks the systems the insider has access to; knowledge of security gaps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Highest knowledge advantage of any threat actor. Maroochy Shire precedent. Can cause physical consequences that external attackers struggle to achieve.</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Insider — Unintentional</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Not applicable — no malicious intent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Operational convenience, error, lack of awareness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Facility-wide — any OT system the individual interacts with</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Most frequent cause of OT security events overall. USB malware introduction, accidental configuration changes, social engineering victims. Underestimated risk.</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Script Kiddie / Low-Skill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Low — commodity tools, automated scanners, publicly available exploits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Curiosity, notoriety, opportunistic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Opportunistic — internet-exposed OT systems; known-vulnerable products with public exploits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Increasingly relevant as OT systems become internet-connected. Shodan/Censys scanning exposes OT systems. Public exploits for known OT vulnerabilities lower barrier.</w:t>
            </w:r>
          </w:p>
        </w:tc>
      </w:tr>
    </w:tbl>
    <w:p>
      <w:pPr>
        <w:spacing w:after="220" w:before="80"/>
        <w:jc w:val="center"/>
      </w:pPr>
      <w:r>
        <w:rPr>
          <w:rFonts w:ascii="Arial" w:cs="Arial" w:eastAsia="Arial" w:hAnsi="Arial"/>
          <w:b/>
          <w:bCs/>
          <w:i/>
          <w:iCs/>
          <w:color w:val="1F3864"/>
          <w:sz w:val="20"/>
          <w:szCs w:val="20"/>
        </w:rPr>
        <w:t xml:space="preserve">Table 2.1: OT Threat Actor Spectrum — Capability, Motivation, Targeting, and OT Relevance</w:t>
      </w:r>
    </w:p>
    <w:p>
      <w:pPr>
        <w:spacing w:after="200"/>
      </w:pPr>
      <w:r>
        <w:t xml:space="preserve"/>
      </w:r>
    </w:p>
    <w:p>
      <w:pPr>
        <w:pStyle w:val="Heading2"/>
        <w:spacing w:after="160" w:before="300"/>
      </w:pPr>
      <w:r>
        <w:rPr>
          <w:rFonts w:ascii="Arial" w:cs="Arial" w:eastAsia="Arial" w:hAnsi="Arial"/>
          <w:b/>
          <w:bCs/>
          <w:color w:val="2E75B6"/>
          <w:sz w:val="27"/>
          <w:szCs w:val="27"/>
        </w:rPr>
        <w:t xml:space="preserve">2.2.2  The Changing Threat Landscape — Key Trends</w:t>
      </w:r>
    </w:p>
    <w:p>
      <w:pPr>
        <w:spacing w:after="160" w:line="276"/>
        <w:jc w:val="both"/>
      </w:pPr>
      <w:r>
        <w:rPr>
          <w:rFonts w:ascii="Arial" w:cs="Arial" w:eastAsia="Arial" w:hAnsi="Arial"/>
          <w:b w:val="false"/>
          <w:bCs w:val="false"/>
          <w:color w:val="000000"/>
          <w:sz w:val="22"/>
          <w:szCs w:val="22"/>
        </w:rPr>
        <w:t xml:space="preserve">The OT threat landscape is not static. Several structural trends are reshaping the threat environment in ways that directly affect risk assessment and security investment decisions:</w:t>
      </w:r>
    </w:p>
    <w:p>
      <w:pPr>
        <w:pStyle w:val="ListParagraph"/>
        <w:numPr>
          <w:ilvl w:val="0"/>
          <w:numId w:val="2"/>
        </w:numPr>
        <w:spacing w:after="100" w:line="276"/>
      </w:pPr>
      <w:r>
        <w:rPr>
          <w:rFonts w:ascii="Arial" w:cs="Arial" w:eastAsia="Arial" w:hAnsi="Arial"/>
          <w:sz w:val="22"/>
          <w:szCs w:val="22"/>
        </w:rPr>
        <w:t xml:space="preserve">Democratisation of OT attack capability: The publication of detailed OT attack research, the availability of ICS-specific exploitation frameworks (Metasploit modules for Modbus, S7comm, DNP3), and the commoditisation of initial access through broker services have collectively lowered the capability threshold for OT attacks. Techniques that required nation-state resources in 2010 are increasingly available to well-resourced criminal groups in 2024.</w:t>
      </w:r>
    </w:p>
    <w:p>
      <w:pPr>
        <w:pStyle w:val="ListParagraph"/>
        <w:numPr>
          <w:ilvl w:val="0"/>
          <w:numId w:val="2"/>
        </w:numPr>
        <w:spacing w:after="100" w:line="276"/>
      </w:pPr>
      <w:r>
        <w:rPr>
          <w:rFonts w:ascii="Arial" w:cs="Arial" w:eastAsia="Arial" w:hAnsi="Arial"/>
          <w:sz w:val="22"/>
          <w:szCs w:val="22"/>
        </w:rPr>
        <w:t xml:space="preserve">Criminal OT-awareness: Ransomware groups, which historically targeted IT systems exclusively, have become increasingly aware of the leverage created by OT disruption. The Colonial Pipeline attack demonstrated that shutting down a pipeline — even through precautionary OT shutdown rather than direct OT compromise — creates enormous pressure to pay ransom. Criminal groups now explicitly target organisations in critical infrastructure sectors and are increasingly capable of reaching OT systems when IT/OT segmentation is inadequate.</w:t>
      </w:r>
    </w:p>
    <w:p>
      <w:pPr>
        <w:pStyle w:val="ListParagraph"/>
        <w:numPr>
          <w:ilvl w:val="0"/>
          <w:numId w:val="2"/>
        </w:numPr>
        <w:spacing w:after="100" w:line="276"/>
      </w:pPr>
      <w:r>
        <w:rPr>
          <w:rFonts w:ascii="Arial" w:cs="Arial" w:eastAsia="Arial" w:hAnsi="Arial"/>
          <w:sz w:val="22"/>
          <w:szCs w:val="22"/>
        </w:rPr>
        <w:t xml:space="preserve">Pre-positioning as a strategic posture: Nation-state actors are increasingly focused on pre-positioning — gaining and maintaining persistent access to OT environments in potential adversary nations, not for immediate exploitation but for activation in a future conflict scenario. CISA has repeatedly warned that Chinese, Russian, and Iranian threat actors have pre-positioned access in US and allied critical infrastructure. This changes the risk calculus for operators: the absence of an active attack does not mean the absence of a threat.</w:t>
      </w:r>
    </w:p>
    <w:p>
      <w:pPr>
        <w:pStyle w:val="ListParagraph"/>
        <w:numPr>
          <w:ilvl w:val="0"/>
          <w:numId w:val="2"/>
        </w:numPr>
        <w:spacing w:after="100" w:line="276"/>
      </w:pPr>
      <w:r>
        <w:rPr>
          <w:rFonts w:ascii="Arial" w:cs="Arial" w:eastAsia="Arial" w:hAnsi="Arial"/>
          <w:sz w:val="22"/>
          <w:szCs w:val="22"/>
        </w:rPr>
        <w:t xml:space="preserve">Supply chain as an attack vector: The SolarWinds attack (2020) demonstrated that trusted software update mechanisms can be subverted to deliver malware to thousands of organisations simultaneously. For OT environments, supply chain attacks targeting OT vendor software (DCS configuration tools, PLC programming environments, historian software) represent a particularly dangerous vector because these tools have privileged access to OT systems and are trusted by operators and security tools alike.</w:t>
      </w:r>
    </w:p>
    <w:p>
      <w:pPr>
        <w:pStyle w:val="ListParagraph"/>
        <w:numPr>
          <w:ilvl w:val="0"/>
          <w:numId w:val="2"/>
        </w:numPr>
        <w:spacing w:after="100" w:line="276"/>
      </w:pPr>
      <w:r>
        <w:rPr>
          <w:rFonts w:ascii="Arial" w:cs="Arial" w:eastAsia="Arial" w:hAnsi="Arial"/>
          <w:sz w:val="22"/>
          <w:szCs w:val="22"/>
        </w:rPr>
        <w:t xml:space="preserve">OT-specific malware proliferation: The development of OT-specific malware frameworks — Industroyer (2016), TRITON (2017), Industroyer2 (2022), PIPEDREAM/INCONTROLLER (2022) — represents a qualitative escalation in threat capability. These frameworks are designed specifically to interact with industrial protocols and OT device types, not simply to disrupt the IT systems that support OT. Their existence demonstrates that sophisticated actors have made the investment to understand OT systems at the level required to cause direct physical consequences.</w:t>
      </w:r>
    </w:p>
    <w:p>
      <w:pPr>
        <w:pStyle w:val="ListParagraph"/>
        <w:numPr>
          <w:ilvl w:val="0"/>
          <w:numId w:val="2"/>
        </w:numPr>
        <w:spacing w:after="100" w:line="276"/>
      </w:pPr>
      <w:r>
        <w:rPr>
          <w:rFonts w:ascii="Arial" w:cs="Arial" w:eastAsia="Arial" w:hAnsi="Arial"/>
          <w:sz w:val="22"/>
          <w:szCs w:val="22"/>
        </w:rPr>
        <w:t xml:space="preserve">Convergence of espionage and disruption capability: Nation-state actors increasingly build dual-use access — initial intrusions that establish persistent access suitable for both espionage (collecting operational data) and disruption (activating destructive payloads). This means that what appears to be an espionage campaign may be simultaneously a pre-positioning campaign for future disruption.</w:t>
      </w:r>
    </w:p>
    <w:p>
      <w:r>
        <w:br w:type="page"/>
      </w:r>
    </w:p>
    <w:p>
      <w:pPr>
        <w:pStyle w:val="Heading1"/>
        <w:spacing w:after="200" w:before="400"/>
      </w:pPr>
      <w:r>
        <w:rPr>
          <w:rFonts w:ascii="Arial" w:cs="Arial" w:eastAsia="Arial" w:hAnsi="Arial"/>
          <w:b/>
          <w:bCs/>
          <w:color w:val="1F3864"/>
          <w:sz w:val="34"/>
          <w:szCs w:val="34"/>
        </w:rPr>
        <w:t xml:space="preserve">2.3  Nation-State Threat Actors — Profiles and Capabilities</w:t>
      </w:r>
    </w:p>
    <w:p>
      <w:pPr>
        <w:spacing w:after="160" w:line="276"/>
        <w:jc w:val="both"/>
      </w:pPr>
      <w:r>
        <w:rPr>
          <w:rFonts w:ascii="Arial" w:cs="Arial" w:eastAsia="Arial" w:hAnsi="Arial"/>
          <w:b w:val="false"/>
          <w:bCs w:val="false"/>
          <w:color w:val="000000"/>
          <w:sz w:val="22"/>
          <w:szCs w:val="22"/>
        </w:rPr>
        <w:t xml:space="preserve">Nation-state threat actors represent the highest-capability tier of the OT threat landscape. Their distinguishing characteristics are: the resources to sustain multi-year campaigns; the intelligence to identify and exploit specific vulnerabilities in targeted OT systems; the strategic discipline to maintain persistent access without triggering detection; and, in the most sophisticated cases, the capability to develop custom malware that directly interacts with industrial control protocols and device types. Understanding these actors — their attribution, their targeting patterns, and their documented techniques — is essential for likelihood assessment in high-consequence OT environments.</w:t>
      </w:r>
    </w:p>
    <w:p>
      <w:pPr>
        <w:spacing w:after="160" w:line="276"/>
        <w:jc w:val="both"/>
      </w:pPr>
      <w:r>
        <w:rPr>
          <w:rFonts w:ascii="Arial" w:cs="Arial" w:eastAsia="Arial" w:hAnsi="Arial"/>
          <w:b w:val="false"/>
          <w:bCs w:val="false"/>
          <w:color w:val="000000"/>
          <w:sz w:val="22"/>
          <w:szCs w:val="22"/>
        </w:rPr>
        <w:t xml:space="preserve">The following profiles are based on publicly available threat intelligence from government agencies (CISA, NCSC, NSA, ACSC) and commercial threat intelligence providers (Dragos, Mandiant, CrowdStrike, Microsoft). The Dragos naming convention (codenames for ICS-specific threat groups) is used alongside the Microsoft and CrowdStrike naming conventions where relevant, as Dragos's ICS-focused taxonomy is the most widely used in the OT security practitioner community.</w:t>
      </w:r>
    </w:p>
    <w:p>
      <w:pPr>
        <w:pStyle w:val="Heading2"/>
        <w:spacing w:after="160" w:before="300"/>
      </w:pPr>
      <w:r>
        <w:rPr>
          <w:rFonts w:ascii="Arial" w:cs="Arial" w:eastAsia="Arial" w:hAnsi="Arial"/>
          <w:b/>
          <w:bCs/>
          <w:color w:val="2E75B6"/>
          <w:sz w:val="27"/>
          <w:szCs w:val="27"/>
        </w:rPr>
        <w:t xml:space="preserve">2.3.1  Sandworm — Russia/GRU Unit 74455</w:t>
      </w:r>
    </w:p>
    <w:p>
      <w:pPr>
        <w:spacing w:after="160" w:line="276"/>
        <w:jc w:val="both"/>
      </w:pPr>
      <w:r>
        <w:rPr>
          <w:rFonts w:ascii="Arial" w:cs="Arial" w:eastAsia="Arial" w:hAnsi="Arial"/>
          <w:b w:val="false"/>
          <w:bCs w:val="false"/>
          <w:color w:val="000000"/>
          <w:sz w:val="22"/>
          <w:szCs w:val="22"/>
        </w:rPr>
        <w:t xml:space="preserve">Sandworm is arguably the most consequential OT threat actor in the documented history of cyber conflict. Attributed by multiple government agencies (including the US DOJ, UK NCSC, and EU) to Unit 74455 of Russia's Main Intelligence Directorate (GRU), Sandworm has been responsible for the most damaging cyberattacks against critical infrastructure in history — including the first confirmed cyberattacks to cause power outages, and the most destructive malware ever deployed (NotPetya, estimated $10 billion in global damage).</w:t>
      </w:r>
    </w:p>
    <w:p>
      <w:pPr>
        <w:shd w:fill="FFE0E0" w:val="clear"/>
        <w:spacing w:after="40" w:before="80"/>
        <w:ind w:left="360" w:right="360"/>
      </w:pPr>
      <w:r>
        <w:rPr>
          <w:rFonts w:ascii="Arial" w:cs="Arial" w:eastAsia="Arial" w:hAnsi="Arial"/>
          <w:b/>
          <w:bCs/>
          <w:color w:val="1F3864"/>
          <w:sz w:val="22"/>
          <w:szCs w:val="22"/>
        </w:rPr>
        <w:t xml:space="preserve">THREAT ACTOR PROFILE: Sandworm (GRU Unit 74455)</w:t>
      </w:r>
    </w:p>
    <w:p>
      <w:pPr>
        <w:shd w:fill="FFE0E0" w:val="clear"/>
        <w:spacing w:after="30" w:before="30"/>
        <w:ind w:left="360" w:right="360"/>
      </w:pPr>
      <w:r>
        <w:rPr>
          <w:rFonts w:ascii="Arial" w:cs="Arial" w:eastAsia="Arial" w:hAnsi="Arial"/>
          <w:b/>
          <w:bCs/>
          <w:sz w:val="20"/>
          <w:szCs w:val="20"/>
        </w:rPr>
        <w:t xml:space="preserve">Attribution: Russia — GRU (Main Intelligence Directorate) Military Unit 74455</w:t>
      </w:r>
    </w:p>
    <w:p>
      <w:pPr>
        <w:shd w:fill="FFE0E0" w:val="clear"/>
        <w:spacing w:after="30" w:before="30"/>
        <w:ind w:left="360" w:right="360"/>
      </w:pPr>
      <w:r>
        <w:rPr>
          <w:rFonts w:ascii="Arial" w:cs="Arial" w:eastAsia="Arial" w:hAnsi="Arial"/>
          <w:b w:val="false"/>
          <w:bCs w:val="false"/>
          <w:sz w:val="20"/>
          <w:szCs w:val="20"/>
        </w:rPr>
        <w:t xml:space="preserve">Dragos Designation: ELECTRUM (primary OT-targeting activity)</w:t>
      </w:r>
    </w:p>
    <w:p>
      <w:pPr>
        <w:shd w:fill="FFE0E0" w:val="clear"/>
        <w:spacing w:after="30" w:before="30"/>
        <w:ind w:left="360" w:right="360"/>
      </w:pPr>
      <w:r>
        <w:rPr>
          <w:rFonts w:ascii="Arial" w:cs="Arial" w:eastAsia="Arial" w:hAnsi="Arial"/>
          <w:b w:val="false"/>
          <w:bCs w:val="false"/>
          <w:sz w:val="20"/>
          <w:szCs w:val="20"/>
        </w:rPr>
        <w:t xml:space="preserve">Also known as: Voodoo Bear, TeleBots, Quedagh, BlackEnergy Group</w:t>
      </w:r>
    </w:p>
    <w:p>
      <w:pPr>
        <w:shd w:fill="FFE0E0" w:val="clear"/>
        <w:spacing w:after="30" w:before="30"/>
        <w:ind w:left="360" w:right="360"/>
      </w:pPr>
      <w:r>
        <w:rPr>
          <w:rFonts w:ascii="Arial" w:cs="Arial" w:eastAsia="Arial" w:hAnsi="Arial"/>
          <w:b w:val="false"/>
          <w:bCs w:val="false"/>
          <w:sz w:val="20"/>
          <w:szCs w:val="20"/>
        </w:rPr>
        <w:t xml:space="preserve">Primary Sectors Targeted: Electric power, oil and gas, water, government, defence, financial</w:t>
      </w:r>
    </w:p>
    <w:p>
      <w:pPr>
        <w:shd w:fill="FFE0E0" w:val="clear"/>
        <w:spacing w:after="30" w:before="30"/>
        <w:ind w:left="360" w:right="360"/>
      </w:pPr>
      <w:r>
        <w:rPr>
          <w:rFonts w:ascii="Arial" w:cs="Arial" w:eastAsia="Arial" w:hAnsi="Arial"/>
          <w:b w:val="false"/>
          <w:bCs w:val="false"/>
          <w:sz w:val="20"/>
          <w:szCs w:val="20"/>
        </w:rPr>
        <w:t xml:space="preserve">Geographic Focus: Ukraine (primary operational target), USA, EU, NATO members, Australia</w:t>
      </w:r>
    </w:p>
    <w:p>
      <w:pPr>
        <w:shd w:fill="FFE0E0" w:val="clear"/>
        <w:spacing w:after="30" w:before="30"/>
        <w:ind w:left="360" w:right="360"/>
      </w:pPr>
      <w:r>
        <w:rPr>
          <w:rFonts w:ascii="Arial" w:cs="Arial" w:eastAsia="Arial" w:hAnsi="Arial"/>
          <w:b w:val="false"/>
          <w:bCs w:val="false"/>
          <w:sz w:val="20"/>
          <w:szCs w:val="20"/>
        </w:rPr>
        <w:t xml:space="preserve">Activity Period: Documented from 2009; active and escalating</w:t>
      </w:r>
    </w:p>
    <w:p>
      <w:pPr>
        <w:shd w:fill="FFE0E0" w:val="clear"/>
        <w:spacing w:after="30" w:before="30"/>
        <w:ind w:left="360" w:right="360"/>
      </w:pPr>
      <w:r>
        <w:rPr>
          <w:rFonts w:ascii="Arial" w:cs="Arial" w:eastAsia="Arial" w:hAnsi="Arial"/>
          <w:b w:val="false"/>
          <w:bCs w:val="false"/>
          <w:sz w:val="20"/>
          <w:szCs w:val="20"/>
        </w:rPr>
        <w:t xml:space="preserve">Capability Level: Tier 1 — custom OT malware, multi-stage campaigns, physical consequence demonstrated</w:t>
      </w:r>
    </w:p>
    <w:p>
      <w:pPr>
        <w:spacing w:after="200"/>
      </w:pPr>
      <w:r>
        <w:t xml:space="preserve"/>
      </w:r>
    </w:p>
    <w:p>
      <w:pPr>
        <w:pStyle w:val="Heading3"/>
        <w:spacing w:after="120" w:before="220"/>
      </w:pPr>
      <w:r>
        <w:rPr>
          <w:rFonts w:ascii="Arial" w:cs="Arial" w:eastAsia="Arial" w:hAnsi="Arial"/>
          <w:b/>
          <w:bCs/>
          <w:color w:val="1F3864"/>
          <w:sz w:val="23"/>
          <w:szCs w:val="23"/>
        </w:rPr>
        <w:t xml:space="preserve">2.3.1.1  Documented Attacks and Techniques</w:t>
      </w:r>
    </w:p>
    <w:p>
      <w:pPr>
        <w:spacing w:after="160" w:line="276"/>
        <w:jc w:val="both"/>
      </w:pPr>
      <w:r>
        <w:rPr>
          <w:rFonts w:ascii="Arial" w:cs="Arial" w:eastAsia="Arial" w:hAnsi="Arial"/>
          <w:b w:val="false"/>
          <w:bCs w:val="false"/>
          <w:color w:val="000000"/>
          <w:sz w:val="22"/>
          <w:szCs w:val="22"/>
        </w:rPr>
        <w:t xml:space="preserve">Sandworm's documented OT attacks represent the most complete public record of nation-state OT attack progression available to the security community:</w:t>
      </w:r>
    </w:p>
    <w:p>
      <w:pPr>
        <w:pStyle w:val="ListParagraph"/>
        <w:numPr>
          <w:ilvl w:val="0"/>
          <w:numId w:val="2"/>
        </w:numPr>
        <w:spacing w:after="100" w:line="276"/>
      </w:pPr>
      <w:r>
        <w:rPr>
          <w:rFonts w:ascii="Arial" w:cs="Arial" w:eastAsia="Arial" w:hAnsi="Arial"/>
          <w:sz w:val="22"/>
          <w:szCs w:val="22"/>
        </w:rPr>
        <w:t xml:space="preserve">BlackEnergy / Ukraine Power Grid 2015: Sandworm used the BlackEnergy 3 malware, delivered through spearphishing of Windows-based HMI workstations at three Ukrainian regional electricity distribution companies. After months of persistent access, coordinated attacks used SCADA access to remotely open 30 distribution substations' circuit breakers, cutting power to approximately 225,000 customers for 1–6 hours. The attackers simultaneously used a telephony denial-of-service (TDoS) attack to flood the utilities' call centres, preventing customer reports from reaching operators, and deployed KillDisk malware on the operators' workstations to destroy software and prevent recovery (Lee et al., 2016; Liang et al., 2017).</w:t>
      </w:r>
    </w:p>
    <w:p>
      <w:pPr>
        <w:pStyle w:val="ListParagraph"/>
        <w:numPr>
          <w:ilvl w:val="0"/>
          <w:numId w:val="2"/>
        </w:numPr>
        <w:spacing w:after="100" w:line="276"/>
      </w:pPr>
      <w:r>
        <w:rPr>
          <w:rFonts w:ascii="Arial" w:cs="Arial" w:eastAsia="Arial" w:hAnsi="Arial"/>
          <w:sz w:val="22"/>
          <w:szCs w:val="22"/>
        </w:rPr>
        <w:t xml:space="preserve">Industroyer / Ukraine Power Grid 2016: One year later, Sandworm deployed Industroyer (also called CrashOverride) against the Pivnichna transmission substation in Kyiv. Industroyer was the first malware framework specifically designed to interact with industrial communication protocols — it contained native modules for IEC 60870-5-101, IEC 60870-5-104, IEC 61850 GOOSE, and OPC-DA, enabling direct manipulation of substation automation equipment without requiring Windows-layer exploitation. The attack caused a brief but significant power outage in northern Kyiv and demonstrated a qualitative leap in OT attack capability (Cherepanov, 2017; Dragos, 2017).</w:t>
      </w:r>
    </w:p>
    <w:p>
      <w:pPr>
        <w:pStyle w:val="ListParagraph"/>
        <w:numPr>
          <w:ilvl w:val="0"/>
          <w:numId w:val="2"/>
        </w:numPr>
        <w:spacing w:after="100" w:line="276"/>
      </w:pPr>
      <w:r>
        <w:rPr>
          <w:rFonts w:ascii="Arial" w:cs="Arial" w:eastAsia="Arial" w:hAnsi="Arial"/>
          <w:sz w:val="22"/>
          <w:szCs w:val="22"/>
        </w:rPr>
        <w:t xml:space="preserve">NotPetya 2017: While not specifically an OT attack, NotPetya — a destructive wiper disguised as ransomware — caused approximately $10 billion in global economic damage, disrupting OT operations at multiple industrial facilities including Maersk (shipping), Mondelez (food manufacturing), and Merck (pharmaceutical). It demonstrated that destructive malware can impact OT operations through IT/OT convergence even when OT systems are not directly targeted.</w:t>
      </w:r>
    </w:p>
    <w:p>
      <w:pPr>
        <w:pStyle w:val="ListParagraph"/>
        <w:numPr>
          <w:ilvl w:val="0"/>
          <w:numId w:val="2"/>
        </w:numPr>
        <w:spacing w:after="100" w:line="276"/>
      </w:pPr>
      <w:r>
        <w:rPr>
          <w:rFonts w:ascii="Arial" w:cs="Arial" w:eastAsia="Arial" w:hAnsi="Arial"/>
          <w:sz w:val="22"/>
          <w:szCs w:val="22"/>
        </w:rPr>
        <w:t xml:space="preserve">Industroyer2 / Ukraine 2022: During Russia's full-scale invasion of Ukraine, Sandworm deployed Industroyer2 — an updated version of the 2016 Industroyer framework — against a Ukrainian high-voltage electricity substation. CERT-UA and ESET detected and disrupted the attack before it could cause widespread outages. Industroyer2 was accompanied by CaddyWiper malware designed to destroy Windows systems to complicate recovery. The 2022 attack demonstrated that Sandworm continued to develop its ICS capabilities and that Industroyer is a sustained framework rather than a one-time development (ESET, 2022).</w:t>
      </w:r>
    </w:p>
    <w:p>
      <w:pPr>
        <w:pStyle w:val="ListParagraph"/>
        <w:numPr>
          <w:ilvl w:val="0"/>
          <w:numId w:val="2"/>
        </w:numPr>
        <w:spacing w:after="100" w:line="276"/>
      </w:pPr>
      <w:r>
        <w:rPr>
          <w:rFonts w:ascii="Arial" w:cs="Arial" w:eastAsia="Arial" w:hAnsi="Arial"/>
          <w:sz w:val="22"/>
          <w:szCs w:val="22"/>
        </w:rPr>
        <w:t xml:space="preserve">PIPEDREAM/INCONTROLLER 2022: The US government (CISA/NSA/FBI/DOE) issued an advisory in April 2022 warning of a new ICS-specific malware framework attributed to a state-sponsored threat actor (widely believed to be Russian). PIPEDREAM (Dragos designation) / INCONTROLLER (Mandiant designation) was described as a modular framework capable of targeting Schneider Electric MODICON PLCs, OMRON PLCs, Emerson DeltaV OPC-UA servers, and industrial network infrastructure. It represented the most capable ICS-specific attack framework publicly disclosed to date — described by Dragos as representing capabilities that 'could disrupt, degrade, and potentially destroy physical industrial processes in critical infrastructure environments' (CISA et al., 2022; Dragos, 2022).</w:t>
      </w:r>
    </w:p>
    <w:p>
      <w:pPr>
        <w:pStyle w:val="Heading2"/>
        <w:spacing w:after="160" w:before="300"/>
      </w:pPr>
      <w:r>
        <w:rPr>
          <w:rFonts w:ascii="Arial" w:cs="Arial" w:eastAsia="Arial" w:hAnsi="Arial"/>
          <w:b/>
          <w:bCs/>
          <w:color w:val="2E75B6"/>
          <w:sz w:val="27"/>
          <w:szCs w:val="27"/>
        </w:rPr>
        <w:t xml:space="preserve">2.3.2  Volt Typhoon — China/MSS</w:t>
      </w:r>
    </w:p>
    <w:p>
      <w:pPr>
        <w:spacing w:after="160" w:line="276"/>
        <w:jc w:val="both"/>
      </w:pPr>
      <w:r>
        <w:rPr>
          <w:rFonts w:ascii="Arial" w:cs="Arial" w:eastAsia="Arial" w:hAnsi="Arial"/>
          <w:b w:val="false"/>
          <w:bCs w:val="false"/>
          <w:color w:val="000000"/>
          <w:sz w:val="22"/>
          <w:szCs w:val="22"/>
        </w:rPr>
        <w:t xml:space="preserve">Volt Typhoon (Microsoft's designation; also known as Bronze Silhouette (SecureWorks) and Vanguard Panda (CrowdStrike)) represents a distinctly different threat model from Sandworm. Where Sandworm has demonstrated a willingness to cause destructive effects and immediate disruption, Volt Typhoon's documented behaviour is characterised by extreme operational security, patient long-term access, and the deliberate avoidance of any actions that might reveal the intrusion. This is pre-positioning at its most sophisticated.</w:t>
      </w:r>
    </w:p>
    <w:p>
      <w:pPr>
        <w:shd w:fill="FFF0E0" w:val="clear"/>
        <w:spacing w:after="40" w:before="80"/>
        <w:ind w:left="360" w:right="360"/>
      </w:pPr>
      <w:r>
        <w:rPr>
          <w:rFonts w:ascii="Arial" w:cs="Arial" w:eastAsia="Arial" w:hAnsi="Arial"/>
          <w:b/>
          <w:bCs/>
          <w:color w:val="1F3864"/>
          <w:sz w:val="22"/>
          <w:szCs w:val="22"/>
        </w:rPr>
        <w:t xml:space="preserve">THREAT ACTOR PROFILE: Volt Typhoon (MSS-affiliated)</w:t>
      </w:r>
    </w:p>
    <w:p>
      <w:pPr>
        <w:shd w:fill="FFF0E0" w:val="clear"/>
        <w:spacing w:after="30" w:before="30"/>
        <w:ind w:left="360" w:right="360"/>
      </w:pPr>
      <w:r>
        <w:rPr>
          <w:rFonts w:ascii="Arial" w:cs="Arial" w:eastAsia="Arial" w:hAnsi="Arial"/>
          <w:b/>
          <w:bCs/>
          <w:sz w:val="20"/>
          <w:szCs w:val="20"/>
        </w:rPr>
        <w:t xml:space="preserve">Attribution: China — Ministry of State Security (MSS) or affiliated contractor network</w:t>
      </w:r>
    </w:p>
    <w:p>
      <w:pPr>
        <w:shd w:fill="FFF0E0" w:val="clear"/>
        <w:spacing w:after="30" w:before="30"/>
        <w:ind w:left="360" w:right="360"/>
      </w:pPr>
      <w:r>
        <w:rPr>
          <w:rFonts w:ascii="Arial" w:cs="Arial" w:eastAsia="Arial" w:hAnsi="Arial"/>
          <w:b w:val="false"/>
          <w:bCs w:val="false"/>
          <w:sz w:val="20"/>
          <w:szCs w:val="20"/>
        </w:rPr>
        <w:t xml:space="preserve">Also known as: Bronze Silhouette (SecureWorks), Vanguard Panda (CrowdStrike), UNC3236 (Mandiant)</w:t>
      </w:r>
    </w:p>
    <w:p>
      <w:pPr>
        <w:shd w:fill="FFF0E0" w:val="clear"/>
        <w:spacing w:after="30" w:before="30"/>
        <w:ind w:left="360" w:right="360"/>
      </w:pPr>
      <w:r>
        <w:rPr>
          <w:rFonts w:ascii="Arial" w:cs="Arial" w:eastAsia="Arial" w:hAnsi="Arial"/>
          <w:b w:val="false"/>
          <w:bCs w:val="false"/>
          <w:sz w:val="20"/>
          <w:szCs w:val="20"/>
        </w:rPr>
        <w:t xml:space="preserve">Primary Sectors Targeted: Communications, energy, water, transportation, government, defence industrial base</w:t>
      </w:r>
    </w:p>
    <w:p>
      <w:pPr>
        <w:shd w:fill="FFF0E0" w:val="clear"/>
        <w:spacing w:after="30" w:before="30"/>
        <w:ind w:left="360" w:right="360"/>
      </w:pPr>
      <w:r>
        <w:rPr>
          <w:rFonts w:ascii="Arial" w:cs="Arial" w:eastAsia="Arial" w:hAnsi="Arial"/>
          <w:b w:val="false"/>
          <w:bCs w:val="false"/>
          <w:sz w:val="20"/>
          <w:szCs w:val="20"/>
        </w:rPr>
        <w:t xml:space="preserve">Geographic Focus: USA (primary confirmed focus), Guam and Pacific territories, Five Eyes allies</w:t>
      </w:r>
    </w:p>
    <w:p>
      <w:pPr>
        <w:shd w:fill="FFF0E0" w:val="clear"/>
        <w:spacing w:after="30" w:before="30"/>
        <w:ind w:left="360" w:right="360"/>
      </w:pPr>
      <w:r>
        <w:rPr>
          <w:rFonts w:ascii="Arial" w:cs="Arial" w:eastAsia="Arial" w:hAnsi="Arial"/>
          <w:b w:val="false"/>
          <w:bCs w:val="false"/>
          <w:sz w:val="20"/>
          <w:szCs w:val="20"/>
        </w:rPr>
        <w:t xml:space="preserve">Activity Period: Documented from at least 2021; likely earlier; ongoing</w:t>
      </w:r>
    </w:p>
    <w:p>
      <w:pPr>
        <w:shd w:fill="FFF0E0" w:val="clear"/>
        <w:spacing w:after="30" w:before="30"/>
        <w:ind w:left="360" w:right="360"/>
      </w:pPr>
      <w:r>
        <w:rPr>
          <w:rFonts w:ascii="Arial" w:cs="Arial" w:eastAsia="Arial" w:hAnsi="Arial"/>
          <w:b w:val="false"/>
          <w:bCs w:val="false"/>
          <w:sz w:val="20"/>
          <w:szCs w:val="20"/>
        </w:rPr>
        <w:t xml:space="preserve">Capability Level: Tier 1 — living-off-the-land, extreme stealth, multi-year persistence, pre-positioning focus</w:t>
      </w:r>
    </w:p>
    <w:p>
      <w:pPr>
        <w:spacing w:after="200"/>
      </w:pPr>
      <w:r>
        <w:t xml:space="preserve"/>
      </w:r>
    </w:p>
    <w:p>
      <w:pPr>
        <w:spacing w:after="160" w:line="276"/>
        <w:jc w:val="both"/>
      </w:pPr>
      <w:r>
        <w:rPr>
          <w:rFonts w:ascii="Arial" w:cs="Arial" w:eastAsia="Arial" w:hAnsi="Arial"/>
          <w:b w:val="false"/>
          <w:bCs w:val="false"/>
          <w:color w:val="000000"/>
          <w:sz w:val="22"/>
          <w:szCs w:val="22"/>
        </w:rPr>
        <w:t xml:space="preserve">A joint advisory from CISA, NSA, FBI, and the Five Eyes partner agencies (ACSC, NCSC, CCCS, NZSD) published in May 2023 described Volt Typhoon's activity and assessed that the actor 'is pursuing capabilities that could disrupt critical communications infrastructure between the United States and Asia region during future crises' (CISA et al., 2023). A follow-up advisory in February 2024 stated that Volt Typhoon 'has compromised the IT environments of multiple critical infrastructure organisations' and has been pre-positioning 'in preparation for potential destructive or disruptive cyber attacks against US critical infrastructure in the event of a major crisis or conflict with the United States' (CISA et al., 2024).</w:t>
      </w:r>
    </w:p>
    <w:p>
      <w:pPr>
        <w:spacing w:after="160" w:line="276"/>
        <w:jc w:val="both"/>
      </w:pPr>
      <w:r>
        <w:rPr>
          <w:rFonts w:ascii="Arial" w:cs="Arial" w:eastAsia="Arial" w:hAnsi="Arial"/>
          <w:b w:val="false"/>
          <w:bCs w:val="false"/>
          <w:color w:val="000000"/>
          <w:sz w:val="22"/>
          <w:szCs w:val="22"/>
        </w:rPr>
        <w:t xml:space="preserve">Volt Typhoon's distinguishing tactical characteristic is living-off-the-land (LOTL): the deliberate use of built-in operating system tools and legitimate software (PowerShell, WMIC, netsh, ntdsutil, Impacket) for all post-compromise activity, rather than deploying custom malware. This approach produces minimal forensic artefacts and allows the actor to blend with normal IT administration activity — making detection extremely difficult for security tools that focus on malware signatures rather than behavioural anomalies.</w:t>
      </w:r>
    </w:p>
    <w:p>
      <w:pPr>
        <w:spacing w:after="160" w:line="276"/>
        <w:jc w:val="both"/>
      </w:pPr>
      <w:r>
        <w:rPr>
          <w:rFonts w:ascii="Arial" w:cs="Arial" w:eastAsia="Arial" w:hAnsi="Arial"/>
          <w:b w:val="false"/>
          <w:bCs w:val="false"/>
          <w:color w:val="000000"/>
          <w:sz w:val="22"/>
          <w:szCs w:val="22"/>
        </w:rPr>
        <w:t xml:space="preserve">The OT security implications of Volt Typhoon are particularly significant for the likelihood assessment of high-consequence scenarios at critical infrastructure facilities in the United States, Australia, and other Five Eyes nations. The documented pre-positioning behaviour means that:</w:t>
      </w:r>
    </w:p>
    <w:p>
      <w:pPr>
        <w:pStyle w:val="ListParagraph"/>
        <w:numPr>
          <w:ilvl w:val="0"/>
          <w:numId w:val="2"/>
        </w:numPr>
        <w:spacing w:after="100" w:line="276"/>
      </w:pPr>
      <w:r>
        <w:rPr>
          <w:rFonts w:ascii="Arial" w:cs="Arial" w:eastAsia="Arial" w:hAnsi="Arial"/>
          <w:sz w:val="22"/>
          <w:szCs w:val="22"/>
        </w:rPr>
        <w:t xml:space="preserve">Absence of detected attacks does not mean absence of access: Volt Typhoon's stealth-first approach means that compromised infrastructure may not be detected until months or years after initial access. A critical infrastructure operator with no detected incidents is not necessarily threat-free.</w:t>
      </w:r>
    </w:p>
    <w:p>
      <w:pPr>
        <w:pStyle w:val="ListParagraph"/>
        <w:numPr>
          <w:ilvl w:val="0"/>
          <w:numId w:val="2"/>
        </w:numPr>
        <w:spacing w:after="100" w:line="276"/>
      </w:pPr>
      <w:r>
        <w:rPr>
          <w:rFonts w:ascii="Arial" w:cs="Arial" w:eastAsia="Arial" w:hAnsi="Arial"/>
          <w:sz w:val="22"/>
          <w:szCs w:val="22"/>
        </w:rPr>
        <w:t xml:space="preserve">Access may already be established: The February 2024 joint advisory confirmed that multiple critical infrastructure organisations were already compromised. Likelihood assessments for high-severity scenarios at US critical infrastructure must incorporate the possibility that adversary access already exists.</w:t>
      </w:r>
    </w:p>
    <w:p>
      <w:pPr>
        <w:pStyle w:val="ListParagraph"/>
        <w:numPr>
          <w:ilvl w:val="0"/>
          <w:numId w:val="2"/>
        </w:numPr>
        <w:spacing w:after="100" w:line="276"/>
      </w:pPr>
      <w:r>
        <w:rPr>
          <w:rFonts w:ascii="Arial" w:cs="Arial" w:eastAsia="Arial" w:hAnsi="Arial"/>
          <w:sz w:val="22"/>
          <w:szCs w:val="22"/>
        </w:rPr>
        <w:t xml:space="preserve">The trigger is geopolitical, not operational: Volt Typhoon's pre-positioned access is likely intended for activation during a geopolitical crisis (e.g., conflict over Taiwan), not for immediate exploitation. Likelihood is therefore conditional on geopolitical context — low in peacetime, potentially very high during crisis.</w:t>
      </w:r>
    </w:p>
    <w:p>
      <w:pPr>
        <w:pStyle w:val="Heading2"/>
        <w:spacing w:after="160" w:before="300"/>
      </w:pPr>
      <w:r>
        <w:rPr>
          <w:rFonts w:ascii="Arial" w:cs="Arial" w:eastAsia="Arial" w:hAnsi="Arial"/>
          <w:b/>
          <w:bCs/>
          <w:color w:val="2E75B6"/>
          <w:sz w:val="27"/>
          <w:szCs w:val="27"/>
        </w:rPr>
        <w:t xml:space="preserve">2.3.3  CHERNOVITE / PIPEDREAM</w:t>
      </w:r>
    </w:p>
    <w:p>
      <w:pPr>
        <w:spacing w:after="160" w:line="276"/>
        <w:jc w:val="both"/>
      </w:pPr>
      <w:r>
        <w:rPr>
          <w:rFonts w:ascii="Arial" w:cs="Arial" w:eastAsia="Arial" w:hAnsi="Arial"/>
          <w:b w:val="false"/>
          <w:bCs w:val="false"/>
          <w:color w:val="000000"/>
          <w:sz w:val="22"/>
          <w:szCs w:val="22"/>
        </w:rPr>
        <w:t xml:space="preserve">CHERNOVITE is Dragos's designation for the threat group assessed to have developed and potentially deployed the PIPEDREAM malware framework — the most capable ICS-specific attack framework publicly disclosed. Unlike Sandworm (which has a well-documented history of actual attacks) and Volt Typhoon (which has been widely attributed to China/MSS), CHERNOVITE's full attribution and operational history remain more limited in public reporting, reflecting the sensitivity of ongoing intelligence collection.</w:t>
      </w:r>
    </w:p>
    <w:p>
      <w:pPr>
        <w:spacing w:after="160" w:line="276"/>
        <w:jc w:val="both"/>
      </w:pPr>
      <w:r>
        <w:rPr>
          <w:rFonts w:ascii="Arial" w:cs="Arial" w:eastAsia="Arial" w:hAnsi="Arial"/>
          <w:b w:val="false"/>
          <w:bCs w:val="false"/>
          <w:color w:val="000000"/>
          <w:sz w:val="22"/>
          <w:szCs w:val="22"/>
        </w:rPr>
        <w:t xml:space="preserve">What is publicly known about CHERNOVITE is primarily defined by the PIPEDREAM framework itself. PIPEDREAM represents a new level of ICS attack sophistication: it is not simply IT malware that can disrupt OT operations through Windows-layer attacks — it is a purpose-built ICS exploitation framework that implements native industrial protocol stacks and device-specific attack modules:</w:t>
      </w:r>
    </w:p>
    <w:p>
      <w:pPr>
        <w:pStyle w:val="ListParagraph"/>
        <w:numPr>
          <w:ilvl w:val="0"/>
          <w:numId w:val="2"/>
        </w:numPr>
        <w:spacing w:after="100" w:line="276"/>
      </w:pPr>
      <w:r>
        <w:rPr>
          <w:rFonts w:ascii="Arial" w:cs="Arial" w:eastAsia="Arial" w:hAnsi="Arial"/>
          <w:sz w:val="22"/>
          <w:szCs w:val="22"/>
        </w:rPr>
        <w:t xml:space="preserve">EVILSCHOLAR: Targets Schneider Electric MODICON PLCs, implementing Modbus and UMAS (Unified Messaging Application Services — Schneider's proprietary engineering protocol) to enable reconnaissance, firmware manipulation, and denial-of-service of Schneider PLCs.</w:t>
      </w:r>
    </w:p>
    <w:p>
      <w:pPr>
        <w:pStyle w:val="ListParagraph"/>
        <w:numPr>
          <w:ilvl w:val="0"/>
          <w:numId w:val="2"/>
        </w:numPr>
        <w:spacing w:after="100" w:line="276"/>
      </w:pPr>
      <w:r>
        <w:rPr>
          <w:rFonts w:ascii="Arial" w:cs="Arial" w:eastAsia="Arial" w:hAnsi="Arial"/>
          <w:sz w:val="22"/>
          <w:szCs w:val="22"/>
        </w:rPr>
        <w:t xml:space="preserve">BADOMEN: Targets OMRON PLCs via OMRON's proprietary FINS protocol, enabling reconnaissance, command execution, and persistent access to OMRON controller firmware.</w:t>
      </w:r>
    </w:p>
    <w:p>
      <w:pPr>
        <w:pStyle w:val="ListParagraph"/>
        <w:numPr>
          <w:ilvl w:val="0"/>
          <w:numId w:val="2"/>
        </w:numPr>
        <w:spacing w:after="100" w:line="276"/>
      </w:pPr>
      <w:r>
        <w:rPr>
          <w:rFonts w:ascii="Arial" w:cs="Arial" w:eastAsia="Arial" w:hAnsi="Arial"/>
          <w:sz w:val="22"/>
          <w:szCs w:val="22"/>
        </w:rPr>
        <w:t xml:space="preserve">MOUSEHOLE: Targets OPC-UA servers, enabling reconnaissance and manipulation of OPC-UA data — including potential manipulation of process data visible to operators.</w:t>
      </w:r>
    </w:p>
    <w:p>
      <w:pPr>
        <w:pStyle w:val="ListParagraph"/>
        <w:numPr>
          <w:ilvl w:val="0"/>
          <w:numId w:val="2"/>
        </w:numPr>
        <w:spacing w:after="100" w:line="276"/>
      </w:pPr>
      <w:r>
        <w:rPr>
          <w:rFonts w:ascii="Arial" w:cs="Arial" w:eastAsia="Arial" w:hAnsi="Arial"/>
          <w:sz w:val="22"/>
          <w:szCs w:val="22"/>
        </w:rPr>
        <w:t xml:space="preserve">DUSTTUNNEL: A custom tunnelling capability for command-and-control through OT network environments.</w:t>
      </w:r>
    </w:p>
    <w:p>
      <w:pPr>
        <w:pStyle w:val="ListParagraph"/>
        <w:numPr>
          <w:ilvl w:val="0"/>
          <w:numId w:val="2"/>
        </w:numPr>
        <w:spacing w:after="100" w:line="276"/>
      </w:pPr>
      <w:r>
        <w:rPr>
          <w:rFonts w:ascii="Arial" w:cs="Arial" w:eastAsia="Arial" w:hAnsi="Arial"/>
          <w:sz w:val="22"/>
          <w:szCs w:val="22"/>
        </w:rPr>
        <w:t xml:space="preserve">LAZYCARGO: Targets industrial Ethernet switches, enabling network topology manipulation and traffic interception within OT networks.</w:t>
      </w:r>
    </w:p>
    <w:p>
      <w:pPr>
        <w:spacing w:after="160" w:line="276"/>
        <w:jc w:val="both"/>
      </w:pPr>
      <w:r>
        <w:rPr>
          <w:rFonts w:ascii="Arial" w:cs="Arial" w:eastAsia="Arial" w:hAnsi="Arial"/>
          <w:b w:val="false"/>
          <w:bCs w:val="false"/>
          <w:color w:val="000000"/>
          <w:sz w:val="22"/>
          <w:szCs w:val="22"/>
        </w:rPr>
        <w:t xml:space="preserve">The significance of PIPEDREAM/CHERNOVITE for risk assessment is that it represents a threat that could directly cause physical consequences in any facility deploying Schneider Electric or OMRON PLCs — which encompasses a very large proportion of the global OT installed base. Its existence elevates the likelihood of successful OT attacks at facilities with these technologies, particularly for scenarios involving loss of control or safety function defeat.</w:t>
      </w:r>
    </w:p>
    <w:p>
      <w:pPr>
        <w:pStyle w:val="Heading2"/>
        <w:spacing w:after="160" w:before="300"/>
      </w:pPr>
      <w:r>
        <w:rPr>
          <w:rFonts w:ascii="Arial" w:cs="Arial" w:eastAsia="Arial" w:hAnsi="Arial"/>
          <w:b/>
          <w:bCs/>
          <w:color w:val="2E75B6"/>
          <w:sz w:val="27"/>
          <w:szCs w:val="27"/>
        </w:rPr>
        <w:t xml:space="preserve">2.3.4  KAMACITE — Pre-Positioning in US Energy</w:t>
      </w:r>
    </w:p>
    <w:p>
      <w:pPr>
        <w:spacing w:after="160" w:line="276"/>
        <w:jc w:val="both"/>
      </w:pPr>
      <w:r>
        <w:rPr>
          <w:rFonts w:ascii="Arial" w:cs="Arial" w:eastAsia="Arial" w:hAnsi="Arial"/>
          <w:b w:val="false"/>
          <w:bCs w:val="false"/>
          <w:color w:val="000000"/>
          <w:sz w:val="22"/>
          <w:szCs w:val="22"/>
        </w:rPr>
        <w:t xml:space="preserve">KAMACITE (Dragos designation) is a threat group assessed by Dragos as operating in support of Sandworm — specifically focused on gaining initial access to US and European energy sector OT environments, which it then hands off to Sandworm or other GRU-affiliated actors for further exploitation. KAMACITE has been active since at least 2017 and is associated with the Triton/TRISIS malware development (though the SIS-specific malware is attributed to a separate group designated XENOTIME by Dragos).</w:t>
      </w:r>
    </w:p>
    <w:p>
      <w:pPr>
        <w:spacing w:after="160" w:line="276"/>
        <w:jc w:val="both"/>
      </w:pPr>
      <w:r>
        <w:rPr>
          <w:rFonts w:ascii="Arial" w:cs="Arial" w:eastAsia="Arial" w:hAnsi="Arial"/>
          <w:b w:val="false"/>
          <w:bCs w:val="false"/>
          <w:color w:val="000000"/>
          <w:sz w:val="22"/>
          <w:szCs w:val="22"/>
        </w:rPr>
        <w:t xml:space="preserve">KAMACITE's primary technique is credential-based initial access — specifically targeting internet-facing OT systems and remote access infrastructure with brute-force attacks, credential stuffing, and exploitation of unpatched VPN vulnerabilities. KAMACITE has been observed targeting Fortinet VPN vulnerabilities (CVE-2018-13379, among others) to gain access to industrial networks in the energy sector. Once inside, KAMACITE uses legitimate Windows tools and existing administrative accounts to maintain persistence while mapping the OT network.</w:t>
      </w:r>
    </w:p>
    <w:p>
      <w:pPr>
        <w:spacing w:after="160" w:line="276"/>
        <w:jc w:val="both"/>
      </w:pPr>
      <w:r>
        <w:rPr>
          <w:rFonts w:ascii="Arial" w:cs="Arial" w:eastAsia="Arial" w:hAnsi="Arial"/>
          <w:b w:val="false"/>
          <w:bCs w:val="false"/>
          <w:color w:val="000000"/>
          <w:sz w:val="22"/>
          <w:szCs w:val="22"/>
        </w:rPr>
        <w:t xml:space="preserve">KAMACITE's significance for likelihood assessment at US and European energy sector facilities is high: its targeting of credential-based initial access vectors means that facilities with internet-facing OT systems, inadequate remote access security (particularly unpatched VPN infrastructure), and weak credential hygiene are actively targeted by an actor with confirmed OT sector focus and demonstrated access to Sandworm's destructive capabilities.</w:t>
      </w:r>
    </w:p>
    <w:p>
      <w:pPr>
        <w:pStyle w:val="Heading2"/>
        <w:spacing w:after="160" w:before="300"/>
      </w:pPr>
      <w:r>
        <w:rPr>
          <w:rFonts w:ascii="Arial" w:cs="Arial" w:eastAsia="Arial" w:hAnsi="Arial"/>
          <w:b/>
          <w:bCs/>
          <w:color w:val="2E75B6"/>
          <w:sz w:val="27"/>
          <w:szCs w:val="27"/>
        </w:rPr>
        <w:t xml:space="preserve">2.3.5  XENOTIME — Safety System Specialists</w:t>
      </w:r>
    </w:p>
    <w:p>
      <w:pPr>
        <w:spacing w:after="160" w:line="276"/>
        <w:jc w:val="both"/>
      </w:pPr>
      <w:r>
        <w:rPr>
          <w:rFonts w:ascii="Arial" w:cs="Arial" w:eastAsia="Arial" w:hAnsi="Arial"/>
          <w:b w:val="false"/>
          <w:bCs w:val="false"/>
          <w:color w:val="000000"/>
          <w:sz w:val="22"/>
          <w:szCs w:val="22"/>
        </w:rPr>
        <w:t xml:space="preserve">XENOTIME (Dragos designation) is the threat group attributed by Dragos and FireEye/Mandiant (as TEMP.Veles) to the development and deployment of the TRITON/TRISIS malware — the first confirmed attack specifically targeting a Safety Instrumented System. The TRITON attack, discovered at a Saudi Arabian petrochemical facility in 2017, attempted to disable the Schneider Electric Triconex SIS to allow a concurrent attack on the BPCS to cause a physical accident without triggering the safety system response.</w:t>
      </w:r>
    </w:p>
    <w:p>
      <w:pPr>
        <w:spacing w:after="160" w:line="276"/>
        <w:jc w:val="both"/>
      </w:pPr>
      <w:r>
        <w:rPr>
          <w:rFonts w:ascii="Arial" w:cs="Arial" w:eastAsia="Arial" w:hAnsi="Arial"/>
          <w:b w:val="false"/>
          <w:bCs w:val="false"/>
          <w:color w:val="000000"/>
          <w:sz w:val="22"/>
          <w:szCs w:val="22"/>
        </w:rPr>
        <w:t xml:space="preserve">XENOTIME's attribution to Russia's Central Scientific Research Institute of Chemistry and Mechanics (TsNIIKhM) was assessed by Mandiant in 2018 (FireEye, 2018) based on code overlap, infrastructure, and the operational profile of the attack. The group has been observed scanning industrial control system devices in North American and Australian energy sectors since at least 2018 — indicating that the TRITON attack was not a one-time operation but part of a sustained capability development programme against safety systems globally.</w:t>
      </w:r>
    </w:p>
    <w:p>
      <w:pPr>
        <w:spacing w:after="160" w:line="276"/>
        <w:jc w:val="both"/>
      </w:pPr>
      <w:r>
        <w:rPr>
          <w:rFonts w:ascii="Arial" w:cs="Arial" w:eastAsia="Arial" w:hAnsi="Arial"/>
          <w:b w:val="false"/>
          <w:bCs w:val="false"/>
          <w:color w:val="000000"/>
          <w:sz w:val="22"/>
          <w:szCs w:val="22"/>
        </w:rPr>
        <w:t xml:space="preserve">XENOTIME represents the most concerning single threat actor for high-consequence OT risk scenarios involving safety system defeat. Facilities with Schneider Electric Triconex SIS (and potentially other SIS platforms) must incorporate the XENOTIME threat in likelihood assessments for scenarios involving simultaneous BPCS compromise and safety system defeat.</w:t>
      </w:r>
    </w:p>
    <w:p>
      <w:pPr>
        <w:pStyle w:val="Heading2"/>
        <w:spacing w:after="160" w:before="300"/>
      </w:pPr>
      <w:r>
        <w:rPr>
          <w:rFonts w:ascii="Arial" w:cs="Arial" w:eastAsia="Arial" w:hAnsi="Arial"/>
          <w:b/>
          <w:bCs/>
          <w:color w:val="2E75B6"/>
          <w:sz w:val="27"/>
          <w:szCs w:val="27"/>
        </w:rPr>
        <w:t xml:space="preserve">2.3.6  Additional State-Sponsored OT Threat Actors</w:t>
      </w:r>
    </w:p>
    <w:p>
      <w:pPr>
        <w:spacing w:after="160" w:line="276"/>
        <w:jc w:val="both"/>
      </w:pPr>
      <w:r>
        <w:rPr>
          <w:rFonts w:ascii="Arial" w:cs="Arial" w:eastAsia="Arial" w:hAnsi="Arial"/>
          <w:b w:val="false"/>
          <w:bCs w:val="false"/>
          <w:color w:val="000000"/>
          <w:sz w:val="22"/>
          <w:szCs w:val="22"/>
        </w:rPr>
        <w:t xml:space="preserve">The following table provides summary profiles of additional state-sponsored OT threat actors documented by government agencies and commercial threat intelligence providers: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1200"/>
        <w:gridCol w:w="1800"/>
        <w:gridCol w:w="2160"/>
        <w:gridCol w:w="1800"/>
      </w:tblGrid>
      <w:tr>
        <w:tc>
          <w:tcPr>
            <w:tcW w:type="dxa" w:w="10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Dragos ID</w:t>
            </w:r>
          </w:p>
        </w:tc>
        <w:tc>
          <w:tcPr>
            <w:tcW w:type="dxa" w:w="14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Other Names</w:t>
            </w:r>
          </w:p>
        </w:tc>
        <w:tc>
          <w:tcPr>
            <w:tcW w:type="dxa" w:w="12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Attribution</w:t>
            </w:r>
          </w:p>
        </w:tc>
        <w:tc>
          <w:tcPr>
            <w:tcW w:type="dxa" w:w="18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Sectors</w:t>
            </w:r>
          </w:p>
        </w:tc>
        <w:tc>
          <w:tcPr>
            <w:tcW w:type="dxa" w:w="216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Capability / Technique</w:t>
            </w:r>
          </w:p>
        </w:tc>
        <w:tc>
          <w:tcPr>
            <w:tcW w:type="dxa" w:w="18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Notable Activity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HEXANE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Lyceum (Secureworks), SPIRLIN (ESET)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Iran — IRGC affiliated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Oil and gas, telecoms, chemical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DNS tunnelling C2; macro-laced documents; IT network compromise then OT reconnaissance. Primary focus on Middle East oil and gas.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Confirmed activity in Africa, Middle East oil and gas 2019–2022. Credential theft from DNS servers used for C2.</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MAGNALLIUM</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APT33 (FireEye), Refined Kitten (CrowdStrike)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Iran — IRGC</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Oil and gas, aerospace, financial</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Password spraying at scale; spearphishing; Ruler and other macro-based delivery. Primarily espionage; OT reconnaissance observed.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Multiple campaigns against Saudi Aramco and US/European oil companies 2018–2022. Linked to destructive Shamoon campaigns.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RASPITE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LeafMiner, Raspite (Dragos)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Iran — Ministry of Intelligence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Electricity utilities, oil and gas, government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Watering hole attacks; strategic web compromises; credential harvesting for access to energy sector networks.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Watering hole campaigns targeting electricity sector employees 2017–2019. OT reconnaissance observed in Middle East utilities.</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VANADINITE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TEMP.Isotope (Mandiant)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China — likely MSS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Manufacturing, energy, defence industrial base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Exploitation of internet-facing services (VPN, RDP); SUPERNOVA webshell; living-off-the-land post-compromise.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Exploitation of Pulse Secure VPN vulnerabilities; confirmed access to defence and manufacturing sector OT-adjacent networks 2020–2022.</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KOSTOVITE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Unknown attribution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Unknown — assessed non-Western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Oil and gas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Extremely patient access operations; exploitation of internet-facing OT-adjacent systems; extended observation before action.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Confirmed access to oil and gas operational networks in the Americas 2020–2021. Maintained access for 12+ months without detection.</w:t>
            </w:r>
          </w:p>
        </w:tc>
      </w:tr>
    </w:tbl>
    <w:p>
      <w:pPr>
        <w:spacing w:after="220" w:before="80"/>
        <w:jc w:val="center"/>
      </w:pPr>
      <w:r>
        <w:rPr>
          <w:rFonts w:ascii="Arial" w:cs="Arial" w:eastAsia="Arial" w:hAnsi="Arial"/>
          <w:b/>
          <w:bCs/>
          <w:i/>
          <w:iCs/>
          <w:color w:val="1F3864"/>
          <w:sz w:val="20"/>
          <w:szCs w:val="20"/>
        </w:rPr>
        <w:t xml:space="preserve">Table 2.2: Additional State-Sponsored OT Threat Actor Profiles</w:t>
      </w:r>
    </w:p>
    <w:p>
      <w:pPr>
        <w:spacing w:after="200"/>
      </w:pPr>
      <w:r>
        <w:t xml:space="preserve"/>
      </w:r>
    </w:p>
    <w:p>
      <w:r>
        <w:br w:type="page"/>
      </w:r>
    </w:p>
    <w:p>
      <w:pPr>
        <w:pStyle w:val="Heading1"/>
        <w:spacing w:after="200" w:before="400"/>
      </w:pPr>
      <w:r>
        <w:rPr>
          <w:rFonts w:ascii="Arial" w:cs="Arial" w:eastAsia="Arial" w:hAnsi="Arial"/>
          <w:b/>
          <w:bCs/>
          <w:color w:val="1F3864"/>
          <w:sz w:val="34"/>
          <w:szCs w:val="34"/>
        </w:rPr>
        <w:t xml:space="preserve">2.4  Criminal Ransomware Groups and OT Environments</w:t>
      </w:r>
    </w:p>
    <w:p>
      <w:pPr>
        <w:spacing w:after="160" w:line="276"/>
        <w:jc w:val="both"/>
      </w:pPr>
      <w:r>
        <w:rPr>
          <w:rFonts w:ascii="Arial" w:cs="Arial" w:eastAsia="Arial" w:hAnsi="Arial"/>
          <w:b w:val="false"/>
          <w:bCs w:val="false"/>
          <w:color w:val="000000"/>
          <w:sz w:val="22"/>
          <w:szCs w:val="22"/>
        </w:rPr>
        <w:t xml:space="preserve">The criminal ransomware ecosystem represents the highest-frequency OT security threat for most industrial organisations — not because criminal groups have the capability to cause direct physical consequences in the way that nation-state actors like Sandworm can, but because ransomware attacks on IT systems that support OT operations can cause significant operational disruption that industrial operators choose to prevent through precautionary OT shutdown. The Colonial Pipeline attack is the paradigmatic example: the ransomware infected Colonial's IT billing systems, not its OT pipeline management systems — but Colonial shut down pipeline operations for six days as a precaution, causing the most significant fuel supply disruption in the US East Coast's recent history and generating $4.4 million in ransom payment.</w:t>
      </w:r>
    </w:p>
    <w:p>
      <w:pPr>
        <w:spacing w:after="160" w:line="276"/>
        <w:jc w:val="both"/>
      </w:pPr>
      <w:r>
        <w:rPr>
          <w:rFonts w:ascii="Arial" w:cs="Arial" w:eastAsia="Arial" w:hAnsi="Arial"/>
          <w:b w:val="false"/>
          <w:bCs w:val="false"/>
          <w:color w:val="000000"/>
          <w:sz w:val="22"/>
          <w:szCs w:val="22"/>
        </w:rPr>
        <w:t xml:space="preserve">The ransomware-as-a-service (RaaS) model has transformed the criminal ransomware landscape since approximately 2019. Under the RaaS model, specialised ransomware developers create and maintain the ransomware platform (encryption, negotiation portal, decryption key management) and license it to 'affiliate' groups who conduct the actual intrusions. Affiliates receive a percentage of ransom proceeds (typically 70-80%) and provide the initial access and network exploitation expertise. This model has dramatically scaled the criminal ransomware industry by enabling individuals with network intrusion skills but no malware development capability to conduct sophisticated ransomware attacks.</w:t>
      </w:r>
    </w:p>
    <w:p>
      <w:pPr>
        <w:pStyle w:val="Heading2"/>
        <w:spacing w:after="160" w:before="300"/>
      </w:pPr>
      <w:r>
        <w:rPr>
          <w:rFonts w:ascii="Arial" w:cs="Arial" w:eastAsia="Arial" w:hAnsi="Arial"/>
          <w:b/>
          <w:bCs/>
          <w:color w:val="2E75B6"/>
          <w:sz w:val="27"/>
          <w:szCs w:val="27"/>
        </w:rPr>
        <w:t xml:space="preserve">2.4.1  Ransomware Attack Methodology in OT Environments</w:t>
      </w:r>
    </w:p>
    <w:p>
      <w:pPr>
        <w:spacing w:after="160" w:line="276"/>
        <w:jc w:val="both"/>
      </w:pPr>
      <w:r>
        <w:rPr>
          <w:rFonts w:ascii="Arial" w:cs="Arial" w:eastAsia="Arial" w:hAnsi="Arial"/>
          <w:b w:val="false"/>
          <w:bCs w:val="false"/>
          <w:color w:val="000000"/>
          <w:sz w:val="22"/>
          <w:szCs w:val="22"/>
        </w:rPr>
        <w:t xml:space="preserve">Understanding how ransomware attacks progress from initial access to OT impact is essential for designing effective defences. The typical ransomware attack against an industrial organisation follows a recognisable progression:</w:t>
      </w:r>
    </w:p>
    <w:p>
      <w:pPr>
        <w:pStyle w:val="ListParagraph"/>
        <w:numPr>
          <w:ilvl w:val="0"/>
          <w:numId w:val="3"/>
        </w:numPr>
        <w:spacing w:after="100" w:line="276"/>
      </w:pPr>
      <w:r>
        <w:rPr>
          <w:rFonts w:ascii="Arial" w:cs="Arial" w:eastAsia="Arial" w:hAnsi="Arial"/>
          <w:sz w:val="22"/>
          <w:szCs w:val="22"/>
        </w:rPr>
        <w:t xml:space="preserve">Initial Access: Most commonly through credential-based access (phishing for credentials, brute force of internet-facing services, exploitation of unpatched VPN vulnerabilities). Initial Access Brokers (IABs) — specialists who compromise networks and sell access to ransomware affiliates — are increasingly involved, adding an additional stage to the attack chain. The Colonial Pipeline attack used a compromised VPN credential with no MFA (CISA, 2021).</w:t>
      </w:r>
    </w:p>
    <w:p>
      <w:pPr>
        <w:pStyle w:val="ListParagraph"/>
        <w:numPr>
          <w:ilvl w:val="0"/>
          <w:numId w:val="3"/>
        </w:numPr>
        <w:spacing w:after="100" w:line="276"/>
      </w:pPr>
      <w:r>
        <w:rPr>
          <w:rFonts w:ascii="Arial" w:cs="Arial" w:eastAsia="Arial" w:hAnsi="Arial"/>
          <w:sz w:val="22"/>
          <w:szCs w:val="22"/>
        </w:rPr>
        <w:t xml:space="preserve">Persistence and Reconnaissance: After initial access, the affiliate establishes persistence (typically through legitimate remote access tools — AnyDesk, TeamViewer, Atera), conducts internal reconnaissance (identifying domain controllers, data repositories, backup systems, and OT-adjacent systems), and maps the network to understand the organisation's IT/OT architecture.</w:t>
      </w:r>
    </w:p>
    <w:p>
      <w:pPr>
        <w:pStyle w:val="ListParagraph"/>
        <w:numPr>
          <w:ilvl w:val="0"/>
          <w:numId w:val="3"/>
        </w:numPr>
        <w:spacing w:after="100" w:line="276"/>
      </w:pPr>
      <w:r>
        <w:rPr>
          <w:rFonts w:ascii="Arial" w:cs="Arial" w:eastAsia="Arial" w:hAnsi="Arial"/>
          <w:sz w:val="22"/>
          <w:szCs w:val="22"/>
        </w:rPr>
        <w:t xml:space="preserve">Credential Escalation and Lateral Movement: The affiliate escalates privileges (typically through Mimikatz or similar credential harvesting tools), dumps Active Directory credentials, and moves laterally through the IT network. OT-aware affiliates specifically look for: IT/OT connections (historian servers, engineering workstations connected to both networks); OT asset management systems; and remote access paths to OT networks.</w:t>
      </w:r>
    </w:p>
    <w:p>
      <w:pPr>
        <w:pStyle w:val="ListParagraph"/>
        <w:numPr>
          <w:ilvl w:val="0"/>
          <w:numId w:val="3"/>
        </w:numPr>
        <w:spacing w:after="100" w:line="276"/>
      </w:pPr>
      <w:r>
        <w:rPr>
          <w:rFonts w:ascii="Arial" w:cs="Arial" w:eastAsia="Arial" w:hAnsi="Arial"/>
          <w:sz w:val="22"/>
          <w:szCs w:val="22"/>
        </w:rPr>
        <w:t xml:space="preserve">Data Exfiltration: Before deploying ransomware, most sophisticated groups exfiltrate sensitive data — providing a second extortion lever ('pay or we publish your operational data'). For industrial organisations, this may include process data, safety system configurations, or engineering documentation.</w:t>
      </w:r>
    </w:p>
    <w:p>
      <w:pPr>
        <w:pStyle w:val="ListParagraph"/>
        <w:numPr>
          <w:ilvl w:val="0"/>
          <w:numId w:val="3"/>
        </w:numPr>
        <w:spacing w:after="100" w:line="276"/>
      </w:pPr>
      <w:r>
        <w:rPr>
          <w:rFonts w:ascii="Arial" w:cs="Arial" w:eastAsia="Arial" w:hAnsi="Arial"/>
          <w:sz w:val="22"/>
          <w:szCs w:val="22"/>
        </w:rPr>
        <w:t xml:space="preserve">Ransomware Deployment: The affiliate deploys ransomware across the IT environment, typically targeting domain controllers first to maximise encryption coverage. In OT-aware attacks, the affiliate may deliberately avoid encrypting OT systems (to maintain a 'clean' OT environment as an incentive for the victim to pay) or may extend the attack to OT systems if the initial IT ransom demand is not met.</w:t>
      </w:r>
    </w:p>
    <w:p>
      <w:pPr>
        <w:pStyle w:val="ListParagraph"/>
        <w:numPr>
          <w:ilvl w:val="0"/>
          <w:numId w:val="3"/>
        </w:numPr>
        <w:spacing w:after="100" w:line="276"/>
      </w:pPr>
      <w:r>
        <w:rPr>
          <w:rFonts w:ascii="Arial" w:cs="Arial" w:eastAsia="Arial" w:hAnsi="Arial"/>
          <w:sz w:val="22"/>
          <w:szCs w:val="22"/>
        </w:rPr>
        <w:t xml:space="preserve">OT Impact — Direct or Precautionary: OT impact may occur in two ways. Direct impact: ransomware reaches OT systems through inadequate IT/OT segmentation. Precautionary shutdown: the operator shuts down OT systems preventatively when ransomware is detected in IT, either because they are uncertain whether OT is compromised or because IT systems required for OT management (historian, SCADA servers) are encrypted.</w:t>
      </w:r>
    </w:p>
    <w:p>
      <w:pPr>
        <w:pStyle w:val="Heading2"/>
        <w:spacing w:after="160" w:before="300"/>
      </w:pPr>
      <w:r>
        <w:rPr>
          <w:rFonts w:ascii="Arial" w:cs="Arial" w:eastAsia="Arial" w:hAnsi="Arial"/>
          <w:b/>
          <w:bCs/>
          <w:color w:val="2E75B6"/>
          <w:sz w:val="27"/>
          <w:szCs w:val="27"/>
        </w:rPr>
        <w:t xml:space="preserve">2.4.2  Documented Ransomware Incidents at Industrial Organisations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00"/>
        <w:gridCol w:w="1600"/>
        <w:gridCol w:w="1200"/>
        <w:gridCol w:w="2200"/>
        <w:gridCol w:w="2360"/>
      </w:tblGrid>
      <w:tr>
        <w:tc>
          <w:tcPr>
            <w:tcW w:type="dxa" w:w="14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Incident</w:t>
            </w:r>
          </w:p>
        </w:tc>
        <w:tc>
          <w:tcPr>
            <w:tcW w:type="dxa" w:w="6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Year</w:t>
            </w:r>
          </w:p>
        </w:tc>
        <w:tc>
          <w:tcPr>
            <w:tcW w:type="dxa" w:w="16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Organisation</w:t>
            </w:r>
          </w:p>
        </w:tc>
        <w:tc>
          <w:tcPr>
            <w:tcW w:type="dxa" w:w="12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Ransomware Group</w:t>
            </w:r>
          </w:p>
        </w:tc>
        <w:tc>
          <w:tcPr>
            <w:tcW w:type="dxa" w:w="22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OT Impact</w:t>
            </w:r>
          </w:p>
        </w:tc>
        <w:tc>
          <w:tcPr>
            <w:tcW w:type="dxa" w:w="236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Lesson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Colonial Pipeline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2021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Colonial Pipeline, USA (largest US petroleum pipeline)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DarkSide (RaaS)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Precautionary OT shutdown (OT not directly compromised). 6-day pipeline outage, US East Coast fuel shortages.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No MFA on VPN = critical vulnerability. Precautionary OT shutdown demonstrates IT/OT interdependence. $4.4M ransom paid.</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Oldsmar Water Treatment</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2021</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Oldsmar, Florida water treatment plant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Unknown (not ransomware — remote access attack)</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Attacker increased NaOH (lye) setpoint to 111x normal level. Detected by operator. No impact on water supply.</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TeamViewer internet-exposed with no MFA. Operator vigilance as last line of defence. Remote access security is existential.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JBS Foods</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2021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JBS, USA (world's largest meat processor)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REvil/Sodinokibi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Beef processing plants in US and Australia shut down for 1 day. $11M ransom paid.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Food supply chain disruption from IT compromise. $11M ransom demonstrates extortion calculus. Supply chain consequences of OT disruption.</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Norsk Hydro</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2019</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Norsk Hydro, Norway (aluminium manufacturer)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LockerGoga</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Aluminium plants switched to manual operations globally. $75M in losses. Refused to pay ransom.</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OT resilience through manual operations capability. Refused to pay — $75M cost of recovery. IT/OT segmentation prevented direct OT encryption.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Clorox</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2023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Clorox Company, USA (consumer goods manufacturer)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Unknown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Automated production disrupted. Manual operations. Product shortages. Estimated $356M impact.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Consumer goods manufacturing not exempt from OT-adjacent ransomware impact. Production automation dependency.</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DP World Australia</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2023</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DP World, Australia (port operator)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Unknown cyber actor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4 major Australian ports shut for 4 days. ~30,000 containers stranded. Estimated AU$700M+ economic impact.</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Critical infrastructure OT disruption through IT attack. Supply chain cascade consequences. Critical Infrastructure Act notification.</w:t>
            </w:r>
          </w:p>
        </w:tc>
      </w:tr>
    </w:tbl>
    <w:p>
      <w:pPr>
        <w:spacing w:after="220" w:before="80"/>
        <w:jc w:val="center"/>
      </w:pPr>
      <w:r>
        <w:rPr>
          <w:rFonts w:ascii="Arial" w:cs="Arial" w:eastAsia="Arial" w:hAnsi="Arial"/>
          <w:b/>
          <w:bCs/>
          <w:i/>
          <w:iCs/>
          <w:color w:val="1F3864"/>
          <w:sz w:val="20"/>
          <w:szCs w:val="20"/>
        </w:rPr>
        <w:t xml:space="preserve">Table 2.3: Documented Ransomware and Remote Access Incidents at Industrial Organisations</w:t>
      </w:r>
    </w:p>
    <w:p>
      <w:pPr>
        <w:spacing w:after="200"/>
      </w:pPr>
      <w:r>
        <w:t xml:space="preserve"/>
      </w:r>
    </w:p>
    <w:p>
      <w:pPr>
        <w:pStyle w:val="Heading2"/>
        <w:spacing w:after="160" w:before="300"/>
      </w:pPr>
      <w:r>
        <w:rPr>
          <w:rFonts w:ascii="Arial" w:cs="Arial" w:eastAsia="Arial" w:hAnsi="Arial"/>
          <w:b/>
          <w:bCs/>
          <w:color w:val="2E75B6"/>
          <w:sz w:val="27"/>
          <w:szCs w:val="27"/>
        </w:rPr>
        <w:t xml:space="preserve">2.4.3  OT-Aware Ransomware — The Escalating Threat</w:t>
      </w:r>
    </w:p>
    <w:p>
      <w:pPr>
        <w:spacing w:after="160" w:line="276"/>
        <w:jc w:val="both"/>
      </w:pPr>
      <w:r>
        <w:rPr>
          <w:rFonts w:ascii="Arial" w:cs="Arial" w:eastAsia="Arial" w:hAnsi="Arial"/>
          <w:b w:val="false"/>
          <w:bCs w:val="false"/>
          <w:color w:val="000000"/>
          <w:sz w:val="22"/>
          <w:szCs w:val="22"/>
        </w:rPr>
        <w:t xml:space="preserve">Beyond the precautionary OT shutdown scenario, threat intelligence has documented the development of ransomware capabilities specifically designed to extend attacks into OT environments. SNAKE/EKANS ransomware (2020) was the first publicly documented ransomware to include a specific 'kill list' of OT-related processes — including ICS and SCADA process names from vendors including GE, Honeywell, and Rockwell Automation. By terminating these processes before encrypting files, EKANS ensures that OT management applications are offline and their associated data is encrypted.</w:t>
      </w:r>
    </w:p>
    <w:p>
      <w:pPr>
        <w:spacing w:after="160" w:line="276"/>
        <w:jc w:val="both"/>
      </w:pPr>
      <w:r>
        <w:rPr>
          <w:rFonts w:ascii="Arial" w:cs="Arial" w:eastAsia="Arial" w:hAnsi="Arial"/>
          <w:b w:val="false"/>
          <w:bCs w:val="false"/>
          <w:color w:val="000000"/>
          <w:sz w:val="22"/>
          <w:szCs w:val="22"/>
        </w:rPr>
        <w:t xml:space="preserve">More recently, the COSMICENERGY malware (discovered 2023) demonstrated Russian-linked code that could send IEC 60870-5-104 commands to electric utility RTUs — repurposing techniques from Sandworm's Industroyer for what appears to be a commercially developed red team tool, the proliferation of which broadens the population of actors capable of OT protocol-level attacks.</w:t>
      </w:r>
    </w:p>
    <w:p>
      <w:pPr>
        <w:spacing w:after="160" w:line="276"/>
        <w:jc w:val="both"/>
      </w:pPr>
      <w:r>
        <w:rPr>
          <w:rFonts w:ascii="Arial" w:cs="Arial" w:eastAsia="Arial" w:hAnsi="Arial"/>
          <w:b w:val="false"/>
          <w:bCs w:val="false"/>
          <w:color w:val="000000"/>
          <w:sz w:val="22"/>
          <w:szCs w:val="22"/>
        </w:rPr>
        <w:t xml:space="preserve">The trajectory of criminal OT threat capability is clear: driven by the financial incentive of increasingly large ransom payments and the awareness that OT disruption maximises that leverage, criminal groups are investing in OT-specific knowledge and capabilities. The OT security practitioner should expect the criminal ransomware threat to OT systems to continue escalating through the 2020s.</w:t>
      </w:r>
    </w:p>
    <w:p>
      <w:r>
        <w:br w:type="page"/>
      </w:r>
    </w:p>
    <w:p>
      <w:pPr>
        <w:pStyle w:val="Heading1"/>
        <w:spacing w:after="200" w:before="400"/>
      </w:pPr>
      <w:r>
        <w:rPr>
          <w:rFonts w:ascii="Arial" w:cs="Arial" w:eastAsia="Arial" w:hAnsi="Arial"/>
          <w:b/>
          <w:bCs/>
          <w:color w:val="1F3864"/>
          <w:sz w:val="34"/>
          <w:szCs w:val="34"/>
        </w:rPr>
        <w:t xml:space="preserve">2.5  Insider Threats in OT Environments</w:t>
      </w:r>
    </w:p>
    <w:p>
      <w:pPr>
        <w:spacing w:after="160" w:line="276"/>
        <w:jc w:val="both"/>
      </w:pPr>
      <w:r>
        <w:rPr>
          <w:rFonts w:ascii="Arial" w:cs="Arial" w:eastAsia="Arial" w:hAnsi="Arial"/>
          <w:b w:val="false"/>
          <w:bCs w:val="false"/>
          <w:color w:val="000000"/>
          <w:sz w:val="22"/>
          <w:szCs w:val="22"/>
        </w:rPr>
        <w:t xml:space="preserve">The insider threat occupies a unique position in the OT threat taxonomy because the insider's knowledge advantage — not raw technical capability — is the primary threat characteristic. An external nation-state actor with sophisticated malware must invest significant resources in understanding the target OT environment: its architecture, its control logic, its safety systems, its operational parameters, and its security controls. An OT insider already has this knowledge. A control room operator who decides to manipulate a process setpoint does not need to understand Modbus — they have a keyboard in front of them and an HMI that does the protocol translation. A disgruntled instrument engineer who wants to damage a DCS controller does not need to know how to exploit S7comm — they have the engineering workstation credentials and the programming software.</w:t>
      </w:r>
    </w:p>
    <w:p>
      <w:pPr>
        <w:spacing w:after="160" w:line="276"/>
        <w:jc w:val="both"/>
      </w:pPr>
      <w:r>
        <w:rPr>
          <w:rFonts w:ascii="Arial" w:cs="Arial" w:eastAsia="Arial" w:hAnsi="Arial"/>
          <w:b w:val="false"/>
          <w:bCs w:val="false"/>
          <w:color w:val="000000"/>
          <w:sz w:val="22"/>
          <w:szCs w:val="22"/>
        </w:rPr>
        <w:t xml:space="preserve">This knowledge advantage makes the insider threat disproportionately dangerous relative to the technical sophistication of the actor. The Maroochy Shire sewage spill (2000) — in which a disgruntled former contractor released 800,000 litres of raw sewage using stolen radio equipment and a personal laptop — demonstrated that the knowledge of how a SCADA system works, combined with physical access to its communication channel, is sufficient to cause serious environmental harm. No nation-state malware was required; no sophisticated exploitation was necessary.</w:t>
      </w:r>
    </w:p>
    <w:p>
      <w:pPr>
        <w:pStyle w:val="Heading2"/>
        <w:spacing w:after="160" w:before="300"/>
      </w:pPr>
      <w:r>
        <w:rPr>
          <w:rFonts w:ascii="Arial" w:cs="Arial" w:eastAsia="Arial" w:hAnsi="Arial"/>
          <w:b/>
          <w:bCs/>
          <w:color w:val="2E75B6"/>
          <w:sz w:val="27"/>
          <w:szCs w:val="27"/>
        </w:rPr>
        <w:t xml:space="preserve">2.5.1  Categories of OT Insider Threat</w:t>
      </w:r>
    </w:p>
    <w:p>
      <w:pPr>
        <w:spacing w:after="160" w:line="276"/>
        <w:jc w:val="both"/>
      </w:pPr>
      <w:r>
        <w:rPr>
          <w:rFonts w:ascii="Arial" w:cs="Arial" w:eastAsia="Arial" w:hAnsi="Arial"/>
          <w:b w:val="false"/>
          <w:bCs w:val="false"/>
          <w:color w:val="000000"/>
          <w:sz w:val="22"/>
          <w:szCs w:val="22"/>
        </w:rPr>
        <w:t xml:space="preserve">The insider threat in OT environments falls into two primary categories — malicious and unintentional — each with distinct risk characteristics and different mitigation approaches:</w:t>
      </w:r>
    </w:p>
    <w:p>
      <w:pPr>
        <w:pStyle w:val="Heading3"/>
        <w:spacing w:after="120" w:before="220"/>
      </w:pPr>
      <w:r>
        <w:rPr>
          <w:rFonts w:ascii="Arial" w:cs="Arial" w:eastAsia="Arial" w:hAnsi="Arial"/>
          <w:b/>
          <w:bCs/>
          <w:color w:val="1F3864"/>
          <w:sz w:val="23"/>
          <w:szCs w:val="23"/>
        </w:rPr>
        <w:t xml:space="preserve">Malicious Insider</w:t>
      </w:r>
    </w:p>
    <w:p>
      <w:pPr>
        <w:spacing w:after="160" w:line="276"/>
        <w:jc w:val="both"/>
      </w:pPr>
      <w:r>
        <w:rPr>
          <w:rFonts w:ascii="Arial" w:cs="Arial" w:eastAsia="Arial" w:hAnsi="Arial"/>
          <w:b w:val="false"/>
          <w:bCs w:val="false"/>
          <w:color w:val="000000"/>
          <w:sz w:val="22"/>
          <w:szCs w:val="22"/>
        </w:rPr>
        <w:t xml:space="preserve">The malicious insider is an individual with authorised access to OT systems who uses that access with deliberate intent to cause harm, financial gain, or competitive advantage. In OT environments, malicious insiders fall into three sub-categories:</w:t>
      </w:r>
    </w:p>
    <w:p>
      <w:pPr>
        <w:pStyle w:val="ListParagraph"/>
        <w:numPr>
          <w:ilvl w:val="0"/>
          <w:numId w:val="2"/>
        </w:numPr>
        <w:spacing w:after="100" w:line="276"/>
      </w:pPr>
      <w:r>
        <w:rPr>
          <w:rFonts w:ascii="Arial" w:cs="Arial" w:eastAsia="Arial" w:hAnsi="Arial"/>
          <w:sz w:val="22"/>
          <w:szCs w:val="22"/>
        </w:rPr>
        <w:t xml:space="preserve">The disgruntled employee: An individual who is aggrieved — by dismissal, perceived unfair treatment, personal conflict with management, or threatened redundancy — and who uses their OT access to cause harm as an act of revenge. The Maroochy Shire case is the paradigm example. The CERT Insider Threat Center's research (2019) identifies a specific pattern for this category: grievance develops over time, technical preparation begins before action, and the attack typically occurs close to or following the triggering event (dismissal, negative performance review).</w:t>
      </w:r>
    </w:p>
    <w:p>
      <w:pPr>
        <w:pStyle w:val="ListParagraph"/>
        <w:numPr>
          <w:ilvl w:val="0"/>
          <w:numId w:val="2"/>
        </w:numPr>
        <w:spacing w:after="100" w:line="276"/>
      </w:pPr>
      <w:r>
        <w:rPr>
          <w:rFonts w:ascii="Arial" w:cs="Arial" w:eastAsia="Arial" w:hAnsi="Arial"/>
          <w:sz w:val="22"/>
          <w:szCs w:val="22"/>
        </w:rPr>
        <w:t xml:space="preserve">The recruited insider: An individual with legitimate OT access who is recruited — through financial inducement, coercion, or ideological alignment — by an external actor (nation-state or criminal group) to provide access, information, or direct action within the OT environment. Recruited insiders are among the most dangerous threat actors in high-security environments because they combine insider knowledge and access with external actor capability and direction. Detection is particularly difficult because the insider may have no observable grievance or behavioural change.</w:t>
      </w:r>
    </w:p>
    <w:p>
      <w:pPr>
        <w:pStyle w:val="ListParagraph"/>
        <w:numPr>
          <w:ilvl w:val="0"/>
          <w:numId w:val="2"/>
        </w:numPr>
        <w:spacing w:after="100" w:line="276"/>
      </w:pPr>
      <w:r>
        <w:rPr>
          <w:rFonts w:ascii="Arial" w:cs="Arial" w:eastAsia="Arial" w:hAnsi="Arial"/>
          <w:sz w:val="22"/>
          <w:szCs w:val="22"/>
        </w:rPr>
        <w:t xml:space="preserve">The financially motivated insider: An individual who uses OT access for personal financial gain — selling access credentials to criminal actors, stealing intellectual property (process formulations, engineering designs), or engaging in fraud using access to operational data. The growth of the Initial Access Broker market has increased the financial value of OT network access, creating a financial incentive for insiders to sell that access.</w:t>
      </w:r>
    </w:p>
    <w:p>
      <w:pPr>
        <w:pStyle w:val="Heading3"/>
        <w:spacing w:after="120" w:before="220"/>
      </w:pPr>
      <w:r>
        <w:rPr>
          <w:rFonts w:ascii="Arial" w:cs="Arial" w:eastAsia="Arial" w:hAnsi="Arial"/>
          <w:b/>
          <w:bCs/>
          <w:color w:val="1F3864"/>
          <w:sz w:val="23"/>
          <w:szCs w:val="23"/>
        </w:rPr>
        <w:t xml:space="preserve">Unintentional Insider</w:t>
      </w:r>
    </w:p>
    <w:p>
      <w:pPr>
        <w:spacing w:after="160" w:line="276"/>
        <w:jc w:val="both"/>
      </w:pPr>
      <w:r>
        <w:rPr>
          <w:rFonts w:ascii="Arial" w:cs="Arial" w:eastAsia="Arial" w:hAnsi="Arial"/>
          <w:b w:val="false"/>
          <w:bCs w:val="false"/>
          <w:color w:val="000000"/>
          <w:sz w:val="22"/>
          <w:szCs w:val="22"/>
        </w:rPr>
        <w:t xml:space="preserve">The unintentional insider is statistically the most frequent source of OT security events — an individual who causes a security incident through negligence, error, or lack of awareness rather than malicious intent. In OT security assessments, unintentional insider incidents consistently account for the majority of security events in organisations without active adversarial targeting. Categories include:</w:t>
      </w:r>
    </w:p>
    <w:p>
      <w:pPr>
        <w:pStyle w:val="ListParagraph"/>
        <w:numPr>
          <w:ilvl w:val="0"/>
          <w:numId w:val="2"/>
        </w:numPr>
        <w:spacing w:after="100" w:line="276"/>
      </w:pPr>
      <w:r>
        <w:rPr>
          <w:rFonts w:ascii="Arial" w:cs="Arial" w:eastAsia="Arial" w:hAnsi="Arial"/>
          <w:sz w:val="22"/>
          <w:szCs w:val="22"/>
        </w:rPr>
        <w:t xml:space="preserve">Social engineering victim: An employee who is deceived into providing credentials, installing malware, or enabling access through phishing, pretexting, or other social engineering techniques. Spearphishing targeting OT engineers — with lure documents referencing specific OT vendors or industrial processes — is a common initial access technique for nation-state actors targeting OT environments.</w:t>
      </w:r>
    </w:p>
    <w:p>
      <w:pPr>
        <w:pStyle w:val="ListParagraph"/>
        <w:numPr>
          <w:ilvl w:val="0"/>
          <w:numId w:val="2"/>
        </w:numPr>
        <w:spacing w:after="100" w:line="276"/>
      </w:pPr>
      <w:r>
        <w:rPr>
          <w:rFonts w:ascii="Arial" w:cs="Arial" w:eastAsia="Arial" w:hAnsi="Arial"/>
          <w:sz w:val="22"/>
          <w:szCs w:val="22"/>
        </w:rPr>
        <w:t xml:space="preserve">Portable media introducer: An individual who connects a personal USB drive, personal laptop, or other media device to an OT system — introducing malware without intent. The Stuxnet delivery mechanism (USB drive at an OT vendor facility) is the definitive example of portable media-based OT malware introduction. Despite widespread awareness of this vector, OT security assessments continue to find unsecured USB ports in control rooms and engineering workstations.</w:t>
      </w:r>
    </w:p>
    <w:p>
      <w:pPr>
        <w:pStyle w:val="ListParagraph"/>
        <w:numPr>
          <w:ilvl w:val="0"/>
          <w:numId w:val="2"/>
        </w:numPr>
        <w:spacing w:after="100" w:line="276"/>
      </w:pPr>
      <w:r>
        <w:rPr>
          <w:rFonts w:ascii="Arial" w:cs="Arial" w:eastAsia="Arial" w:hAnsi="Arial"/>
          <w:sz w:val="22"/>
          <w:szCs w:val="22"/>
        </w:rPr>
        <w:t xml:space="preserve">Accidental configuration changer: An engineer who makes an undocumented configuration change — intending to fix a problem or improve performance — that inadvertently creates a security vulnerability (opens a network port, disables an access control, creates a new remote access path). The lack of formal change management in many OT environments (addressed in Chapter 13) is a primary enabler of this category of insider incident.</w:t>
      </w:r>
    </w:p>
    <w:p>
      <w:pPr>
        <w:pStyle w:val="ListParagraph"/>
        <w:numPr>
          <w:ilvl w:val="0"/>
          <w:numId w:val="2"/>
        </w:numPr>
        <w:spacing w:after="100" w:line="276"/>
      </w:pPr>
      <w:r>
        <w:rPr>
          <w:rFonts w:ascii="Arial" w:cs="Arial" w:eastAsia="Arial" w:hAnsi="Arial"/>
          <w:sz w:val="22"/>
          <w:szCs w:val="22"/>
        </w:rPr>
        <w:t xml:space="preserve">Vendor technician with inadequate security awareness: A vendor technician who, during legitimate maintenance activity, connects an unsecured laptop to the OT network, uses shared credentials, fails to disconnect remote access sessions, or installs unsanctioned software. The Month 16 Sunrise Refinery incident (Chapter 13) is an example of this category — a vendor technician connected a maintenance laptop without following the authorised access procedure.</w:t>
      </w:r>
    </w:p>
    <w:p>
      <w:pPr>
        <w:pStyle w:val="Heading2"/>
        <w:spacing w:after="160" w:before="300"/>
      </w:pPr>
      <w:r>
        <w:rPr>
          <w:rFonts w:ascii="Arial" w:cs="Arial" w:eastAsia="Arial" w:hAnsi="Arial"/>
          <w:b/>
          <w:bCs/>
          <w:color w:val="2E75B6"/>
          <w:sz w:val="27"/>
          <w:szCs w:val="27"/>
        </w:rPr>
        <w:t xml:space="preserve">2.5.2  OT-Specific Insider Threat Characteristics</w:t>
      </w:r>
    </w:p>
    <w:p>
      <w:pPr>
        <w:spacing w:after="160" w:line="276"/>
        <w:jc w:val="both"/>
      </w:pPr>
      <w:r>
        <w:rPr>
          <w:rFonts w:ascii="Arial" w:cs="Arial" w:eastAsia="Arial" w:hAnsi="Arial"/>
          <w:b w:val="false"/>
          <w:bCs w:val="false"/>
          <w:color w:val="000000"/>
          <w:sz w:val="22"/>
          <w:szCs w:val="22"/>
        </w:rPr>
        <w:t xml:space="preserve">Several characteristics of the OT operational environment amplify the insider threat relative to IT environments:</w:t>
      </w:r>
    </w:p>
    <w:p>
      <w:pPr>
        <w:pStyle w:val="ListParagraph"/>
        <w:numPr>
          <w:ilvl w:val="0"/>
          <w:numId w:val="2"/>
        </w:numPr>
        <w:spacing w:after="100" w:line="276"/>
      </w:pPr>
      <w:r>
        <w:rPr>
          <w:rFonts w:ascii="Arial" w:cs="Arial" w:eastAsia="Arial" w:hAnsi="Arial"/>
          <w:sz w:val="22"/>
          <w:szCs w:val="22"/>
        </w:rPr>
        <w:t xml:space="preserve">Physical process knowledge: OT insiders have knowledge of the specific physical process they manage — the pressure limits, the temperature setpoints, the safety interlock logic, the alarm thresholds, and the physical consequences of process parameter changes. This knowledge enables an OT insider to cause targeted physical harm that an external attacker would struggle to achieve without equivalent process knowledge.</w:t>
      </w:r>
    </w:p>
    <w:p>
      <w:pPr>
        <w:pStyle w:val="ListParagraph"/>
        <w:numPr>
          <w:ilvl w:val="0"/>
          <w:numId w:val="2"/>
        </w:numPr>
        <w:spacing w:after="100" w:line="276"/>
      </w:pPr>
      <w:r>
        <w:rPr>
          <w:rFonts w:ascii="Arial" w:cs="Arial" w:eastAsia="Arial" w:hAnsi="Arial"/>
          <w:sz w:val="22"/>
          <w:szCs w:val="22"/>
        </w:rPr>
        <w:t xml:space="preserve">Trusted vendor relationships: OT systems are maintained by vendor technicians who have privileged access during maintenance visits. Former vendor employees — particularly those dismissed from vendor organisations — may retain knowledge of backdoor access paths, default credentials, or security weaknesses that they observed during maintenance activities. The Maroochy Shire attacker was a former employee of the SCADA installation contractor.</w:t>
      </w:r>
    </w:p>
    <w:p>
      <w:pPr>
        <w:pStyle w:val="ListParagraph"/>
        <w:numPr>
          <w:ilvl w:val="0"/>
          <w:numId w:val="2"/>
        </w:numPr>
        <w:spacing w:after="100" w:line="276"/>
      </w:pPr>
      <w:r>
        <w:rPr>
          <w:rFonts w:ascii="Arial" w:cs="Arial" w:eastAsia="Arial" w:hAnsi="Arial"/>
          <w:sz w:val="22"/>
          <w:szCs w:val="22"/>
        </w:rPr>
        <w:t xml:space="preserve">Shift work and access control gaps: OT environments operate continuously, with rotating shift teams. Access control management — ensuring that access is promptly revoked when individuals leave or change roles — is more challenging in a 24/7 operational environment than in a standard business-hours IT environment.</w:t>
      </w:r>
    </w:p>
    <w:p>
      <w:pPr>
        <w:pStyle w:val="ListParagraph"/>
        <w:numPr>
          <w:ilvl w:val="0"/>
          <w:numId w:val="2"/>
        </w:numPr>
        <w:spacing w:after="100" w:line="276"/>
      </w:pPr>
      <w:r>
        <w:rPr>
          <w:rFonts w:ascii="Arial" w:cs="Arial" w:eastAsia="Arial" w:hAnsi="Arial"/>
          <w:sz w:val="22"/>
          <w:szCs w:val="22"/>
        </w:rPr>
        <w:t xml:space="preserve">Inadequate monitoring: OT environments typically have less security monitoring than IT environments — fewer logs, less visibility, and less sophisticated behavioural analytics. An insider who understands the monitoring limitations of the OT environment can plan their actions to minimise detection risk.</w:t>
      </w:r>
    </w:p>
    <w:p>
      <w:r>
        <w:br w:type="page"/>
      </w:r>
    </w:p>
    <w:p>
      <w:pPr>
        <w:pStyle w:val="Heading1"/>
        <w:spacing w:after="200" w:before="400"/>
      </w:pPr>
      <w:r>
        <w:rPr>
          <w:rFonts w:ascii="Arial" w:cs="Arial" w:eastAsia="Arial" w:hAnsi="Arial"/>
          <w:b/>
          <w:bCs/>
          <w:color w:val="1F3864"/>
          <w:sz w:val="34"/>
          <w:szCs w:val="34"/>
        </w:rPr>
        <w:t xml:space="preserve">2.6  Hacktivists, Script Kiddies, and Opportunistic Actors</w:t>
      </w:r>
    </w:p>
    <w:p>
      <w:pPr>
        <w:spacing w:after="160" w:line="276"/>
        <w:jc w:val="both"/>
      </w:pPr>
      <w:r>
        <w:rPr>
          <w:rFonts w:ascii="Arial" w:cs="Arial" w:eastAsia="Arial" w:hAnsi="Arial"/>
          <w:b w:val="false"/>
          <w:bCs w:val="false"/>
          <w:color w:val="000000"/>
          <w:sz w:val="22"/>
          <w:szCs w:val="22"/>
        </w:rPr>
        <w:t xml:space="preserve">While nation-state actors and criminal ransomware groups dominate the OT security discourse, the hacktivist and low-skill actor categories deserve specific attention because of their increasing relevance in the current geopolitical environment and the growing accessibility of OT attack tools.</w:t>
      </w:r>
    </w:p>
    <w:p>
      <w:pPr>
        <w:pStyle w:val="Heading2"/>
        <w:spacing w:after="160" w:before="300"/>
      </w:pPr>
      <w:r>
        <w:rPr>
          <w:rFonts w:ascii="Arial" w:cs="Arial" w:eastAsia="Arial" w:hAnsi="Arial"/>
          <w:b/>
          <w:bCs/>
          <w:color w:val="2E75B6"/>
          <w:sz w:val="27"/>
          <w:szCs w:val="27"/>
        </w:rPr>
        <w:t xml:space="preserve">2.6.1  Hacktivists</w:t>
      </w:r>
    </w:p>
    <w:p>
      <w:pPr>
        <w:spacing w:after="160" w:line="276"/>
        <w:jc w:val="both"/>
      </w:pPr>
      <w:r>
        <w:rPr>
          <w:rFonts w:ascii="Arial" w:cs="Arial" w:eastAsia="Arial" w:hAnsi="Arial"/>
          <w:b w:val="false"/>
          <w:bCs w:val="false"/>
          <w:color w:val="000000"/>
          <w:sz w:val="22"/>
          <w:szCs w:val="22"/>
        </w:rPr>
        <w:t xml:space="preserve">Hacktivist groups targeting OT systems are primarily motivated by political and ideological objectives — environmental activism targeting oil and gas companies, anti-war activism targeting defence industry suppliers, and general anti-industry campaigns. While hacktivist capability has historically been limited (primarily website defacement, data leaks, and distributed denial-of-service), several developments have elevated the OT security concern:</w:t>
      </w:r>
    </w:p>
    <w:p>
      <w:pPr>
        <w:pStyle w:val="ListParagraph"/>
        <w:numPr>
          <w:ilvl w:val="0"/>
          <w:numId w:val="2"/>
        </w:numPr>
        <w:spacing w:after="100" w:line="276"/>
      </w:pPr>
      <w:r>
        <w:rPr>
          <w:rFonts w:ascii="Arial" w:cs="Arial" w:eastAsia="Arial" w:hAnsi="Arial"/>
          <w:sz w:val="22"/>
          <w:szCs w:val="22"/>
        </w:rPr>
        <w:t xml:space="preserve">Hacktivists targeting HMI systems: In 2023 and 2024, hacktivist groups linked to Russian and pro-Palestinian causes demonstrated the ability to access internet-exposed HMI systems at water utilities and other small industrial operators in the US and Israel, capturing screenshots of process displays and, in some cases, claiming to have modified setpoints. The Pennsylvania Aliquippa water authority attack (November 2023) — in which a hacktivist group (CyberAv3ngers, assessed as Iranian IRGC-linked) compromised a Unitronics PLC at a booster pump station — demonstrated that internet-exposed OT systems are within hacktivist reach even without sophisticated capabilities.</w:t>
      </w:r>
    </w:p>
    <w:p>
      <w:pPr>
        <w:pStyle w:val="ListParagraph"/>
        <w:numPr>
          <w:ilvl w:val="0"/>
          <w:numId w:val="2"/>
        </w:numPr>
        <w:spacing w:after="100" w:line="276"/>
      </w:pPr>
      <w:r>
        <w:rPr>
          <w:rFonts w:ascii="Arial" w:cs="Arial" w:eastAsia="Arial" w:hAnsi="Arial"/>
          <w:sz w:val="22"/>
          <w:szCs w:val="22"/>
        </w:rPr>
        <w:t xml:space="preserve">Social media amplification: Even unsuccessful hacktivist OT attacks create significant reputational and regulatory risk when amplified on social media. Screenshots of OT system HMI displays shared on hacktivist Telegram channels — even if the attacker had no actual control of the process — create public concern, regulatory inquiry, and stock price impact that is disproportionate to the technical impact.</w:t>
      </w:r>
    </w:p>
    <w:p>
      <w:pPr>
        <w:pStyle w:val="ListParagraph"/>
        <w:numPr>
          <w:ilvl w:val="0"/>
          <w:numId w:val="2"/>
        </w:numPr>
        <w:spacing w:after="100" w:line="276"/>
      </w:pPr>
      <w:r>
        <w:rPr>
          <w:rFonts w:ascii="Arial" w:cs="Arial" w:eastAsia="Arial" w:hAnsi="Arial"/>
          <w:sz w:val="22"/>
          <w:szCs w:val="22"/>
        </w:rPr>
        <w:t xml:space="preserve">Geopolitically motivated activity with state enabling: The boundary between genuine hacktivist activity and state-sponsored activity disguised as hacktivism is increasingly difficult to identify. CyberAv3ngers — responsible for the Aliquippa water attack — is assessed by the US government as affiliated with the Iranian Revolutionary Guard Corps Cyber Electronic Command, despite presenting publicly as an independent hacktivist group (CISA et al., 2023).</w:t>
      </w:r>
    </w:p>
    <w:p>
      <w:pPr>
        <w:pStyle w:val="Heading2"/>
        <w:spacing w:after="160" w:before="300"/>
      </w:pPr>
      <w:r>
        <w:rPr>
          <w:rFonts w:ascii="Arial" w:cs="Arial" w:eastAsia="Arial" w:hAnsi="Arial"/>
          <w:b/>
          <w:bCs/>
          <w:color w:val="2E75B6"/>
          <w:sz w:val="27"/>
          <w:szCs w:val="27"/>
        </w:rPr>
        <w:t xml:space="preserve">2.6.2  Script Kiddies and Opportunistic Actors</w:t>
      </w:r>
    </w:p>
    <w:p>
      <w:pPr>
        <w:spacing w:after="160" w:line="276"/>
        <w:jc w:val="both"/>
      </w:pPr>
      <w:r>
        <w:rPr>
          <w:rFonts w:ascii="Arial" w:cs="Arial" w:eastAsia="Arial" w:hAnsi="Arial"/>
          <w:b w:val="false"/>
          <w:bCs w:val="false"/>
          <w:color w:val="000000"/>
          <w:sz w:val="22"/>
          <w:szCs w:val="22"/>
        </w:rPr>
        <w:t xml:space="preserve">The growing internet connectivity of OT systems has created a new category of OT security risk: the opportunistic exploitation of internet-exposed OT systems by low-skill actors using publicly available tools. The Shodan search engine — which indexes internet-connected devices including OT systems — has made the discovery of internet-exposed HMIs, PLCs, and SCADA systems trivially easy. A search for 'port:502 Modbus' returns thousands of internet-exposed Modbus devices; a search for specific HMI software returns the login pages of exposed OT human-machine interfaces.</w:t>
      </w:r>
    </w:p>
    <w:p>
      <w:pPr>
        <w:spacing w:after="160" w:line="276"/>
        <w:jc w:val="both"/>
      </w:pPr>
      <w:r>
        <w:rPr>
          <w:rFonts w:ascii="Arial" w:cs="Arial" w:eastAsia="Arial" w:hAnsi="Arial"/>
          <w:b w:val="false"/>
          <w:bCs w:val="false"/>
          <w:color w:val="000000"/>
          <w:sz w:val="22"/>
          <w:szCs w:val="22"/>
        </w:rPr>
        <w:t xml:space="preserve">The security risk from this category is amplified by:</w:t>
      </w:r>
    </w:p>
    <w:p>
      <w:pPr>
        <w:pStyle w:val="ListParagraph"/>
        <w:numPr>
          <w:ilvl w:val="0"/>
          <w:numId w:val="2"/>
        </w:numPr>
        <w:spacing w:after="100" w:line="276"/>
      </w:pPr>
      <w:r>
        <w:rPr>
          <w:rFonts w:ascii="Arial" w:cs="Arial" w:eastAsia="Arial" w:hAnsi="Arial"/>
          <w:sz w:val="22"/>
          <w:szCs w:val="22"/>
        </w:rPr>
        <w:t xml:space="preserve">Default credentials: Many OT devices are deployed with default vendor credentials that have never been changed. An attacker who identifies an internet-exposed OT device on Shodan and attempts the default credential list for that vendor will succeed in a significant proportion of cases.</w:t>
      </w:r>
    </w:p>
    <w:p>
      <w:pPr>
        <w:pStyle w:val="ListParagraph"/>
        <w:numPr>
          <w:ilvl w:val="0"/>
          <w:numId w:val="2"/>
        </w:numPr>
        <w:spacing w:after="100" w:line="276"/>
      </w:pPr>
      <w:r>
        <w:rPr>
          <w:rFonts w:ascii="Arial" w:cs="Arial" w:eastAsia="Arial" w:hAnsi="Arial"/>
          <w:sz w:val="22"/>
          <w:szCs w:val="22"/>
        </w:rPr>
        <w:t xml:space="preserve">Public exploit frameworks: Metasploit modules for OT protocols (Modbus, S7comm, DNP3) and specific OT products are publicly available. An attacker with basic penetration testing skills can exploit known OT vulnerabilities without understanding the underlying protocol.</w:t>
      </w:r>
    </w:p>
    <w:p>
      <w:pPr>
        <w:pStyle w:val="ListParagraph"/>
        <w:numPr>
          <w:ilvl w:val="0"/>
          <w:numId w:val="2"/>
        </w:numPr>
        <w:spacing w:after="100" w:line="276"/>
      </w:pPr>
      <w:r>
        <w:rPr>
          <w:rFonts w:ascii="Arial" w:cs="Arial" w:eastAsia="Arial" w:hAnsi="Arial"/>
          <w:sz w:val="22"/>
          <w:szCs w:val="22"/>
        </w:rPr>
        <w:t xml:space="preserve">OT-specific search tools: Beyond Shodan, specialised tools (GRASSMARLIN, S4, Industrial Defender) for OT network discovery and exploitation have been released in research contexts and are available to the attacker community.</w:t>
      </w:r>
    </w:p>
    <w:p>
      <w:pPr>
        <w:spacing w:after="160" w:line="276"/>
        <w:jc w:val="both"/>
      </w:pPr>
      <w:r>
        <w:rPr>
          <w:rFonts w:ascii="Arial" w:cs="Arial" w:eastAsia="Arial" w:hAnsi="Arial"/>
          <w:b w:val="false"/>
          <w:bCs w:val="false"/>
          <w:color w:val="000000"/>
          <w:sz w:val="22"/>
          <w:szCs w:val="22"/>
        </w:rPr>
        <w:t xml:space="preserve">The Oldsmar, Florida water treatment attack (2021) — in which an attacker accessed the treatment plant's SCADA through TeamViewer (left internet-accessible with shared credentials) and attempted to increase the lye concentration — was detected by an observant operator and caused no physical harm. But it illustrated that internet-exposed OT systems with default or shared credentials are within the reach of actors with very limited sophistication.</w:t>
      </w:r>
    </w:p>
    <w:p>
      <w:r>
        <w:br w:type="page"/>
      </w:r>
    </w:p>
    <w:p>
      <w:pPr>
        <w:pStyle w:val="Heading1"/>
        <w:spacing w:after="200" w:before="400"/>
      </w:pPr>
      <w:r>
        <w:rPr>
          <w:rFonts w:ascii="Arial" w:cs="Arial" w:eastAsia="Arial" w:hAnsi="Arial"/>
          <w:b/>
          <w:bCs/>
          <w:color w:val="1F3864"/>
          <w:sz w:val="34"/>
          <w:szCs w:val="34"/>
        </w:rPr>
        <w:t xml:space="preserve">2.7  MITRE ATT&amp;CK for ICS — The Structured Vocabulary of OT Attack Techniques</w:t>
      </w:r>
    </w:p>
    <w:p>
      <w:pPr>
        <w:spacing w:after="160" w:line="276"/>
        <w:jc w:val="both"/>
      </w:pPr>
      <w:r>
        <w:rPr>
          <w:rFonts w:ascii="Arial" w:cs="Arial" w:eastAsia="Arial" w:hAnsi="Arial"/>
          <w:b w:val="false"/>
          <w:bCs w:val="false"/>
          <w:color w:val="000000"/>
          <w:sz w:val="22"/>
          <w:szCs w:val="22"/>
        </w:rPr>
        <w:t xml:space="preserve">The MITRE ATT&amp;CK for ICS framework is the authoritative structured knowledge base of adversary tactics, techniques, and procedures (TTPs) observed in attacks against industrial control systems. First published by MITRE in 2020 and maintained through continuous updates based on analysis of documented ICS incidents and threat intelligence, ATT&amp;CK for ICS provides the security practitioner with a shared vocabulary for describing, analysing, and comparing OT attack techniques — enabling consistent communication between practitioners, informed threat modelling, detection engineering, and security control gap analysis.</w:t>
      </w:r>
    </w:p>
    <w:p>
      <w:pPr>
        <w:spacing w:after="160" w:line="276"/>
        <w:jc w:val="both"/>
      </w:pPr>
      <w:r>
        <w:rPr>
          <w:rFonts w:ascii="Arial" w:cs="Arial" w:eastAsia="Arial" w:hAnsi="Arial"/>
          <w:b w:val="false"/>
          <w:bCs w:val="false"/>
          <w:color w:val="000000"/>
          <w:sz w:val="22"/>
          <w:szCs w:val="22"/>
        </w:rPr>
        <w:t xml:space="preserve">ATT&amp;CK for ICS is structured as a matrix of tactics (the adversary's objectives at each stage of an attack) and techniques (the specific methods used to achieve each objective). It is distinct from but related to the enterprise ATT&amp;CK matrix (which covers IT system attacks) — the ICS matrix covers techniques specific to the OT environment and the unique attack surfaces of industrial control systems.</w:t>
      </w:r>
    </w:p>
    <w:p>
      <w:pPr>
        <w:pStyle w:val="Heading2"/>
        <w:spacing w:after="160" w:before="300"/>
      </w:pPr>
      <w:r>
        <w:rPr>
          <w:rFonts w:ascii="Arial" w:cs="Arial" w:eastAsia="Arial" w:hAnsi="Arial"/>
          <w:b/>
          <w:bCs/>
          <w:color w:val="2E75B6"/>
          <w:sz w:val="27"/>
          <w:szCs w:val="27"/>
        </w:rPr>
        <w:t xml:space="preserve">2.7.1  The ATT&amp;CK for ICS Tactic Framework</w:t>
      </w:r>
    </w:p>
    <w:p>
      <w:pPr>
        <w:spacing w:after="160" w:line="276"/>
        <w:jc w:val="both"/>
      </w:pPr>
      <w:r>
        <w:rPr>
          <w:rFonts w:ascii="Arial" w:cs="Arial" w:eastAsia="Arial" w:hAnsi="Arial"/>
          <w:b w:val="false"/>
          <w:bCs w:val="false"/>
          <w:color w:val="000000"/>
          <w:sz w:val="22"/>
          <w:szCs w:val="22"/>
        </w:rPr>
        <w:t xml:space="preserve">The ATT&amp;CK for ICS framework defines twelve tactics that represent the stages of an OT-targeted attack. Understanding these tactics as a progression — though real attacks do not always follow a linear sequence — provides the analytical framework for threat modelling and detection engineering: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00"/>
        <w:gridCol w:w="2400"/>
        <w:gridCol w:w="2800"/>
        <w:gridCol w:w="2260"/>
      </w:tblGrid>
      <w:tr>
        <w:tc>
          <w:tcPr>
            <w:tcW w:type="dxa" w:w="14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Tactic</w:t>
            </w:r>
          </w:p>
        </w:tc>
        <w:tc>
          <w:tcPr>
            <w:tcW w:type="dxa" w:w="5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24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Objective</w:t>
            </w:r>
          </w:p>
        </w:tc>
        <w:tc>
          <w:tcPr>
            <w:tcW w:type="dxa" w:w="28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Example Techniques</w:t>
            </w:r>
          </w:p>
        </w:tc>
        <w:tc>
          <w:tcPr>
            <w:tcW w:type="dxa" w:w="226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Detection Focus</w:t>
            </w:r>
          </w:p>
        </w:tc>
      </w:tr>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Initial Access</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TA0108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Gain initial foothold in the target IT or OT environment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T0817 Drive-by Compromise; T0819 Exploit Public-Facing Application; T0865 Spearphishing Attachment; T0866 Exploitation of Remote Services; T0867 Wireless Compromise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VPN authentication logs; phishing email analysis; internet-facing service vulnerability scanning; unusual authentication from external addresses.</w:t>
            </w:r>
          </w:p>
        </w:tc>
      </w:tr>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Execution</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TA0104</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Execute adversary-controlled code on a target system</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T0807 Command-Line Interface; T0821 Modify Controller Tasking; T0823 Graphical User Interface; T0853 Scripting</w:t>
            </w:r>
          </w:p>
        </w:tc>
        <w:tc>
          <w:tcPr>
            <w:tcW w:type="dxa" w:w="2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Process creation logs; PowerShell logging; engineering software execution from unusual accounts; unexpected controller programme modifications.</w:t>
            </w:r>
          </w:p>
        </w:tc>
      </w:tr>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Persistence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TA0110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Maintain access across system restarts and remediation attempts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T0839 Module Firmware; T0873 Project File Infection; T0857 System Firmware; T0891 Hardcoded Credentials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Firmware integrity monitoring; project file hash comparison; unexpected firmware updates; novel accounts or services.</w:t>
            </w:r>
          </w:p>
        </w:tc>
      </w:tr>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Privilege Escalation</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TA0111</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Gain higher-level permissions on a target system</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T0874 Hooking; T0890 Exploitation for Privilege Escalation</w:t>
            </w:r>
          </w:p>
        </w:tc>
        <w:tc>
          <w:tcPr>
            <w:tcW w:type="dxa" w:w="2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Privilege escalation events in OT Windows systems; unexpected administrative account creation.</w:t>
            </w:r>
          </w:p>
        </w:tc>
      </w:tr>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Evasion</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TA0103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Avoid detection during the attack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T0820 Exploitation for Evasion; T0858 Change Operating Mode; T0872 Indicator Removal on Host; T0849 Masquerading</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Log clearing events; system time changes; unexpected programme mode changes on controllers.</w:t>
            </w:r>
          </w:p>
        </w:tc>
      </w:tr>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Discovery</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TA0102</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Identify accessible targets and their characteristics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T0840 Network Connection Enumeration; T0842 Network Sniffing; T0846 Remote System Discovery; T0888 Remote System Information Discovery</w:t>
            </w:r>
          </w:p>
        </w:tc>
        <w:tc>
          <w:tcPr>
            <w:tcW w:type="dxa" w:w="2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OT-IDS detection of network scanning; unusual ARP broadcasts; device enumeration using industrial protocols (CIP Identity, Modbus broadcast).</w:t>
            </w:r>
          </w:p>
        </w:tc>
      </w:tr>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Lateral Movement</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TA0109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Move from initial access point to target OT systems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T0812 Default Credentials; T0859 Valid Accounts; T0886 Remote Services; T0822 Exploitation of Remote Services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Authentication events across OT network segments; connections from IT-network hosts to OT-network hosts; use of default credentials on OT devices.</w:t>
            </w:r>
          </w:p>
        </w:tc>
      </w:tr>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Collection</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TA0100</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Gather data of operational value from OT systems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T0802 Automated Collection; T0811 Data from Information Repositories; T0868 Detect Operating Mode; T0877 I/O Image</w:t>
            </w:r>
          </w:p>
        </w:tc>
        <w:tc>
          <w:tcPr>
            <w:tcW w:type="dxa" w:w="2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OT historian access from unusual accounts; bulk data queries to process data repositories; screen capture tools on HMI workstations.</w:t>
            </w:r>
          </w:p>
        </w:tc>
      </w:tr>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Command and Control</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TA0101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Communicate with compromised systems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T0885 Commonly Used Port; T0884 Connection Proxy; T0869 Standard Application Layer Protocol</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Unusual outbound connections from OT network; traffic on unexpected ports; connections to external IPs from OT-network hosts.</w:t>
            </w:r>
          </w:p>
        </w:tc>
      </w:tr>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Inhibit Response Function</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TA0107</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Prevent safety and protection systems from responding to adverse conditions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T0800 Activate Firmware Update Mode; T0803 Block Command Message; T0804 Block Reporting Message; T0805 Block Serial COM; T0806 Brute Force I/O; T0813 Denial of Control; T0816 Device Restart/Shutdown; T0835 Manipulate I/O Image; T0838 Modify Alarm Settings; T0851 Rootkit</w:t>
            </w:r>
          </w:p>
        </w:tc>
        <w:tc>
          <w:tcPr>
            <w:tcW w:type="dxa" w:w="2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Safety system communication changes; alarm setpoint modifications; unexpected SIS communication changes; controller restart events.</w:t>
            </w:r>
          </w:p>
        </w:tc>
      </w:tr>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Impair Process Control</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TA0106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Disrupt or manipulate process control to cause abnormal physical conditions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T0806 Brute Force I/O; T0836 Modify Parameter; T0839 Module Firmware; T0855 Unauthorized Command Message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Setpoint changes from unexpected accounts; commands outside normal operational ranges; unexpected I/O changes; process value anomalies from OT-IDS.</w:t>
            </w:r>
          </w:p>
        </w:tc>
      </w:tr>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Impact</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TA0105</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Cause the final intended effect — physical damage, disruption, or destruction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T0826 Loss of Availability; T0827 Loss of Control; T0828 Loss of View; T0829 Denial of View; T0830 Manipulation of Control; T0831 Manipulation of View; T0832 Theft of Operational Information; T0882 Theft of Operational Information</w:t>
            </w:r>
          </w:p>
        </w:tc>
        <w:tc>
          <w:tcPr>
            <w:tcW w:type="dxa" w:w="2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Process anomalies; operator loss of view; control system unresponsiveness; physical process upsets correlated with cyber events.</w:t>
            </w:r>
          </w:p>
        </w:tc>
      </w:tr>
    </w:tbl>
    <w:p>
      <w:pPr>
        <w:spacing w:after="220" w:before="80"/>
        <w:jc w:val="center"/>
      </w:pPr>
      <w:r>
        <w:rPr>
          <w:rFonts w:ascii="Arial" w:cs="Arial" w:eastAsia="Arial" w:hAnsi="Arial"/>
          <w:b/>
          <w:bCs/>
          <w:i/>
          <w:iCs/>
          <w:color w:val="1F3864"/>
          <w:sz w:val="20"/>
          <w:szCs w:val="20"/>
        </w:rPr>
        <w:t xml:space="preserve">Table 2.4: MITRE ATT&amp;CK for ICS Tactics — Objectives, Example Techniques, and Detection Focus</w:t>
      </w:r>
    </w:p>
    <w:p>
      <w:pPr>
        <w:spacing w:after="200"/>
      </w:pPr>
      <w:r>
        <w:t xml:space="preserve"/>
      </w:r>
    </w:p>
    <w:p>
      <w:pPr>
        <w:pStyle w:val="Heading2"/>
        <w:spacing w:after="160" w:before="300"/>
      </w:pPr>
      <w:r>
        <w:rPr>
          <w:rFonts w:ascii="Arial" w:cs="Arial" w:eastAsia="Arial" w:hAnsi="Arial"/>
          <w:b/>
          <w:bCs/>
          <w:color w:val="2E75B6"/>
          <w:sz w:val="27"/>
          <w:szCs w:val="27"/>
        </w:rPr>
        <w:t xml:space="preserve">2.7.2  Applying ATT&amp;CK for ICS — Practical Uses</w:t>
      </w:r>
    </w:p>
    <w:p>
      <w:pPr>
        <w:spacing w:after="160" w:line="276"/>
        <w:jc w:val="both"/>
      </w:pPr>
      <w:r>
        <w:rPr>
          <w:rFonts w:ascii="Arial" w:cs="Arial" w:eastAsia="Arial" w:hAnsi="Arial"/>
          <w:b w:val="false"/>
          <w:bCs w:val="false"/>
          <w:color w:val="000000"/>
          <w:sz w:val="22"/>
          <w:szCs w:val="22"/>
        </w:rPr>
        <w:t xml:space="preserve">The ATT&amp;CK for ICS framework is not merely a reference taxonomy — it has direct practical applications across all OT security disciplines:</w:t>
      </w:r>
    </w:p>
    <w:p>
      <w:pPr>
        <w:pStyle w:val="ListParagraph"/>
        <w:numPr>
          <w:ilvl w:val="0"/>
          <w:numId w:val="2"/>
        </w:numPr>
        <w:spacing w:after="100" w:line="276"/>
      </w:pPr>
      <w:r>
        <w:rPr>
          <w:rFonts w:ascii="Arial" w:cs="Arial" w:eastAsia="Arial" w:hAnsi="Arial"/>
          <w:sz w:val="22"/>
          <w:szCs w:val="22"/>
        </w:rPr>
        <w:t xml:space="preserve">Threat modelling: When designing the threat model for a specific OT environment, the security practitioner uses ATT&amp;CK for ICS to systematically enumerate the techniques that a relevant threat actor is likely to use. By mapping each identified threat actor's known TTPs to the ATT&amp;CK technique library, the practitioner can identify which attack techniques are relevant to the specific environment and which are not.</w:t>
      </w:r>
    </w:p>
    <w:p>
      <w:pPr>
        <w:pStyle w:val="ListParagraph"/>
        <w:numPr>
          <w:ilvl w:val="0"/>
          <w:numId w:val="2"/>
        </w:numPr>
        <w:spacing w:after="100" w:line="276"/>
      </w:pPr>
      <w:r>
        <w:rPr>
          <w:rFonts w:ascii="Arial" w:cs="Arial" w:eastAsia="Arial" w:hAnsi="Arial"/>
          <w:sz w:val="22"/>
          <w:szCs w:val="22"/>
        </w:rPr>
        <w:t xml:space="preserve">Detection engineering: ATT&amp;CK for ICS provides the source material for OT-IDS alert policy design. Each ATT&amp;CK technique has associated detection notes that describe the observable indicators (in OT network traffic, OT system logs, or engineering software activity) that can be used to detect the technique. Security engineering teams use the ATT&amp;CK technique library to ensure that their detection capabilities cover the techniques most likely to be used by their relevant threat actors.</w:t>
      </w:r>
    </w:p>
    <w:p>
      <w:pPr>
        <w:pStyle w:val="ListParagraph"/>
        <w:numPr>
          <w:ilvl w:val="0"/>
          <w:numId w:val="2"/>
        </w:numPr>
        <w:spacing w:after="100" w:line="276"/>
      </w:pPr>
      <w:r>
        <w:rPr>
          <w:rFonts w:ascii="Arial" w:cs="Arial" w:eastAsia="Arial" w:hAnsi="Arial"/>
          <w:sz w:val="22"/>
          <w:szCs w:val="22"/>
        </w:rPr>
        <w:t xml:space="preserve">Control gap analysis: By mapping each ATT&amp;CK technique to the specific security control that mitigates it, the practitioner can identify which controls are absent from the current security posture and therefore which techniques are currently unmitigated. This technique-control mapping supports prioritised remediation planning — addressing the mitigations for the techniques most likely to be used by the most relevant threat actors first.</w:t>
      </w:r>
    </w:p>
    <w:p>
      <w:pPr>
        <w:pStyle w:val="ListParagraph"/>
        <w:numPr>
          <w:ilvl w:val="0"/>
          <w:numId w:val="2"/>
        </w:numPr>
        <w:spacing w:after="100" w:line="276"/>
      </w:pPr>
      <w:r>
        <w:rPr>
          <w:rFonts w:ascii="Arial" w:cs="Arial" w:eastAsia="Arial" w:hAnsi="Arial"/>
          <w:sz w:val="22"/>
          <w:szCs w:val="22"/>
        </w:rPr>
        <w:t xml:space="preserve">Red team planning: OT security exercise designers use ATT&amp;CK for ICS to develop realistic attack scenarios that cover the specific techniques relevant to the organisation's threat profile. This ensures that red team assessments (Chapter 13) test defences against realistic attack techniques rather than contrived scenarios.</w:t>
      </w:r>
    </w:p>
    <w:p>
      <w:pPr>
        <w:pStyle w:val="ListParagraph"/>
        <w:numPr>
          <w:ilvl w:val="0"/>
          <w:numId w:val="2"/>
        </w:numPr>
        <w:spacing w:after="100" w:line="276"/>
      </w:pPr>
      <w:r>
        <w:rPr>
          <w:rFonts w:ascii="Arial" w:cs="Arial" w:eastAsia="Arial" w:hAnsi="Arial"/>
          <w:sz w:val="22"/>
          <w:szCs w:val="22"/>
        </w:rPr>
        <w:t xml:space="preserve">Incident analysis: When investigating an OT security incident, the ATT&amp;CK for ICS framework provides the structured vocabulary for describing what the attacker did at each stage — enabling consistent communication with stakeholders, comparison with documented threat actor TTPs for attribution, and identification of detection gaps revealed by the incident.</w:t>
      </w:r>
    </w:p>
    <w:p>
      <w:pPr>
        <w:pStyle w:val="Heading2"/>
        <w:spacing w:after="160" w:before="300"/>
      </w:pPr>
      <w:r>
        <w:rPr>
          <w:rFonts w:ascii="Arial" w:cs="Arial" w:eastAsia="Arial" w:hAnsi="Arial"/>
          <w:b/>
          <w:bCs/>
          <w:color w:val="2E75B6"/>
          <w:sz w:val="27"/>
          <w:szCs w:val="27"/>
        </w:rPr>
        <w:t xml:space="preserve">2.7.3  ATT&amp;CK for ICS vs Enterprise ATT&amp;CK — Key Differences</w:t>
      </w:r>
    </w:p>
    <w:p>
      <w:pPr>
        <w:spacing w:after="160" w:line="276"/>
        <w:jc w:val="both"/>
      </w:pPr>
      <w:r>
        <w:rPr>
          <w:rFonts w:ascii="Arial" w:cs="Arial" w:eastAsia="Arial" w:hAnsi="Arial"/>
          <w:b w:val="false"/>
          <w:bCs w:val="false"/>
          <w:color w:val="000000"/>
          <w:sz w:val="22"/>
          <w:szCs w:val="22"/>
        </w:rPr>
        <w:t xml:space="preserve">The ATT&amp;CK for ICS matrix shares its conceptual architecture with the enterprise ATT&amp;CK matrix but differs in several important respects that reflect the specific characteristics of OT attacks:</w:t>
      </w:r>
    </w:p>
    <w:p>
      <w:pPr>
        <w:pStyle w:val="ListParagraph"/>
        <w:numPr>
          <w:ilvl w:val="0"/>
          <w:numId w:val="2"/>
        </w:numPr>
        <w:spacing w:after="100" w:line="276"/>
      </w:pPr>
      <w:r>
        <w:rPr>
          <w:rFonts w:ascii="Arial" w:cs="Arial" w:eastAsia="Arial" w:hAnsi="Arial"/>
          <w:sz w:val="22"/>
          <w:szCs w:val="22"/>
        </w:rPr>
        <w:t xml:space="preserve">Additional tactics: ATT&amp;CK for ICS includes three tactics not present in enterprise ATT&amp;CK — Inhibit Response Function (preventing safety systems from responding), Impair Process Control (disrupting process control), and Impact (causing physical consequences). These tactics reflect the unique OT attack objectives of process disruption and physical harm that are not relevant in IT-focused attack frameworks.</w:t>
      </w:r>
    </w:p>
    <w:p>
      <w:pPr>
        <w:pStyle w:val="ListParagraph"/>
        <w:numPr>
          <w:ilvl w:val="0"/>
          <w:numId w:val="2"/>
        </w:numPr>
        <w:spacing w:after="100" w:line="276"/>
      </w:pPr>
      <w:r>
        <w:rPr>
          <w:rFonts w:ascii="Arial" w:cs="Arial" w:eastAsia="Arial" w:hAnsi="Arial"/>
          <w:sz w:val="22"/>
          <w:szCs w:val="22"/>
        </w:rPr>
        <w:t xml:space="preserve">OT-specific techniques: Many ATT&amp;CK for ICS techniques are specific to OT environments — T0821 Modify Controller Tasking (modifying PLC control logic), T0839 Module Firmware (modifying PLC firmware), T0836 Modify Parameter (changing process setpoints). These techniques have no equivalent in enterprise ATT&amp;CK because IT systems do not have control logic, firmware, or process parameters in the OT sense.</w:t>
      </w:r>
    </w:p>
    <w:p>
      <w:pPr>
        <w:pStyle w:val="ListParagraph"/>
        <w:numPr>
          <w:ilvl w:val="0"/>
          <w:numId w:val="2"/>
        </w:numPr>
        <w:spacing w:after="100" w:line="276"/>
      </w:pPr>
      <w:r>
        <w:rPr>
          <w:rFonts w:ascii="Arial" w:cs="Arial" w:eastAsia="Arial" w:hAnsi="Arial"/>
          <w:sz w:val="22"/>
          <w:szCs w:val="22"/>
        </w:rPr>
        <w:t xml:space="preserve">Protocol-specific sub-techniques: ATT&amp;CK for ICS includes technique variations specific to individual OT protocols — Modbus-specific command injection, DNP3-specific message manipulation, OPC-specific exploitation. This protocol-level specificity enables the practitioner to map threat actor TTPs to specific vulnerabilities in the OT protocols used in their environment.</w:t>
      </w:r>
    </w:p>
    <w:p>
      <w:pPr>
        <w:pStyle w:val="ListParagraph"/>
        <w:numPr>
          <w:ilvl w:val="0"/>
          <w:numId w:val="2"/>
        </w:numPr>
        <w:spacing w:after="100" w:line="276"/>
      </w:pPr>
      <w:r>
        <w:rPr>
          <w:rFonts w:ascii="Arial" w:cs="Arial" w:eastAsia="Arial" w:hAnsi="Arial"/>
          <w:sz w:val="22"/>
          <w:szCs w:val="22"/>
        </w:rPr>
        <w:t xml:space="preserve">Scope boundaries: ATT&amp;CK for ICS explicitly covers the OT environment — Level 0 through Level 3 in the Purdue model. Initial access into the OT environment from IT networks is covered, but the primary enterprise IT attack techniques (credential access from Active Directory, email-based phishing) are addressed in the enterprise ATT&amp;CK matrix and referenced from ICS ATT&amp;CK where they constitute the initial access stage.</w:t>
      </w:r>
    </w:p>
    <w:p>
      <w:r>
        <w:br w:type="page"/>
      </w:r>
    </w:p>
    <w:p>
      <w:pPr>
        <w:pStyle w:val="Heading1"/>
        <w:spacing w:after="200" w:before="400"/>
      </w:pPr>
      <w:r>
        <w:rPr>
          <w:rFonts w:ascii="Arial" w:cs="Arial" w:eastAsia="Arial" w:hAnsi="Arial"/>
          <w:b/>
          <w:bCs/>
          <w:color w:val="1F3864"/>
          <w:sz w:val="34"/>
          <w:szCs w:val="34"/>
        </w:rPr>
        <w:t xml:space="preserve">2.8  The ICS Kill Chain — Analysing OT Attack Progression</w:t>
      </w:r>
    </w:p>
    <w:p>
      <w:pPr>
        <w:spacing w:after="160" w:line="276"/>
        <w:jc w:val="both"/>
      </w:pPr>
      <w:r>
        <w:rPr>
          <w:rFonts w:ascii="Arial" w:cs="Arial" w:eastAsia="Arial" w:hAnsi="Arial"/>
          <w:b w:val="false"/>
          <w:bCs w:val="false"/>
          <w:color w:val="000000"/>
          <w:sz w:val="22"/>
          <w:szCs w:val="22"/>
        </w:rPr>
        <w:t xml:space="preserve">The ICS Kill Chain model was developed by Robert Lee, Michael Assante, and Tim Conway of SANS ICS (Lee et al., 2014; Assante and Lee, 2015) specifically to describe the multi-stage structure of OT-targeted attacks. It extends the original Lockheed Martin Cyber Kill Chain (Hutchins et al., 2011) — which was designed for enterprise IT attacks — to address the unique two-stage structure of OT attacks: the first stage targets IT and OT-support systems to gain a foothold and develop attack capability; the second stage targets OT systems directly to achieve the intended physical consequence.</w:t>
      </w:r>
    </w:p>
    <w:p>
      <w:pPr>
        <w:spacing w:after="160" w:line="276"/>
        <w:jc w:val="both"/>
      </w:pPr>
      <w:r>
        <w:rPr>
          <w:rFonts w:ascii="Arial" w:cs="Arial" w:eastAsia="Arial" w:hAnsi="Arial"/>
          <w:b w:val="false"/>
          <w:bCs w:val="false"/>
          <w:color w:val="000000"/>
          <w:sz w:val="22"/>
          <w:szCs w:val="22"/>
        </w:rPr>
        <w:t xml:space="preserve">The ICS Kill Chain is the most widely used analytical framework for understanding OT attack progression and for identifying the defensive opportunities available at each stage. It provides the bridge between threat actor behaviour (what adversaries do) and defensive design (what controls can stop them).</w:t>
      </w:r>
    </w:p>
    <w:p>
      <w:pPr>
        <w:pStyle w:val="Heading2"/>
        <w:spacing w:after="160" w:before="300"/>
      </w:pPr>
      <w:r>
        <w:rPr>
          <w:rFonts w:ascii="Arial" w:cs="Arial" w:eastAsia="Arial" w:hAnsi="Arial"/>
          <w:b/>
          <w:bCs/>
          <w:color w:val="2E75B6"/>
          <w:sz w:val="27"/>
          <w:szCs w:val="27"/>
        </w:rPr>
        <w:t xml:space="preserve">2.8.1  The Two-Stage ICS Kill Chain</w:t>
      </w:r>
    </w:p>
    <w:p>
      <w:pPr>
        <w:spacing w:after="160" w:line="276"/>
        <w:jc w:val="both"/>
      </w:pPr>
      <w:r>
        <w:rPr>
          <w:rFonts w:ascii="Arial" w:cs="Arial" w:eastAsia="Arial" w:hAnsi="Arial"/>
          <w:b w:val="false"/>
          <w:bCs w:val="false"/>
          <w:color w:val="000000"/>
          <w:sz w:val="22"/>
          <w:szCs w:val="22"/>
        </w:rPr>
        <w:t xml:space="preserve">The ICS Kill Chain is structured in two stages, each containing six phases:</w:t>
      </w:r>
    </w:p>
    <w:p>
      <w:pPr>
        <w:shd w:fill="FFE0E0" w:val="clear"/>
        <w:spacing w:after="40" w:before="80"/>
        <w:ind w:left="360" w:right="360"/>
      </w:pPr>
      <w:r>
        <w:rPr>
          <w:rFonts w:ascii="Arial" w:cs="Arial" w:eastAsia="Arial" w:hAnsi="Arial"/>
          <w:b/>
          <w:bCs/>
          <w:color w:val="1F3864"/>
          <w:sz w:val="22"/>
          <w:szCs w:val="22"/>
        </w:rPr>
        <w:t xml:space="preserve">ICS Kill Chain — Stage 1: Targeting, Reconnaissance, and Weaponisation</w:t>
      </w:r>
    </w:p>
    <w:p>
      <w:pPr>
        <w:shd w:fill="FFE0E0" w:val="clear"/>
        <w:spacing w:after="30" w:before="30"/>
        <w:ind w:left="360" w:right="360"/>
      </w:pPr>
      <w:r>
        <w:rPr>
          <w:rFonts w:ascii="Arial" w:cs="Arial" w:eastAsia="Arial" w:hAnsi="Arial"/>
          <w:b/>
          <w:bCs/>
          <w:sz w:val="20"/>
          <w:szCs w:val="20"/>
        </w:rPr>
        <w:t xml:space="preserve">Phase 1 — Reconnaissance: Gathering information about the target organisation, its OT environment, the specific OT vendors and products deployed, the network architecture, and the personnel responsible for OT operations. Sources: public information (Shodan, LinkedIn, vendor documentation), technical intelligence (network scanning, phishing response analysis), human intelligence.</w:t>
      </w:r>
    </w:p>
    <w:p>
      <w:pPr>
        <w:shd w:fill="FFE0E0" w:val="clear"/>
        <w:spacing w:after="30" w:before="30"/>
        <w:ind w:left="360" w:right="360"/>
      </w:pPr>
      <w:r>
        <w:rPr>
          <w:rFonts w:ascii="Arial" w:cs="Arial" w:eastAsia="Arial" w:hAnsi="Arial"/>
          <w:b w:val="false"/>
          <w:bCs w:val="false"/>
          <w:sz w:val="20"/>
          <w:szCs w:val="20"/>
        </w:rPr>
        <w:t xml:space="preserve">Phase 2 — Weaponisation: Developing the attack capability — creating or acquiring the malware, developing the exploitation tools, understanding the specific OT protocols and device types in the target environment. For nation-state actors targeting specific OT systems (Stuxnet, TRITON), this phase may take years and require significant investment.</w:t>
      </w:r>
    </w:p>
    <w:p>
      <w:pPr>
        <w:shd w:fill="FFE0E0" w:val="clear"/>
        <w:spacing w:after="30" w:before="30"/>
        <w:ind w:left="360" w:right="360"/>
      </w:pPr>
      <w:r>
        <w:rPr>
          <w:rFonts w:ascii="Arial" w:cs="Arial" w:eastAsia="Arial" w:hAnsi="Arial"/>
          <w:b w:val="false"/>
          <w:bCs w:val="false"/>
          <w:sz w:val="20"/>
          <w:szCs w:val="20"/>
        </w:rPr>
        <w:t xml:space="preserve">Phase 3 — Delivery: Delivering the initial attack payload to the target — through spearphishing, a compromised supply chain update, a malicious USB drive, exploitation of internet-facing systems, or recruitment of an insider.</w:t>
      </w:r>
    </w:p>
    <w:p>
      <w:pPr>
        <w:shd w:fill="FFE0E0" w:val="clear"/>
        <w:spacing w:after="30" w:before="30"/>
        <w:ind w:left="360" w:right="360"/>
      </w:pPr>
      <w:r>
        <w:rPr>
          <w:rFonts w:ascii="Arial" w:cs="Arial" w:eastAsia="Arial" w:hAnsi="Arial"/>
          <w:b w:val="false"/>
          <w:bCs w:val="false"/>
          <w:sz w:val="20"/>
          <w:szCs w:val="20"/>
        </w:rPr>
        <w:t xml:space="preserve">Phase 4 — Exploitation: Exploiting a vulnerability in the delivered payload's target to achieve execution — a user opening a malicious document, a browser vulnerability exploited by a drive-by download, an unpatched VPN exploited by a remote attacker.</w:t>
      </w:r>
    </w:p>
    <w:p>
      <w:pPr>
        <w:shd w:fill="FFE0E0" w:val="clear"/>
        <w:spacing w:after="30" w:before="30"/>
        <w:ind w:left="360" w:right="360"/>
      </w:pPr>
      <w:r>
        <w:rPr>
          <w:rFonts w:ascii="Arial" w:cs="Arial" w:eastAsia="Arial" w:hAnsi="Arial"/>
          <w:b w:val="false"/>
          <w:bCs w:val="false"/>
          <w:sz w:val="20"/>
          <w:szCs w:val="20"/>
        </w:rPr>
        <w:t xml:space="preserve">Phase 5 — Installation: Establishing persistence in the target environment — installing backdoors, creating new accounts, modifying startup scripts, planting firmware implants.</w:t>
      </w:r>
    </w:p>
    <w:p>
      <w:pPr>
        <w:shd w:fill="FFE0E0" w:val="clear"/>
        <w:spacing w:after="30" w:before="30"/>
        <w:ind w:left="360" w:right="360"/>
      </w:pPr>
      <w:r>
        <w:rPr>
          <w:rFonts w:ascii="Arial" w:cs="Arial" w:eastAsia="Arial" w:hAnsi="Arial"/>
          <w:b w:val="false"/>
          <w:bCs w:val="false"/>
          <w:sz w:val="20"/>
          <w:szCs w:val="20"/>
        </w:rPr>
        <w:t xml:space="preserve">Phase 6 — Command and Control: Establishing a communication channel between the compromised environment and the attacker's infrastructure — enabling remote control, data exfiltration, and receipt of updated attack instructions.</w:t>
      </w:r>
    </w:p>
    <w:p>
      <w:pPr>
        <w:spacing w:after="200"/>
      </w:pPr>
      <w:r>
        <w:t xml:space="preserve"/>
      </w:r>
    </w:p>
    <w:p>
      <w:pPr>
        <w:shd w:fill="FFF0E0" w:val="clear"/>
        <w:spacing w:after="40" w:before="80"/>
        <w:ind w:left="360" w:right="360"/>
      </w:pPr>
      <w:r>
        <w:rPr>
          <w:rFonts w:ascii="Arial" w:cs="Arial" w:eastAsia="Arial" w:hAnsi="Arial"/>
          <w:b/>
          <w:bCs/>
          <w:color w:val="1F3864"/>
          <w:sz w:val="22"/>
          <w:szCs w:val="22"/>
        </w:rPr>
        <w:t xml:space="preserve">ICS Kill Chain — Stage 2: ICS Attack Development and Execution</w:t>
      </w:r>
    </w:p>
    <w:p>
      <w:pPr>
        <w:shd w:fill="FFF0E0" w:val="clear"/>
        <w:spacing w:after="30" w:before="30"/>
        <w:ind w:left="360" w:right="360"/>
      </w:pPr>
      <w:r>
        <w:rPr>
          <w:rFonts w:ascii="Arial" w:cs="Arial" w:eastAsia="Arial" w:hAnsi="Arial"/>
          <w:b/>
          <w:bCs/>
          <w:sz w:val="20"/>
          <w:szCs w:val="20"/>
        </w:rPr>
        <w:t xml:space="preserve">Phase 7 — Develop Stage 2 Capability: Using access gained in Stage 1 to understand the target OT environment sufficiently to develop Stage 2 attack capability. This phase involves: mapping OT network topology; identifying specific PLC/DCS types and versions; understanding control logic; identifying safety systems; and developing OT-specific attack tools.</w:t>
      </w:r>
    </w:p>
    <w:p>
      <w:pPr>
        <w:shd w:fill="FFF0E0" w:val="clear"/>
        <w:spacing w:after="30" w:before="30"/>
        <w:ind w:left="360" w:right="360"/>
      </w:pPr>
      <w:r>
        <w:rPr>
          <w:rFonts w:ascii="Arial" w:cs="Arial" w:eastAsia="Arial" w:hAnsi="Arial"/>
          <w:b w:val="false"/>
          <w:bCs w:val="false"/>
          <w:sz w:val="20"/>
          <w:szCs w:val="20"/>
        </w:rPr>
        <w:t xml:space="preserve">Phase 8 — Stage 2 Delivery: Delivering the OT-specific attack capability to the OT environment — through the IT/OT connection established in Stage 1, through direct OT network access gained in Stage 1, or through engineering software compromise.</w:t>
      </w:r>
    </w:p>
    <w:p>
      <w:pPr>
        <w:shd w:fill="FFF0E0" w:val="clear"/>
        <w:spacing w:after="30" w:before="30"/>
        <w:ind w:left="360" w:right="360"/>
      </w:pPr>
      <w:r>
        <w:rPr>
          <w:rFonts w:ascii="Arial" w:cs="Arial" w:eastAsia="Arial" w:hAnsi="Arial"/>
          <w:b w:val="false"/>
          <w:bCs w:val="false"/>
          <w:sz w:val="20"/>
          <w:szCs w:val="20"/>
        </w:rPr>
        <w:t xml:space="preserve">Phase 9 — Persistence in OT: Maintaining persistent access in the OT environment — through controller firmware implants, compromised engineering workstation access, or modification of project files that are regularly loaded to OT controllers.</w:t>
      </w:r>
    </w:p>
    <w:p>
      <w:pPr>
        <w:shd w:fill="FFF0E0" w:val="clear"/>
        <w:spacing w:after="30" w:before="30"/>
        <w:ind w:left="360" w:right="360"/>
      </w:pPr>
      <w:r>
        <w:rPr>
          <w:rFonts w:ascii="Arial" w:cs="Arial" w:eastAsia="Arial" w:hAnsi="Arial"/>
          <w:b w:val="false"/>
          <w:bCs w:val="false"/>
          <w:sz w:val="20"/>
          <w:szCs w:val="20"/>
        </w:rPr>
        <w:t xml:space="preserve">Phase 10 — Execution: Activating the attack — sending malicious commands to OT devices, modifying control logic to cause abnormal process conditions, defeating safety systems, or triggering physical consequences.</w:t>
      </w:r>
    </w:p>
    <w:p>
      <w:pPr>
        <w:shd w:fill="FFF0E0" w:val="clear"/>
        <w:spacing w:after="30" w:before="30"/>
        <w:ind w:left="360" w:right="360"/>
      </w:pPr>
      <w:r>
        <w:rPr>
          <w:rFonts w:ascii="Arial" w:cs="Arial" w:eastAsia="Arial" w:hAnsi="Arial"/>
          <w:b w:val="false"/>
          <w:bCs w:val="false"/>
          <w:sz w:val="20"/>
          <w:szCs w:val="20"/>
        </w:rPr>
        <w:t xml:space="preserve">Phase 11 — Consequences: The physical outcome of the attack — process disruption, equipment damage, environmental release, or safety system defeat. The consequence is determined by the target OT system, the process it controls, and the specific manipulation performed.</w:t>
      </w:r>
    </w:p>
    <w:p>
      <w:pPr>
        <w:spacing w:after="300"/>
      </w:pPr>
      <w:r>
        <w:t xml:space="preserve"/>
      </w:r>
    </w:p>
    <w:p>
      <w:pPr>
        <w:pStyle w:val="Heading2"/>
        <w:spacing w:after="160" w:before="300"/>
      </w:pPr>
      <w:r>
        <w:rPr>
          <w:rFonts w:ascii="Arial" w:cs="Arial" w:eastAsia="Arial" w:hAnsi="Arial"/>
          <w:b/>
          <w:bCs/>
          <w:color w:val="2E75B6"/>
          <w:sz w:val="27"/>
          <w:szCs w:val="27"/>
        </w:rPr>
        <w:t xml:space="preserve">2.8.2  Applying the ICS Kill Chain — The Ukrainian Power Grid Attack</w:t>
      </w:r>
    </w:p>
    <w:p>
      <w:pPr>
        <w:spacing w:after="160" w:line="276"/>
        <w:jc w:val="both"/>
      </w:pPr>
      <w:r>
        <w:rPr>
          <w:rFonts w:ascii="Arial" w:cs="Arial" w:eastAsia="Arial" w:hAnsi="Arial"/>
          <w:b w:val="false"/>
          <w:bCs w:val="false"/>
          <w:color w:val="000000"/>
          <w:sz w:val="22"/>
          <w:szCs w:val="22"/>
        </w:rPr>
        <w:t xml:space="preserve">The 2015 Ukrainian power grid attack provides the most comprehensively documented example of the ICS Kill Chain in action. The following table maps the documented phases of the attack to the Kill Chain framework, illustrating both the attack progression and the defensive opportunities that existed at each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Kill Chain Phase</w:t>
            </w:r>
          </w:p>
        </w:tc>
        <w:tc>
          <w:tcPr>
            <w:tcW w:type="dxa" w:w="32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Ukraine 2015 — What Happened</w:t>
            </w:r>
          </w:p>
        </w:tc>
        <w:tc>
          <w:tcPr>
            <w:tcW w:type="dxa" w:w="456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Defensive Opportunity</w:t>
            </w:r>
          </w:p>
        </w:tc>
      </w:tr>
      <w:tr>
        <w:tc>
          <w:tcPr>
            <w:tcW w:type="dxa" w:w="16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left"/>
            </w:pPr>
            <w:r>
              <w:rPr>
                <w:rFonts w:ascii="Arial" w:cs="Arial" w:eastAsia="Arial" w:hAnsi="Arial"/>
                <w:b/>
                <w:bCs/>
                <w:sz w:val="18"/>
                <w:szCs w:val="18"/>
              </w:rPr>
              <w:t xml:space="preserve">Phase 1 — Reconnaissance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Sandworm conducted reconnaissance of Ukrainian energy sector organisations, identifying employees on LinkedIn, collecting email addresses, and researching the specific SCADA systems deployed by the target utilities.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Threat intelligence sharing within the energy sector about targeted reconnaissance; employee security awareness about LinkedIn data hygiene; monitoring of sector-specific threat intelligence.</w:t>
            </w:r>
          </w:p>
        </w:tc>
      </w:tr>
      <w:tr>
        <w:tc>
          <w:tcPr>
            <w:tcW w:type="dxa" w:w="16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left"/>
            </w:pPr>
            <w:r>
              <w:rPr>
                <w:rFonts w:ascii="Arial" w:cs="Arial" w:eastAsia="Arial" w:hAnsi="Arial"/>
                <w:b/>
                <w:bCs/>
                <w:sz w:val="18"/>
                <w:szCs w:val="18"/>
              </w:rPr>
              <w:t xml:space="preserve">Phase 2 — Weaponisation</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Sandworm developed the BlackEnergy 3 malware with a macro-laced Microsoft Word document lure tailored to Ukrainian energy sector employees.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Limited defensive opportunity — attacker-side activity. Intelligence collection on BlackEnergy infrastructure; monitoring of OT-focused malware development communities.</w:t>
            </w:r>
          </w:p>
        </w:tc>
      </w:tr>
      <w:tr>
        <w:tc>
          <w:tcPr>
            <w:tcW w:type="dxa" w:w="16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left"/>
            </w:pPr>
            <w:r>
              <w:rPr>
                <w:rFonts w:ascii="Arial" w:cs="Arial" w:eastAsia="Arial" w:hAnsi="Arial"/>
                <w:b/>
                <w:bCs/>
                <w:sz w:val="18"/>
                <w:szCs w:val="18"/>
              </w:rPr>
              <w:t xml:space="preserve">Phase 3 — Delivery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Spearphishing emails with malicious Word documents sent to Ukrainian utility employees in Spring 2015.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Email security gateway with macro attachment blocking; security awareness training for targeted employees; phishing simulation exercises.</w:t>
            </w:r>
          </w:p>
        </w:tc>
      </w:tr>
      <w:tr>
        <w:tc>
          <w:tcPr>
            <w:tcW w:type="dxa" w:w="16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left"/>
            </w:pPr>
            <w:r>
              <w:rPr>
                <w:rFonts w:ascii="Arial" w:cs="Arial" w:eastAsia="Arial" w:hAnsi="Arial"/>
                <w:b/>
                <w:bCs/>
                <w:sz w:val="18"/>
                <w:szCs w:val="18"/>
              </w:rPr>
              <w:t xml:space="preserve">Phase 4 — Exploitation</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Employees opened the Word documents and enabled macros, executing the BlackEnergy dropper.</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Macro execution disabled by default policy; user awareness training — do not enable macros in unsolicited documents; endpoint protection.</w:t>
            </w:r>
          </w:p>
        </w:tc>
      </w:tr>
      <w:tr>
        <w:tc>
          <w:tcPr>
            <w:tcW w:type="dxa" w:w="16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left"/>
            </w:pPr>
            <w:r>
              <w:rPr>
                <w:rFonts w:ascii="Arial" w:cs="Arial" w:eastAsia="Arial" w:hAnsi="Arial"/>
                <w:b/>
                <w:bCs/>
                <w:sz w:val="18"/>
                <w:szCs w:val="18"/>
              </w:rPr>
              <w:t xml:space="preserve">Phase 5 — Installation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BlackEnergy established persistence on compromised workstations. The malware maintained access for approximately 6 months (May–December 2015).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Endpoint detection and response (EDR) on IT workstations; anomaly-based detection of BlackEnergy C2 traffic; regular malware scanning with behavioural analytics.</w:t>
            </w:r>
          </w:p>
        </w:tc>
      </w:tr>
      <w:tr>
        <w:tc>
          <w:tcPr>
            <w:tcW w:type="dxa" w:w="16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left"/>
            </w:pPr>
            <w:r>
              <w:rPr>
                <w:rFonts w:ascii="Arial" w:cs="Arial" w:eastAsia="Arial" w:hAnsi="Arial"/>
                <w:b/>
                <w:bCs/>
                <w:sz w:val="18"/>
                <w:szCs w:val="18"/>
              </w:rPr>
              <w:t xml:space="preserve">Phase 6 — Command and Control</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BlackEnergy communicated with Sandworm's command-and-control infrastructure over HTTPS to receive instructions and exfiltrate data.</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DNS monitoring for C2 beaconing patterns; HTTPS inspection at enterprise perimeter; network behaviour analytics for anomalous outbound communications.</w:t>
            </w:r>
          </w:p>
        </w:tc>
      </w:tr>
      <w:tr>
        <w:tc>
          <w:tcPr>
            <w:tcW w:type="dxa" w:w="16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pPr>
              <w:jc w:val="left"/>
            </w:pPr>
            <w:r>
              <w:rPr>
                <w:rFonts w:ascii="Arial" w:cs="Arial" w:eastAsia="Arial" w:hAnsi="Arial"/>
                <w:b/>
                <w:bCs/>
                <w:sz w:val="18"/>
                <w:szCs w:val="18"/>
              </w:rPr>
              <w:t xml:space="preserve">Phase 7 — Stage 2 Capability Development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Sandworm operators used access to IT workstations to move laterally to SCADA systems, learn the target utilities' specific OT architectures, and develop customised attack scripts for the specific SCADA used.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IT/OT network segmentation preventing lateral movement from IT to OT; OT-IDS detecting network scanning and lateral movement within OT network; privileged access monitoring on SCADA workstations.</w:t>
            </w:r>
          </w:p>
        </w:tc>
      </w:tr>
      <w:tr>
        <w:tc>
          <w:tcPr>
            <w:tcW w:type="dxa" w:w="16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pPr>
              <w:jc w:val="left"/>
            </w:pPr>
            <w:r>
              <w:rPr>
                <w:rFonts w:ascii="Arial" w:cs="Arial" w:eastAsia="Arial" w:hAnsi="Arial"/>
                <w:b/>
                <w:bCs/>
                <w:sz w:val="18"/>
                <w:szCs w:val="18"/>
              </w:rPr>
              <w:t xml:space="preserve">Phase 8 — Stage 2 Delivery</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Sandworm moved laterally from compromised IT workstations to SCADA workstations with access to the substation control systems.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OT network segmentation; OT-IDS alert on IT-sourced connections to OT workstations; authentication monitoring on SCADA systems.</w:t>
            </w:r>
          </w:p>
        </w:tc>
      </w:tr>
      <w:tr>
        <w:tc>
          <w:tcPr>
            <w:tcW w:type="dxa" w:w="16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pPr>
              <w:jc w:val="left"/>
            </w:pPr>
            <w:r>
              <w:rPr>
                <w:rFonts w:ascii="Arial" w:cs="Arial" w:eastAsia="Arial" w:hAnsi="Arial"/>
                <w:b/>
                <w:bCs/>
                <w:sz w:val="18"/>
                <w:szCs w:val="18"/>
              </w:rPr>
              <w:t xml:space="preserve">Phase 9 — OT Persistence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Sandworm maintained access to SCADA systems and prepared attack scripts for substation remote commands.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OT-IDS detection of anomalous SCADA access; monitoring of SCADA authentication events; review of SCADA access logs.</w:t>
            </w:r>
          </w:p>
        </w:tc>
      </w:tr>
      <w:tr>
        <w:tc>
          <w:tcPr>
            <w:tcW w:type="dxa" w:w="16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pPr>
              <w:jc w:val="left"/>
            </w:pPr>
            <w:r>
              <w:rPr>
                <w:rFonts w:ascii="Arial" w:cs="Arial" w:eastAsia="Arial" w:hAnsi="Arial"/>
                <w:b/>
                <w:bCs/>
                <w:sz w:val="18"/>
                <w:szCs w:val="18"/>
              </w:rPr>
              <w:t xml:space="preserve">Phase 10 — Execution</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December 23, 2015: Sandworm operators remotely used SCADA to open circuit breakers at 30 substations; deployed KillDisk to destroy ICS workstations; and initiated TDoS against utility call centres.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Real-time monitoring of SCADA commands with anomaly detection; out-of-band operator communication channel (not affected by TDoS); manual operation capability (substations needed to be restored manually).</w:t>
            </w:r>
          </w:p>
        </w:tc>
      </w:tr>
      <w:tr>
        <w:tc>
          <w:tcPr>
            <w:tcW w:type="dxa" w:w="16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pPr>
              <w:jc w:val="left"/>
            </w:pPr>
            <w:r>
              <w:rPr>
                <w:rFonts w:ascii="Arial" w:cs="Arial" w:eastAsia="Arial" w:hAnsi="Arial"/>
                <w:b/>
                <w:bCs/>
                <w:sz w:val="18"/>
                <w:szCs w:val="18"/>
              </w:rPr>
              <w:t xml:space="preserve">Phase 11 — Consequences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~225,000 customers lost power for 1–6 hours. Utilities unable to quickly restore automated control due to KillDisk destruction of SCADA workstations.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Offline backups of SCADA configurations; manual operation training; incident response plan for cyber-induced power outage; rapid forensic investigation capability.</w:t>
            </w:r>
          </w:p>
        </w:tc>
      </w:tr>
    </w:tbl>
    <w:p>
      <w:pPr>
        <w:spacing w:after="220" w:before="80"/>
        <w:jc w:val="center"/>
      </w:pPr>
      <w:r>
        <w:rPr>
          <w:rFonts w:ascii="Arial" w:cs="Arial" w:eastAsia="Arial" w:hAnsi="Arial"/>
          <w:b/>
          <w:bCs/>
          <w:i/>
          <w:iCs/>
          <w:color w:val="1F3864"/>
          <w:sz w:val="20"/>
          <w:szCs w:val="20"/>
        </w:rPr>
        <w:t xml:space="preserve">Table 2.5: ICS Kill Chain Applied — Ukraine Power Grid Attack 2015 Analysis</w:t>
      </w:r>
    </w:p>
    <w:p>
      <w:pPr>
        <w:spacing w:after="200"/>
      </w:pPr>
      <w:r>
        <w:t xml:space="preserve"/>
      </w:r>
    </w:p>
    <w:p>
      <w:pPr>
        <w:spacing w:after="160" w:line="276"/>
        <w:jc w:val="both"/>
      </w:pPr>
      <w:r>
        <w:rPr>
          <w:rFonts w:ascii="Arial" w:cs="Arial" w:eastAsia="Arial" w:hAnsi="Arial"/>
          <w:b w:val="false"/>
          <w:bCs w:val="false"/>
          <w:color w:val="000000"/>
          <w:sz w:val="22"/>
          <w:szCs w:val="22"/>
        </w:rPr>
        <w:t xml:space="preserve">The Ukrainian power grid attack analysis reveals an important principle about OT security defence: the earlier in the kill chain a defensive control operates, the more broadly effective it is. A control that prevents initial access (Phase 3 — email security, macro blocking) stops the attack regardless of what Stage 2 capability Sandworm had developed. A control that prevents IT/OT lateral movement (Phase 7 — network segmentation) stops the attack even if initial access succeeded. A control that operates at Phase 10 (real-time SCADA command monitoring) must detect and respond within minutes to prevent impact. Defence-in-depth — applying controls at multiple kill chain stages — ensures that the attack must defeat multiple independent controls to reach Phase 11.</w:t>
      </w:r>
    </w:p>
    <w:p>
      <w:r>
        <w:br w:type="page"/>
      </w:r>
    </w:p>
    <w:p>
      <w:pPr>
        <w:pStyle w:val="Heading1"/>
        <w:spacing w:after="200" w:before="400"/>
      </w:pPr>
      <w:r>
        <w:rPr>
          <w:rFonts w:ascii="Arial" w:cs="Arial" w:eastAsia="Arial" w:hAnsi="Arial"/>
          <w:b/>
          <w:bCs/>
          <w:color w:val="1F3864"/>
          <w:sz w:val="34"/>
          <w:szCs w:val="34"/>
        </w:rPr>
        <w:t xml:space="preserve">2.9  Integrating Threat Intelligence into OT Risk Assessment</w:t>
      </w:r>
    </w:p>
    <w:p>
      <w:pPr>
        <w:spacing w:after="160" w:line="276"/>
        <w:jc w:val="both"/>
      </w:pPr>
      <w:r>
        <w:rPr>
          <w:rFonts w:ascii="Arial" w:cs="Arial" w:eastAsia="Arial" w:hAnsi="Arial"/>
          <w:b w:val="false"/>
          <w:bCs w:val="false"/>
          <w:color w:val="000000"/>
          <w:sz w:val="22"/>
          <w:szCs w:val="22"/>
        </w:rPr>
        <w:t xml:space="preserve">The threat landscape analysis developed in this chapter has direct application in the likelihood assessment component of the OT security risk assessment — the component that answers the question: given this vulnerability, how likely is it that a threat actor will exploit it to cause the assessed consequence? This section demonstrates how threat landscape intelligence is operationalised in the risk assessment framework developed in subsequent chapters.</w:t>
      </w:r>
    </w:p>
    <w:p>
      <w:pPr>
        <w:pStyle w:val="Heading2"/>
        <w:spacing w:after="160" w:before="300"/>
      </w:pPr>
      <w:r>
        <w:rPr>
          <w:rFonts w:ascii="Arial" w:cs="Arial" w:eastAsia="Arial" w:hAnsi="Arial"/>
          <w:b/>
          <w:bCs/>
          <w:color w:val="2E75B6"/>
          <w:sz w:val="27"/>
          <w:szCs w:val="27"/>
        </w:rPr>
        <w:t xml:space="preserve">2.9.1  The Threat Landscape Assessment — A Structured Approach</w:t>
      </w:r>
    </w:p>
    <w:p>
      <w:pPr>
        <w:spacing w:after="160" w:line="276"/>
        <w:jc w:val="both"/>
      </w:pPr>
      <w:r>
        <w:rPr>
          <w:rFonts w:ascii="Arial" w:cs="Arial" w:eastAsia="Arial" w:hAnsi="Arial"/>
          <w:b w:val="false"/>
          <w:bCs w:val="false"/>
          <w:color w:val="000000"/>
          <w:sz w:val="22"/>
          <w:szCs w:val="22"/>
        </w:rPr>
        <w:t xml:space="preserve">Before conducting a detailed risk assessment for a specific OT environment, the security practitioner should conduct a structured threat landscape assessment — identifying which threat actor categories are relevant to this specific environment, what their capability and motivation are in this context, and what specific attack techniques they are likely to employ. This assessment forms the threat baseline that informs the likelihood assignments in the risk matrix.</w:t>
      </w:r>
    </w:p>
    <w:p>
      <w:pPr>
        <w:spacing w:after="160" w:line="276"/>
        <w:jc w:val="both"/>
      </w:pPr>
      <w:r>
        <w:rPr>
          <w:rFonts w:ascii="Arial" w:cs="Arial" w:eastAsia="Arial" w:hAnsi="Arial"/>
          <w:b w:val="false"/>
          <w:bCs w:val="false"/>
          <w:color w:val="000000"/>
          <w:sz w:val="22"/>
          <w:szCs w:val="22"/>
        </w:rPr>
        <w:t xml:space="preserve">The threat landscape assessment addresses five questions:</w:t>
      </w:r>
    </w:p>
    <w:p>
      <w:pPr>
        <w:pStyle w:val="ListParagraph"/>
        <w:numPr>
          <w:ilvl w:val="0"/>
          <w:numId w:val="3"/>
        </w:numPr>
        <w:spacing w:after="100" w:line="276"/>
      </w:pPr>
      <w:r>
        <w:rPr>
          <w:rFonts w:ascii="Arial" w:cs="Arial" w:eastAsia="Arial" w:hAnsi="Arial"/>
          <w:sz w:val="22"/>
          <w:szCs w:val="22"/>
        </w:rPr>
        <w:t xml:space="preserve">Who are the relevant threat actors for this environment? (Sector, geography, asset criticality)</w:t>
      </w:r>
    </w:p>
    <w:p>
      <w:pPr>
        <w:pStyle w:val="ListParagraph"/>
        <w:numPr>
          <w:ilvl w:val="0"/>
          <w:numId w:val="3"/>
        </w:numPr>
        <w:spacing w:after="100" w:line="276"/>
      </w:pPr>
      <w:r>
        <w:rPr>
          <w:rFonts w:ascii="Arial" w:cs="Arial" w:eastAsia="Arial" w:hAnsi="Arial"/>
          <w:sz w:val="22"/>
          <w:szCs w:val="22"/>
        </w:rPr>
        <w:t xml:space="preserve">What is each relevant actor's capability to exploit identified vulnerabilities in this environment?</w:t>
      </w:r>
    </w:p>
    <w:p>
      <w:pPr>
        <w:pStyle w:val="ListParagraph"/>
        <w:numPr>
          <w:ilvl w:val="0"/>
          <w:numId w:val="3"/>
        </w:numPr>
        <w:spacing w:after="100" w:line="276"/>
      </w:pPr>
      <w:r>
        <w:rPr>
          <w:rFonts w:ascii="Arial" w:cs="Arial" w:eastAsia="Arial" w:hAnsi="Arial"/>
          <w:sz w:val="22"/>
          <w:szCs w:val="22"/>
        </w:rPr>
        <w:t xml:space="preserve">What is each relevant actor's motivation to attack this specific environment?</w:t>
      </w:r>
    </w:p>
    <w:p>
      <w:pPr>
        <w:pStyle w:val="ListParagraph"/>
        <w:numPr>
          <w:ilvl w:val="0"/>
          <w:numId w:val="3"/>
        </w:numPr>
        <w:spacing w:after="100" w:line="276"/>
      </w:pPr>
      <w:r>
        <w:rPr>
          <w:rFonts w:ascii="Arial" w:cs="Arial" w:eastAsia="Arial" w:hAnsi="Arial"/>
          <w:sz w:val="22"/>
          <w:szCs w:val="22"/>
        </w:rPr>
        <w:t xml:space="preserve">What specific attack techniques (ATT&amp;CK for ICS) would each relevant actor use against this environment's specific architecture and vulnerabilities?</w:t>
      </w:r>
    </w:p>
    <w:p>
      <w:pPr>
        <w:pStyle w:val="ListParagraph"/>
        <w:numPr>
          <w:ilvl w:val="0"/>
          <w:numId w:val="3"/>
        </w:numPr>
        <w:spacing w:after="100" w:line="276"/>
      </w:pPr>
      <w:r>
        <w:rPr>
          <w:rFonts w:ascii="Arial" w:cs="Arial" w:eastAsia="Arial" w:hAnsi="Arial"/>
          <w:sz w:val="22"/>
          <w:szCs w:val="22"/>
        </w:rPr>
        <w:t xml:space="preserve">What is the current threat intelligence assessment of each actor's activity tempo against this sector and geography?</w:t>
      </w:r>
    </w:p>
    <w:p>
      <w:pPr>
        <w:spacing w:after="200"/>
      </w:pPr>
      <w:r>
        <w:t xml:space="preserve"/>
      </w:r>
    </w:p>
    <w:p>
      <w:pPr>
        <w:pStyle w:val="Heading2"/>
        <w:spacing w:after="160" w:before="300"/>
      </w:pPr>
      <w:r>
        <w:rPr>
          <w:rFonts w:ascii="Arial" w:cs="Arial" w:eastAsia="Arial" w:hAnsi="Arial"/>
          <w:b/>
          <w:bCs/>
          <w:color w:val="2E75B6"/>
          <w:sz w:val="27"/>
          <w:szCs w:val="27"/>
        </w:rPr>
        <w:t xml:space="preserve">2.9.2  Threat Factor Analysis — From Threat Profile to Likelihood Score</w:t>
      </w:r>
    </w:p>
    <w:p>
      <w:pPr>
        <w:spacing w:after="160" w:line="276"/>
        <w:jc w:val="both"/>
      </w:pPr>
      <w:r>
        <w:rPr>
          <w:rFonts w:ascii="Arial" w:cs="Arial" w:eastAsia="Arial" w:hAnsi="Arial"/>
          <w:b w:val="false"/>
          <w:bCs w:val="false"/>
          <w:color w:val="000000"/>
          <w:sz w:val="22"/>
          <w:szCs w:val="22"/>
        </w:rPr>
        <w:t xml:space="preserve">The following framework maps threat actor characteristics to likelihood modifiers in the risk assessment process, providing a structured method for translating threat intelligence into quantitative likelihood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Threat Factor</w:t>
            </w:r>
          </w:p>
        </w:tc>
        <w:tc>
          <w:tcPr>
            <w:tcW w:type="dxa" w:w="24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Assessment Criteria</w:t>
            </w:r>
          </w:p>
        </w:tc>
        <w:tc>
          <w:tcPr>
            <w:tcW w:type="dxa" w:w="24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Likelihood Impact</w:t>
            </w:r>
          </w:p>
        </w:tc>
        <w:tc>
          <w:tcPr>
            <w:tcW w:type="dxa" w:w="276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Application Example</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Actor Relevance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Is this actor category known to target this sector and geography? Has this actor demonstrated interest in this asset type?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Highly relevant actor (confirmed sector targeting) → baseline likelihood elevated. Non-relevant actor → minimal likelihood contribution.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KAMACITE targets US energy sector specifically → highly relevant for US energy operator. HEXANE targets Middle East oil → lower relevance for Australian LNG.</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Capability Match</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Does the actor have the technical capability to exploit the specific vulnerability or attack vector identified?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Nation-state with OT-specific malware → maximum capability score. Script kiddie with commodity tools → low capability against sophisticated OT target. Criminal group targeting IT systems for OT disruption → medium capability.</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Sandworm capability to exploit unpatched Siemens S7 PLCs via S7comm → maximum. Criminal affiliate via phishing → high for IT systems, lower for direct OT impact.</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Motivation Intensity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How strongly motivated is this actor to conduct an attack against this specific target at this time?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Direct geopolitical tension with actor's sponsoring state → elevated motivation. No specific strategic interest → lower motivation. Criminal group targeting high-ransom-propensity sector → elevated financial motivation.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Ukrainian energy operator targeted by Sandworm during active conflict → maximum motivation. Australian water authority targeted by Sandworm → lower motivation (no direct geopolitical objective).</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Access Opportunity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How accessible is the target to this actor? Does the vulnerability exist in systems accessible to this actor?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Internet-exposed OT system → accessible to all actor categories. Well-segmented OT with no external connectivity → accessible only to nation-state with long-term IT/OT lateral movement capability.</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Internet-facing Modbus RTU → accessible to script kiddie. Air-gapped SIS → accessible only via insider or supply chain.</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Activity Tempo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What is the current observed activity level of this actor against similar targets?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Active campaign confirmed by CISA/NCSC advisory → elevated likelihood. No recent activity documented → lower likelihood (but not zero — absence of evidence ≠ evidence of absence).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CISA advisory confirming Volt Typhoon active in US critical infrastructure → elevated likelihood for US water/energy operators.</w:t>
            </w:r>
          </w:p>
        </w:tc>
      </w:tr>
    </w:tbl>
    <w:p>
      <w:pPr>
        <w:spacing w:after="220" w:before="80"/>
        <w:jc w:val="center"/>
      </w:pPr>
      <w:r>
        <w:rPr>
          <w:rFonts w:ascii="Arial" w:cs="Arial" w:eastAsia="Arial" w:hAnsi="Arial"/>
          <w:b/>
          <w:bCs/>
          <w:i/>
          <w:iCs/>
          <w:color w:val="1F3864"/>
          <w:sz w:val="20"/>
          <w:szCs w:val="20"/>
        </w:rPr>
        <w:t xml:space="preserve">Table 2.6: Threat Factor Analysis Framework — From Threat Profile to Likelihood Assessment</w:t>
      </w:r>
    </w:p>
    <w:p>
      <w:pPr>
        <w:spacing w:after="200"/>
      </w:pPr>
      <w:r>
        <w:t xml:space="preserve"/>
      </w:r>
    </w:p>
    <w:p>
      <w:pPr>
        <w:pStyle w:val="Heading2"/>
        <w:spacing w:after="160" w:before="300"/>
      </w:pPr>
      <w:r>
        <w:rPr>
          <w:rFonts w:ascii="Arial" w:cs="Arial" w:eastAsia="Arial" w:hAnsi="Arial"/>
          <w:b/>
          <w:bCs/>
          <w:color w:val="2E75B6"/>
          <w:sz w:val="27"/>
          <w:szCs w:val="27"/>
        </w:rPr>
        <w:t xml:space="preserve">2.9.3  Threat Intelligence Sources for OT Risk Assessment</w:t>
      </w:r>
    </w:p>
    <w:p>
      <w:pPr>
        <w:spacing w:after="160" w:line="276"/>
        <w:jc w:val="both"/>
      </w:pPr>
      <w:r>
        <w:rPr>
          <w:rFonts w:ascii="Arial" w:cs="Arial" w:eastAsia="Arial" w:hAnsi="Arial"/>
          <w:b w:val="false"/>
          <w:bCs w:val="false"/>
          <w:color w:val="000000"/>
          <w:sz w:val="22"/>
          <w:szCs w:val="22"/>
        </w:rPr>
        <w:t xml:space="preserve">The threat landscape assessment must be grounded in current, credible threat intelligence. The following primary sources should be systematically monitored and integrated into the risk assessment process:</w:t>
      </w:r>
    </w:p>
    <w:p>
      <w:pPr>
        <w:pStyle w:val="ListParagraph"/>
        <w:numPr>
          <w:ilvl w:val="0"/>
          <w:numId w:val="2"/>
        </w:numPr>
        <w:spacing w:after="100" w:line="276"/>
      </w:pPr>
      <w:r>
        <w:rPr>
          <w:rFonts w:ascii="Arial" w:cs="Arial" w:eastAsia="Arial" w:hAnsi="Arial"/>
          <w:sz w:val="22"/>
          <w:szCs w:val="22"/>
        </w:rPr>
        <w:t xml:space="preserve">Government threat intelligence: CISA (US), NCSC (UK), ACSC (Australia), BSI (Germany), and their Five Eyes equivalents publish joint advisories, threat briefings, and sector-specific warnings about OT threats. These are the most authoritative public sources of OT threat intelligence and should be the first reference for threat landscape assessment. CISA's ICS-CERT advisories provide both vulnerability intelligence and contextual information about which threat actors are exploiting specific vulnerabilities.</w:t>
      </w:r>
    </w:p>
    <w:p>
      <w:pPr>
        <w:pStyle w:val="ListParagraph"/>
        <w:numPr>
          <w:ilvl w:val="0"/>
          <w:numId w:val="2"/>
        </w:numPr>
        <w:spacing w:after="100" w:line="276"/>
      </w:pPr>
      <w:r>
        <w:rPr>
          <w:rFonts w:ascii="Arial" w:cs="Arial" w:eastAsia="Arial" w:hAnsi="Arial"/>
          <w:sz w:val="22"/>
          <w:szCs w:val="22"/>
        </w:rPr>
        <w:t xml:space="preserve">Commercial threat intelligence: Dragos (the leading OT-specific threat intelligence provider), Mandiant, CrowdStrike, Recorded Future, and Microsoft all publish OT threat intelligence reports. Dragos's Year in Review report provides the most comprehensive annual analysis of OT-specific threat actor activity and is an essential reference for understanding the current OT threat landscape. Subscription-based threat intelligence feeds provide more timely and detailed intelligence than free publications.</w:t>
      </w:r>
    </w:p>
    <w:p>
      <w:pPr>
        <w:pStyle w:val="ListParagraph"/>
        <w:numPr>
          <w:ilvl w:val="0"/>
          <w:numId w:val="2"/>
        </w:numPr>
        <w:spacing w:after="100" w:line="276"/>
      </w:pPr>
      <w:r>
        <w:rPr>
          <w:rFonts w:ascii="Arial" w:cs="Arial" w:eastAsia="Arial" w:hAnsi="Arial"/>
          <w:sz w:val="22"/>
          <w:szCs w:val="22"/>
        </w:rPr>
        <w:t xml:space="preserve">Sector ISACs: Information Sharing and Analysis Centres (ISACs) for specific sectors — E-ISAC (electricity), WaterISAC, Downstream Natural Gas ISAC, H-ISAC (healthcare) — provide sector-specific threat intelligence sharing between member organisations. Membership in the relevant sector ISAC provides access to threat intelligence that is specific to the sector's OT environment and not available through general-purpose sources.</w:t>
      </w:r>
    </w:p>
    <w:p>
      <w:pPr>
        <w:pStyle w:val="ListParagraph"/>
        <w:numPr>
          <w:ilvl w:val="0"/>
          <w:numId w:val="2"/>
        </w:numPr>
        <w:spacing w:after="100" w:line="276"/>
      </w:pPr>
      <w:r>
        <w:rPr>
          <w:rFonts w:ascii="Arial" w:cs="Arial" w:eastAsia="Arial" w:hAnsi="Arial"/>
          <w:sz w:val="22"/>
          <w:szCs w:val="22"/>
        </w:rPr>
        <w:t xml:space="preserve">Academic and research community: Academic researchers and security firms regularly publish detailed analyses of OT malware, threat actor TTPs, and vulnerability research. The IEEE Transactions on Industrial Informatics, the SANS ICS reading room, and conference proceedings from S4 (the premier ICS security conference) and BlackHat are important sources of technical threat intelligence.</w:t>
      </w:r>
    </w:p>
    <w:p>
      <w:pPr>
        <w:pStyle w:val="ListParagraph"/>
        <w:numPr>
          <w:ilvl w:val="0"/>
          <w:numId w:val="2"/>
        </w:numPr>
        <w:spacing w:after="100" w:line="276"/>
      </w:pPr>
      <w:r>
        <w:rPr>
          <w:rFonts w:ascii="Arial" w:cs="Arial" w:eastAsia="Arial" w:hAnsi="Arial"/>
          <w:sz w:val="22"/>
          <w:szCs w:val="22"/>
        </w:rPr>
        <w:t xml:space="preserve">Vendor security bulletins: OT system vendors publish security bulletins for vulnerabilities in their products — often the first notification of a vulnerability that a specific threat actor has already weaponised. Systematic monitoring of vendor bulletins for all deployed OT products is a necessary component of the threat intelligence programme.</w:t>
      </w:r>
    </w:p>
    <w:p>
      <w:r>
        <w:br w:type="page"/>
      </w:r>
    </w:p>
    <w:p>
      <w:pPr>
        <w:pStyle w:val="Heading1"/>
        <w:spacing w:after="200" w:before="400"/>
      </w:pPr>
      <w:r>
        <w:rPr>
          <w:rFonts w:ascii="Arial" w:cs="Arial" w:eastAsia="Arial" w:hAnsi="Arial"/>
          <w:b/>
          <w:bCs/>
          <w:color w:val="1F3864"/>
          <w:sz w:val="34"/>
          <w:szCs w:val="34"/>
        </w:rPr>
        <w:t xml:space="preserve">2.10  Chapter Summary</w:t>
      </w:r>
    </w:p>
    <w:p>
      <w:pPr>
        <w:spacing w:after="160" w:line="276"/>
        <w:jc w:val="both"/>
      </w:pPr>
      <w:r>
        <w:rPr>
          <w:rFonts w:ascii="Arial" w:cs="Arial" w:eastAsia="Arial" w:hAnsi="Arial"/>
          <w:b w:val="false"/>
          <w:bCs w:val="false"/>
          <w:color w:val="000000"/>
          <w:sz w:val="22"/>
          <w:szCs w:val="22"/>
        </w:rPr>
        <w:t xml:space="preserve">This chapter has developed the threat landscape analysis that provides the foundation for rigorous likelihood assessment in OT security risk assessment. The threat landscape is the context within which every vulnerability identified in an OT environment must be evaluated — a vulnerability that no relevant threat actor can or will exploit is a low-likelihood risk regardless of its theoretical severity; a vulnerability that is actively targeted by well-resourced, highly motivated actors is a high-likelihood risk even if the technical exploitation complexity is high.</w:t>
      </w:r>
    </w:p>
    <w:p>
      <w:pPr>
        <w:spacing w:after="160" w:line="276"/>
        <w:jc w:val="both"/>
      </w:pPr>
      <w:r>
        <w:rPr>
          <w:rFonts w:ascii="Arial" w:cs="Arial" w:eastAsia="Arial" w:hAnsi="Arial"/>
          <w:b w:val="false"/>
          <w:bCs w:val="false"/>
          <w:color w:val="000000"/>
          <w:sz w:val="22"/>
          <w:szCs w:val="22"/>
        </w:rPr>
        <w:t xml:space="preserve">The threat actor taxonomy — nation-state Tier 1 and Tier 2 actors, criminal ransomware groups, insider threats (malicious and unintentional), hacktivists, and opportunistic low-skill actors — provides the structured framework for characterising the threat population. The individual threat actor profiles (Sandworm, Volt Typhoon, CHERNOVITE, KAMACITE, XENOTIME) provide the specific intelligence about the highest-capability adversaries whose targeting of critical infrastructure OT systems is confirmed and ongoing. The criminal ransomware analysis provides the intelligence about the most frequent source of significant OT operational disruption for most industrial organisations.</w:t>
      </w:r>
    </w:p>
    <w:p>
      <w:pPr>
        <w:spacing w:after="160" w:line="276"/>
        <w:jc w:val="both"/>
      </w:pPr>
      <w:r>
        <w:rPr>
          <w:rFonts w:ascii="Arial" w:cs="Arial" w:eastAsia="Arial" w:hAnsi="Arial"/>
          <w:b w:val="false"/>
          <w:bCs w:val="false"/>
          <w:color w:val="000000"/>
          <w:sz w:val="22"/>
          <w:szCs w:val="22"/>
        </w:rPr>
        <w:t xml:space="preserve">The MITRE ATT&amp;CK for ICS framework provides the shared vocabulary for describing OT attack techniques — enabling consistent threat modelling, detection engineering, control gap analysis, and incident analysis. The twelve-tactic framework, from Initial Access through to Impact, maps the complete operational arc of an OT attack and provides the structure within which specific threat actor TTPs can be catalogued and applied. The ICS Kill Chain model provides the analytical framework for understanding how OT attacks progress from initial access to physical consequence, and for identifying the defensive opportunities that exist at each stage.</w:t>
      </w:r>
    </w:p>
    <w:p>
      <w:pPr>
        <w:spacing w:after="160" w:line="276"/>
        <w:jc w:val="both"/>
      </w:pPr>
      <w:r>
        <w:rPr>
          <w:rFonts w:ascii="Arial" w:cs="Arial" w:eastAsia="Arial" w:hAnsi="Arial"/>
          <w:b w:val="false"/>
          <w:bCs w:val="false"/>
          <w:color w:val="000000"/>
          <w:sz w:val="22"/>
          <w:szCs w:val="22"/>
        </w:rPr>
        <w:t xml:space="preserve">The threat landscape integration framework — connecting threat actor profiles, ATT&amp;CK for ICS techniques, and ICS Kill Chain analysis to the likelihood assessment component of the risk matrix — demonstrates how threat intelligence becomes operational in the risk assessment process. Threat intelligence that is not integrated into risk assessment decisions is merely interesting; threat intelligence that informs likelihood scores, drives treatment prioritisation, and shapes security control selection is operationally valuable.</w:t>
      </w:r>
    </w:p>
    <w:p>
      <w:pPr>
        <w:spacing w:after="160" w:line="276"/>
        <w:jc w:val="both"/>
      </w:pPr>
      <w:r>
        <w:rPr>
          <w:rFonts w:ascii="Arial" w:cs="Arial" w:eastAsia="Arial" w:hAnsi="Arial"/>
          <w:b w:val="false"/>
          <w:bCs w:val="false"/>
          <w:color w:val="000000"/>
          <w:sz w:val="22"/>
          <w:szCs w:val="22"/>
        </w:rPr>
        <w:t xml:space="preserve">Chapter 3 proceeds to consequence analysis — the complementary component of risk assessment that evaluates what happens when a threat actor successfully exploits a vulnerability. Together, the threat analysis of this chapter and the consequence analysis of Chapter 3 provide the two inputs needed for the risk matrix evaluation of Chapter 6: likelihood (who will attack, how, with what probability) and consequence (what physical, safety, financial, and reputational damage results).</w:t>
      </w:r>
    </w:p>
    <w:p>
      <w:r>
        <w:br w:type="page"/>
      </w:r>
    </w:p>
    <w:p>
      <w:pPr>
        <w:pStyle w:val="Heading1"/>
        <w:spacing w:after="200" w:before="400"/>
      </w:pPr>
      <w:r>
        <w:rPr>
          <w:rFonts w:ascii="Arial" w:cs="Arial" w:eastAsia="Arial" w:hAnsi="Arial"/>
          <w:b/>
          <w:bCs/>
          <w:color w:val="1F3864"/>
          <w:sz w:val="34"/>
          <w:szCs w:val="34"/>
        </w:rPr>
        <w:t xml:space="preserve">References</w:t>
      </w:r>
    </w:p>
    <w:p>
      <w:pPr>
        <w:pStyle w:val="ListParagraph"/>
        <w:numPr>
          <w:ilvl w:val="0"/>
          <w:numId w:val="3"/>
        </w:numPr>
        <w:spacing w:after="80" w:line="276"/>
      </w:pPr>
      <w:r>
        <w:rPr>
          <w:rFonts w:ascii="Arial" w:cs="Arial" w:eastAsia="Arial" w:hAnsi="Arial"/>
          <w:sz w:val="20"/>
          <w:szCs w:val="20"/>
        </w:rPr>
        <w:t xml:space="preserve">Assante, M.J. and Lee, R.M. (2015). The Industrial Control System Cyber Kill Chain. SANS Institute. Retrieved from https://www.sans.org/reading-room/whitepapers/ICS/industrial-control-system-cyber-kill-chain-36297</w:t>
      </w:r>
    </w:p>
    <w:p>
      <w:pPr>
        <w:pStyle w:val="ListParagraph"/>
        <w:numPr>
          <w:ilvl w:val="0"/>
          <w:numId w:val="3"/>
        </w:numPr>
        <w:spacing w:after="80" w:line="276"/>
      </w:pPr>
      <w:r>
        <w:rPr>
          <w:rFonts w:ascii="Arial" w:cs="Arial" w:eastAsia="Arial" w:hAnsi="Arial"/>
          <w:sz w:val="20"/>
          <w:szCs w:val="20"/>
        </w:rPr>
        <w:t xml:space="preserve">CISA, NSA, FBI (2021). Alert AA21-131A: DarkSide Ransomware: Best Practices for Preventing Business Disruption from Ransomware Attacks. Washington DC: Cybersecurity and Infrastructure Security Agency.</w:t>
      </w:r>
    </w:p>
    <w:p>
      <w:pPr>
        <w:pStyle w:val="ListParagraph"/>
        <w:numPr>
          <w:ilvl w:val="0"/>
          <w:numId w:val="3"/>
        </w:numPr>
        <w:spacing w:after="80" w:line="276"/>
      </w:pPr>
      <w:r>
        <w:rPr>
          <w:rFonts w:ascii="Arial" w:cs="Arial" w:eastAsia="Arial" w:hAnsi="Arial"/>
          <w:sz w:val="20"/>
          <w:szCs w:val="20"/>
        </w:rPr>
        <w:t xml:space="preserve">CISA, NSA, FBI, DOE (2022). Alert AA22-103A: APT Cyber Tools Targeting ICS/SCADA Devices. Washington DC: CISA. (PIPEDREAM/INCONTROLLER advisory)</w:t>
      </w:r>
    </w:p>
    <w:p>
      <w:pPr>
        <w:pStyle w:val="ListParagraph"/>
        <w:numPr>
          <w:ilvl w:val="0"/>
          <w:numId w:val="3"/>
        </w:numPr>
        <w:spacing w:after="80" w:line="276"/>
      </w:pPr>
      <w:r>
        <w:rPr>
          <w:rFonts w:ascii="Arial" w:cs="Arial" w:eastAsia="Arial" w:hAnsi="Arial"/>
          <w:sz w:val="20"/>
          <w:szCs w:val="20"/>
        </w:rPr>
        <w:t xml:space="preserve">CISA, NSA, FBI, ACSC, NCSC, CCCS, NZSD (2023). Joint Advisory AA23-129A: Volt Typhoon, a State-Sponsored Cyber Actor Associated with the People's Republic of China. Washington DC: CISA.</w:t>
      </w:r>
    </w:p>
    <w:p>
      <w:pPr>
        <w:pStyle w:val="ListParagraph"/>
        <w:numPr>
          <w:ilvl w:val="0"/>
          <w:numId w:val="3"/>
        </w:numPr>
        <w:spacing w:after="80" w:line="276"/>
      </w:pPr>
      <w:r>
        <w:rPr>
          <w:rFonts w:ascii="Arial" w:cs="Arial" w:eastAsia="Arial" w:hAnsi="Arial"/>
          <w:sz w:val="20"/>
          <w:szCs w:val="20"/>
        </w:rPr>
        <w:t xml:space="preserve">CISA, NSA, FBI, ACSC, NCSC, CCCS, NZSD (2024). Joint Advisory AA24-038A: People's Republic of China State-Sponsored Cyber Actors Compromise US Critical Infrastructure. Washington DC: CISA.</w:t>
      </w:r>
    </w:p>
    <w:p>
      <w:pPr>
        <w:pStyle w:val="ListParagraph"/>
        <w:numPr>
          <w:ilvl w:val="0"/>
          <w:numId w:val="3"/>
        </w:numPr>
        <w:spacing w:after="80" w:line="276"/>
      </w:pPr>
      <w:r>
        <w:rPr>
          <w:rFonts w:ascii="Arial" w:cs="Arial" w:eastAsia="Arial" w:hAnsi="Arial"/>
          <w:sz w:val="20"/>
          <w:szCs w:val="20"/>
        </w:rPr>
        <w:t xml:space="preserve">CISA, FBI, NSA (2023). Alert AA23-335A: Exploitation of Unitronics PLCs Used in Water and Wastewater Systems. Washington DC: CISA. (Aliquippa CyberAv3ngers incident)</w:t>
      </w:r>
    </w:p>
    <w:p>
      <w:pPr>
        <w:pStyle w:val="ListParagraph"/>
        <w:numPr>
          <w:ilvl w:val="0"/>
          <w:numId w:val="3"/>
        </w:numPr>
        <w:spacing w:after="80" w:line="276"/>
      </w:pPr>
      <w:r>
        <w:rPr>
          <w:rFonts w:ascii="Arial" w:cs="Arial" w:eastAsia="Arial" w:hAnsi="Arial"/>
          <w:sz w:val="20"/>
          <w:szCs w:val="20"/>
        </w:rPr>
        <w:t xml:space="preserve">Carnegie Mellon University CERT Insider Threat Center (2019). Common Sense Guide to Mitigating Insider Threats (6th ed.). Pittsburgh, PA: Carnegie Mellon University Software Engineering Institute.</w:t>
      </w:r>
    </w:p>
    <w:p>
      <w:pPr>
        <w:pStyle w:val="ListParagraph"/>
        <w:numPr>
          <w:ilvl w:val="0"/>
          <w:numId w:val="3"/>
        </w:numPr>
        <w:spacing w:after="80" w:line="276"/>
      </w:pPr>
      <w:r>
        <w:rPr>
          <w:rFonts w:ascii="Arial" w:cs="Arial" w:eastAsia="Arial" w:hAnsi="Arial"/>
          <w:sz w:val="20"/>
          <w:szCs w:val="20"/>
        </w:rPr>
        <w:t xml:space="preserve">Cherepanov, A. (2017). WIN32/INDUSTROYER: A New Threat for Industrial Control Systems. ESET Research White Paper. Bratislava: ESET.</w:t>
      </w:r>
    </w:p>
    <w:p>
      <w:pPr>
        <w:pStyle w:val="ListParagraph"/>
        <w:numPr>
          <w:ilvl w:val="0"/>
          <w:numId w:val="3"/>
        </w:numPr>
        <w:spacing w:after="80" w:line="276"/>
      </w:pPr>
      <w:r>
        <w:rPr>
          <w:rFonts w:ascii="Arial" w:cs="Arial" w:eastAsia="Arial" w:hAnsi="Arial"/>
          <w:sz w:val="20"/>
          <w:szCs w:val="20"/>
        </w:rPr>
        <w:t xml:space="preserve">Dragos (2017). TRISIS Malware: Analysis of Safety System Targeted Attack. Hanover, MD: Dragos, Inc.</w:t>
      </w:r>
    </w:p>
    <w:p>
      <w:pPr>
        <w:pStyle w:val="ListParagraph"/>
        <w:numPr>
          <w:ilvl w:val="0"/>
          <w:numId w:val="3"/>
        </w:numPr>
        <w:spacing w:after="80" w:line="276"/>
      </w:pPr>
      <w:r>
        <w:rPr>
          <w:rFonts w:ascii="Arial" w:cs="Arial" w:eastAsia="Arial" w:hAnsi="Arial"/>
          <w:sz w:val="20"/>
          <w:szCs w:val="20"/>
        </w:rPr>
        <w:t xml:space="preserve">Dragos (2022). PIPEDREAM: CHERNOVITE's Modular ICS Attack Framework. Hanover, MD: Dragos, Inc.</w:t>
      </w:r>
    </w:p>
    <w:p>
      <w:pPr>
        <w:pStyle w:val="ListParagraph"/>
        <w:numPr>
          <w:ilvl w:val="0"/>
          <w:numId w:val="3"/>
        </w:numPr>
        <w:spacing w:after="80" w:line="276"/>
      </w:pPr>
      <w:r>
        <w:rPr>
          <w:rFonts w:ascii="Arial" w:cs="Arial" w:eastAsia="Arial" w:hAnsi="Arial"/>
          <w:sz w:val="20"/>
          <w:szCs w:val="20"/>
        </w:rPr>
        <w:t xml:space="preserve">Dragos (2023). ICS/OT Cybersecurity Year in Review 2022. Hanover, MD: Dragos, Inc.</w:t>
      </w:r>
    </w:p>
    <w:p>
      <w:pPr>
        <w:pStyle w:val="ListParagraph"/>
        <w:numPr>
          <w:ilvl w:val="0"/>
          <w:numId w:val="3"/>
        </w:numPr>
        <w:spacing w:after="80" w:line="276"/>
      </w:pPr>
      <w:r>
        <w:rPr>
          <w:rFonts w:ascii="Arial" w:cs="Arial" w:eastAsia="Arial" w:hAnsi="Arial"/>
          <w:sz w:val="20"/>
          <w:szCs w:val="20"/>
        </w:rPr>
        <w:t xml:space="preserve">Dragos (2024). ICS/OT Cybersecurity Year in Review 2023. Hanover, MD: Dragos, Inc.</w:t>
      </w:r>
    </w:p>
    <w:p>
      <w:pPr>
        <w:pStyle w:val="ListParagraph"/>
        <w:numPr>
          <w:ilvl w:val="0"/>
          <w:numId w:val="3"/>
        </w:numPr>
        <w:spacing w:after="80" w:line="276"/>
      </w:pPr>
      <w:r>
        <w:rPr>
          <w:rFonts w:ascii="Arial" w:cs="Arial" w:eastAsia="Arial" w:hAnsi="Arial"/>
          <w:sz w:val="20"/>
          <w:szCs w:val="20"/>
        </w:rPr>
        <w:t xml:space="preserve">ESET (2022). Industroyer2: Industroyer Reloaded. ESET Research White Paper. Bratislava: ESET.</w:t>
      </w:r>
    </w:p>
    <w:p>
      <w:pPr>
        <w:pStyle w:val="ListParagraph"/>
        <w:numPr>
          <w:ilvl w:val="0"/>
          <w:numId w:val="3"/>
        </w:numPr>
        <w:spacing w:after="80" w:line="276"/>
      </w:pPr>
      <w:r>
        <w:rPr>
          <w:rFonts w:ascii="Arial" w:cs="Arial" w:eastAsia="Arial" w:hAnsi="Arial"/>
          <w:sz w:val="20"/>
          <w:szCs w:val="20"/>
        </w:rPr>
        <w:t xml:space="preserve">FireEye (Mandiant) (2018). TRITON Attribution: Russian Government-Owned Lab Most Likely Built Custom Intrusion Tools for TRITON Attackers. FireEye Threat Research Blog. Milpitas, CA: FireEye.</w:t>
      </w:r>
    </w:p>
    <w:p>
      <w:pPr>
        <w:pStyle w:val="ListParagraph"/>
        <w:numPr>
          <w:ilvl w:val="0"/>
          <w:numId w:val="3"/>
        </w:numPr>
        <w:spacing w:after="80" w:line="276"/>
      </w:pPr>
      <w:r>
        <w:rPr>
          <w:rFonts w:ascii="Arial" w:cs="Arial" w:eastAsia="Arial" w:hAnsi="Arial"/>
          <w:sz w:val="20"/>
          <w:szCs w:val="20"/>
        </w:rPr>
        <w:t xml:space="preserve">Hutchins, E.M., Cloppert, M.J., and Amin, R.M. (2011). Intelligence-Driven Computer Network Defense Informed by Analysis of Adversary Campaigns and Intrusion Kill Chains. Proceedings of the 6th International Conference on Information Warfare and Security (ICIW 2011).</w:t>
      </w:r>
    </w:p>
    <w:p>
      <w:pPr>
        <w:pStyle w:val="ListParagraph"/>
        <w:numPr>
          <w:ilvl w:val="0"/>
          <w:numId w:val="3"/>
        </w:numPr>
        <w:spacing w:after="80" w:line="276"/>
      </w:pPr>
      <w:r>
        <w:rPr>
          <w:rFonts w:ascii="Arial" w:cs="Arial" w:eastAsia="Arial" w:hAnsi="Arial"/>
          <w:sz w:val="20"/>
          <w:szCs w:val="20"/>
        </w:rPr>
        <w:t xml:space="preserve">Kshetri, N. (2014). Cybercrime and Cybersecurity in the Global South. London: Palgrave Macmillan.</w:t>
      </w:r>
    </w:p>
    <w:p>
      <w:pPr>
        <w:pStyle w:val="ListParagraph"/>
        <w:numPr>
          <w:ilvl w:val="0"/>
          <w:numId w:val="3"/>
        </w:numPr>
        <w:spacing w:after="80" w:line="276"/>
      </w:pPr>
      <w:r>
        <w:rPr>
          <w:rFonts w:ascii="Arial" w:cs="Arial" w:eastAsia="Arial" w:hAnsi="Arial"/>
          <w:sz w:val="20"/>
          <w:szCs w:val="20"/>
        </w:rPr>
        <w:t xml:space="preserve">Lee, R.M., Assante, M.J., and Conway, T. (2014). German Steel Mill Cyber Attack. SANS ICS. Retrieved from https://www.sans.org/reading-room/whitepapers/ICS/german-steel-mill-cyber-attack-35197</w:t>
      </w:r>
    </w:p>
    <w:p>
      <w:pPr>
        <w:pStyle w:val="ListParagraph"/>
        <w:numPr>
          <w:ilvl w:val="0"/>
          <w:numId w:val="3"/>
        </w:numPr>
        <w:spacing w:after="80" w:line="276"/>
      </w:pPr>
      <w:r>
        <w:rPr>
          <w:rFonts w:ascii="Arial" w:cs="Arial" w:eastAsia="Arial" w:hAnsi="Arial"/>
          <w:sz w:val="20"/>
          <w:szCs w:val="20"/>
        </w:rPr>
        <w:t xml:space="preserve">Lee, R.M., Assante, M.J., and Conway, T. (2016). Analysis of the Cyber Attack on the Ukrainian Power Grid. Washington DC: E-ISAC / SANS ICS.</w:t>
      </w:r>
    </w:p>
    <w:p>
      <w:pPr>
        <w:pStyle w:val="ListParagraph"/>
        <w:numPr>
          <w:ilvl w:val="0"/>
          <w:numId w:val="3"/>
        </w:numPr>
        <w:spacing w:after="80" w:line="276"/>
      </w:pPr>
      <w:r>
        <w:rPr>
          <w:rFonts w:ascii="Arial" w:cs="Arial" w:eastAsia="Arial" w:hAnsi="Arial"/>
          <w:sz w:val="20"/>
          <w:szCs w:val="20"/>
        </w:rPr>
        <w:t xml:space="preserve">Liang, G., Weller, S.R., Luo, F., Zhao, J., and Dong, Z.Y. (2017). Distributed Blockchain-Based Data Protection Framework for Modern Power Systems Against Cyber Attacks. IEEE Transactions on Smart Grid, 10(3), 3162–3173.</w:t>
      </w:r>
    </w:p>
    <w:p>
      <w:pPr>
        <w:pStyle w:val="ListParagraph"/>
        <w:numPr>
          <w:ilvl w:val="0"/>
          <w:numId w:val="3"/>
        </w:numPr>
        <w:spacing w:after="80" w:line="276"/>
      </w:pPr>
      <w:r>
        <w:rPr>
          <w:rFonts w:ascii="Arial" w:cs="Arial" w:eastAsia="Arial" w:hAnsi="Arial"/>
          <w:sz w:val="20"/>
          <w:szCs w:val="20"/>
        </w:rPr>
        <w:t xml:space="preserve">Mandiant (2022). Mandiant Discloses Multi-Year Russian Intelligence Operation That Targeted Ukraine's Energy Infrastructure and Crossed Into US. Reston, VA: Mandiant.</w:t>
      </w:r>
    </w:p>
    <w:p>
      <w:pPr>
        <w:pStyle w:val="ListParagraph"/>
        <w:numPr>
          <w:ilvl w:val="0"/>
          <w:numId w:val="3"/>
        </w:numPr>
        <w:spacing w:after="80" w:line="276"/>
      </w:pPr>
      <w:r>
        <w:rPr>
          <w:rFonts w:ascii="Arial" w:cs="Arial" w:eastAsia="Arial" w:hAnsi="Arial"/>
          <w:sz w:val="20"/>
          <w:szCs w:val="20"/>
        </w:rPr>
        <w:t xml:space="preserve">Microsoft (2023). Volt Typhoon Targets US Critical Infrastructure with Living-off-the-Land Techniques. Microsoft Security Blog. Redmond, WA: Microsoft.</w:t>
      </w:r>
    </w:p>
    <w:p>
      <w:pPr>
        <w:pStyle w:val="ListParagraph"/>
        <w:numPr>
          <w:ilvl w:val="0"/>
          <w:numId w:val="3"/>
        </w:numPr>
        <w:spacing w:after="80" w:line="276"/>
      </w:pPr>
      <w:r>
        <w:rPr>
          <w:rFonts w:ascii="Arial" w:cs="Arial" w:eastAsia="Arial" w:hAnsi="Arial"/>
          <w:sz w:val="20"/>
          <w:szCs w:val="20"/>
        </w:rPr>
        <w:t xml:space="preserve">MITRE Corporation (2020). ATT&amp;CK for Industrial Control Systems (ICS). McLean, VA: MITRE. Retrieved from https://attack.mitre.org/matrices/ics/</w:t>
      </w:r>
    </w:p>
    <w:p>
      <w:pPr>
        <w:pStyle w:val="ListParagraph"/>
        <w:numPr>
          <w:ilvl w:val="0"/>
          <w:numId w:val="3"/>
        </w:numPr>
        <w:spacing w:after="80" w:line="276"/>
      </w:pPr>
      <w:r>
        <w:rPr>
          <w:rFonts w:ascii="Arial" w:cs="Arial" w:eastAsia="Arial" w:hAnsi="Arial"/>
          <w:sz w:val="20"/>
          <w:szCs w:val="20"/>
        </w:rPr>
        <w:t xml:space="preserve">NIST (2015). Special Publication 800-82 Rev.2: Guide to Industrial Control Systems (ICS) Security. Gaithersburg, MD: National Institute of Standards and Technology.</w:t>
      </w:r>
    </w:p>
    <w:p>
      <w:pPr>
        <w:pStyle w:val="ListParagraph"/>
        <w:numPr>
          <w:ilvl w:val="0"/>
          <w:numId w:val="3"/>
        </w:numPr>
        <w:spacing w:after="80" w:line="276"/>
      </w:pPr>
      <w:r>
        <w:rPr>
          <w:rFonts w:ascii="Arial" w:cs="Arial" w:eastAsia="Arial" w:hAnsi="Arial"/>
          <w:sz w:val="20"/>
          <w:szCs w:val="20"/>
        </w:rPr>
        <w:t xml:space="preserve">Rid, T. (2013). Cyber War Will Not Take Place. London: Hurst Publishers.</w:t>
      </w:r>
    </w:p>
    <w:p>
      <w:pPr>
        <w:pStyle w:val="ListParagraph"/>
        <w:numPr>
          <w:ilvl w:val="0"/>
          <w:numId w:val="3"/>
        </w:numPr>
        <w:spacing w:after="80" w:line="276"/>
      </w:pPr>
      <w:r>
        <w:rPr>
          <w:rFonts w:ascii="Arial" w:cs="Arial" w:eastAsia="Arial" w:hAnsi="Arial"/>
          <w:sz w:val="20"/>
          <w:szCs w:val="20"/>
        </w:rPr>
        <w:t xml:space="preserve">Sanger, D.E. (2018). The Perfect Weapon: War, Sabotage, and Fear in the Cyber Age. New York: Crown Publishers.</w:t>
      </w:r>
    </w:p>
    <w:p>
      <w:pPr>
        <w:pStyle w:val="ListParagraph"/>
        <w:numPr>
          <w:ilvl w:val="0"/>
          <w:numId w:val="3"/>
        </w:numPr>
        <w:spacing w:after="80" w:line="276"/>
      </w:pPr>
      <w:r>
        <w:rPr>
          <w:rFonts w:ascii="Arial" w:cs="Arial" w:eastAsia="Arial" w:hAnsi="Arial"/>
          <w:sz w:val="20"/>
          <w:szCs w:val="20"/>
        </w:rPr>
        <w:t xml:space="preserve">Schneier, B. (2015). Secrets and Lies: Digital Security in a Networked World (15th Anniversary Edition). Indianapolis, IN: Wiley.</w:t>
      </w:r>
    </w:p>
    <w:p>
      <w:pPr>
        <w:pStyle w:val="ListParagraph"/>
        <w:numPr>
          <w:ilvl w:val="0"/>
          <w:numId w:val="3"/>
        </w:numPr>
        <w:spacing w:after="80" w:line="276"/>
      </w:pPr>
      <w:r>
        <w:rPr>
          <w:rFonts w:ascii="Arial" w:cs="Arial" w:eastAsia="Arial" w:hAnsi="Arial"/>
          <w:sz w:val="20"/>
          <w:szCs w:val="20"/>
        </w:rPr>
        <w:t xml:space="preserve">US Department of Justice (2020). Six Russian GRU Officers Charged in Connection with Worldwide Deployment of Destructive Malware and Other Disruptive Actions in Cyberspace. Washington DC: DOJ.</w:t>
      </w:r>
    </w:p>
    <w:p>
      <w:pPr>
        <w:pStyle w:val="ListParagraph"/>
        <w:numPr>
          <w:ilvl w:val="0"/>
          <w:numId w:val="3"/>
        </w:numPr>
        <w:spacing w:after="80" w:line="276"/>
      </w:pPr>
      <w:r>
        <w:rPr>
          <w:rFonts w:ascii="Arial" w:cs="Arial" w:eastAsia="Arial" w:hAnsi="Arial"/>
          <w:sz w:val="20"/>
          <w:szCs w:val="20"/>
        </w:rPr>
        <w:t xml:space="preserve">Zetter, K. (2014). Countdown to Zero Day: Stuxnet and the Launch of the World's First Digital Weapon. New York: Crown Publishers.</w:t>
      </w:r>
    </w:p>
    <w:p>
      <w:pPr>
        <w:pStyle w:val="ListParagraph"/>
        <w:numPr>
          <w:ilvl w:val="0"/>
          <w:numId w:val="3"/>
        </w:numPr>
        <w:spacing w:after="80" w:line="276"/>
      </w:pPr>
      <w:r>
        <w:rPr>
          <w:rFonts w:ascii="Arial" w:cs="Arial" w:eastAsia="Arial" w:hAnsi="Arial"/>
          <w:sz w:val="20"/>
          <w:szCs w:val="20"/>
        </w:rPr>
        <w:t xml:space="preserve">Zetter, K. (2016). Inside the Cunning, Unprecedented Hack of Ukraine's Power Grid. Wired, March 2016. Retrieved from https://www.wired.com/2016/03/inside-cunning-unprecedented-hack-ukraines-power-grid/</w:t>
      </w:r>
    </w:p>
    <w:p>
      <w:pPr>
        <w:spacing w:after="200"/>
      </w:pPr>
      <w:r>
        <w:t xml:space="preserve"/>
      </w:r>
    </w:p>
    <w:p>
      <w:pPr>
        <w:pStyle w:val="Heading1"/>
        <w:spacing w:after="200" w:before="400"/>
      </w:pPr>
      <w:r>
        <w:rPr>
          <w:rFonts w:ascii="Arial" w:cs="Arial" w:eastAsia="Arial" w:hAnsi="Arial"/>
          <w:b/>
          <w:bCs/>
          <w:color w:val="1F3864"/>
          <w:sz w:val="34"/>
          <w:szCs w:val="34"/>
        </w:rPr>
        <w:t xml:space="preserve">Additional Resources for Further Study</w:t>
      </w:r>
    </w:p>
    <w:p>
      <w:pPr>
        <w:pStyle w:val="Heading2"/>
        <w:spacing w:after="160" w:before="300"/>
      </w:pPr>
      <w:r>
        <w:rPr>
          <w:rFonts w:ascii="Arial" w:cs="Arial" w:eastAsia="Arial" w:hAnsi="Arial"/>
          <w:b/>
          <w:bCs/>
          <w:color w:val="2E75B6"/>
          <w:sz w:val="27"/>
          <w:szCs w:val="27"/>
        </w:rPr>
        <w:t xml:space="preserve">Primary Intelligence Sources</w:t>
      </w:r>
    </w:p>
    <w:p>
      <w:pPr>
        <w:pStyle w:val="ListParagraph"/>
        <w:numPr>
          <w:ilvl w:val="0"/>
          <w:numId w:val="2"/>
        </w:numPr>
        <w:spacing w:after="100" w:line="276"/>
      </w:pPr>
      <w:r>
        <w:rPr>
          <w:rFonts w:ascii="Arial" w:cs="Arial" w:eastAsia="Arial" w:hAnsi="Arial"/>
          <w:sz w:val="22"/>
          <w:szCs w:val="22"/>
        </w:rPr>
        <w:t xml:space="preserve">MITRE ATT&amp;CK for ICS: https://attack.mitre.org/matrices/ics/ — The primary reference for OT attack technique taxonomy. Practitioners should be familiar with all twelve tactics and the techniques within each. The Navigator tool (https://mitre-attack.github.io/attack-navigator/) enables interactive mapping of threat actor TTPs.</w:t>
      </w:r>
    </w:p>
    <w:p>
      <w:pPr>
        <w:pStyle w:val="ListParagraph"/>
        <w:numPr>
          <w:ilvl w:val="0"/>
          <w:numId w:val="2"/>
        </w:numPr>
        <w:spacing w:after="100" w:line="276"/>
      </w:pPr>
      <w:r>
        <w:rPr>
          <w:rFonts w:ascii="Arial" w:cs="Arial" w:eastAsia="Arial" w:hAnsi="Arial"/>
          <w:sz w:val="22"/>
          <w:szCs w:val="22"/>
        </w:rPr>
        <w:t xml:space="preserve">CISA ICS Advisories: https://www.cisa.gov/ics — The primary source of US government OT threat intelligence. Includes both vulnerability advisories (ICS-CERT) and threat actor advisories (joint advisories with NSA, FBI, Five Eyes partners).</w:t>
      </w:r>
    </w:p>
    <w:p>
      <w:pPr>
        <w:pStyle w:val="ListParagraph"/>
        <w:numPr>
          <w:ilvl w:val="0"/>
          <w:numId w:val="2"/>
        </w:numPr>
        <w:spacing w:after="100" w:line="276"/>
      </w:pPr>
      <w:r>
        <w:rPr>
          <w:rFonts w:ascii="Arial" w:cs="Arial" w:eastAsia="Arial" w:hAnsi="Arial"/>
          <w:sz w:val="22"/>
          <w:szCs w:val="22"/>
        </w:rPr>
        <w:t xml:space="preserve">Dragos Year in Review: https://www.dragos.com/year-in-review/ — The most comprehensive annual analysis of OT-specific threat actor activity, newly identified threat groups, and sector-specific threat trends. Essential annual reading for OT security practitioners.</w:t>
      </w:r>
    </w:p>
    <w:p>
      <w:pPr>
        <w:pStyle w:val="ListParagraph"/>
        <w:numPr>
          <w:ilvl w:val="0"/>
          <w:numId w:val="2"/>
        </w:numPr>
        <w:spacing w:after="100" w:line="276"/>
      </w:pPr>
      <w:r>
        <w:rPr>
          <w:rFonts w:ascii="Arial" w:cs="Arial" w:eastAsia="Arial" w:hAnsi="Arial"/>
          <w:sz w:val="22"/>
          <w:szCs w:val="22"/>
        </w:rPr>
        <w:t xml:space="preserve">Mandiant M-Trends Report: https://www.mandiant.com/m-trends — Annual analysis of threat actor activity including ICS-relevant campaigns. Particularly valuable for nation-state threat actor attribution and campaign analysis.</w:t>
      </w:r>
    </w:p>
    <w:p>
      <w:pPr>
        <w:pStyle w:val="Heading2"/>
        <w:spacing w:after="160" w:before="300"/>
      </w:pPr>
      <w:r>
        <w:rPr>
          <w:rFonts w:ascii="Arial" w:cs="Arial" w:eastAsia="Arial" w:hAnsi="Arial"/>
          <w:b/>
          <w:bCs/>
          <w:color w:val="2E75B6"/>
          <w:sz w:val="27"/>
          <w:szCs w:val="27"/>
        </w:rPr>
        <w:t xml:space="preserve">Reference Texts</w:t>
      </w:r>
    </w:p>
    <w:p>
      <w:pPr>
        <w:pStyle w:val="ListParagraph"/>
        <w:numPr>
          <w:ilvl w:val="0"/>
          <w:numId w:val="2"/>
        </w:numPr>
        <w:spacing w:after="100" w:line="276"/>
      </w:pPr>
      <w:r>
        <w:rPr>
          <w:rFonts w:ascii="Arial" w:cs="Arial" w:eastAsia="Arial" w:hAnsi="Arial"/>
          <w:sz w:val="22"/>
          <w:szCs w:val="22"/>
        </w:rPr>
        <w:t xml:space="preserve">Zetter, K. (2014). Countdown to Zero Day. Crown Publishers. [The definitive account of Stuxnet — essential reading for understanding nation-state OT threat development.]</w:t>
      </w:r>
    </w:p>
    <w:p>
      <w:pPr>
        <w:pStyle w:val="ListParagraph"/>
        <w:numPr>
          <w:ilvl w:val="0"/>
          <w:numId w:val="2"/>
        </w:numPr>
        <w:spacing w:after="100" w:line="276"/>
      </w:pPr>
      <w:r>
        <w:rPr>
          <w:rFonts w:ascii="Arial" w:cs="Arial" w:eastAsia="Arial" w:hAnsi="Arial"/>
          <w:sz w:val="22"/>
          <w:szCs w:val="22"/>
        </w:rPr>
        <w:t xml:space="preserve">Sanger, D.E. (2018). The Perfect Weapon. Crown Publishers. [Broader context for cyber conflict including OT targeting — essential for understanding the geopolitical dimension of nation-state OT threats.]</w:t>
      </w:r>
    </w:p>
    <w:p>
      <w:pPr>
        <w:pStyle w:val="ListParagraph"/>
        <w:numPr>
          <w:ilvl w:val="0"/>
          <w:numId w:val="2"/>
        </w:numPr>
        <w:spacing w:after="100" w:line="276"/>
      </w:pPr>
      <w:r>
        <w:rPr>
          <w:rFonts w:ascii="Arial" w:cs="Arial" w:eastAsia="Arial" w:hAnsi="Arial"/>
          <w:sz w:val="22"/>
          <w:szCs w:val="22"/>
        </w:rPr>
        <w:t xml:space="preserve">Assante, M.J. and Lee, R.M. (2015). The Industrial Control System Cyber Kill Chain. SANS Institute. [The original publication of the ICS Kill Chain framework — essential reading for understanding the two-stage attack model.]</w:t>
      </w:r>
    </w:p>
    <w:p>
      <w:pPr>
        <w:pStyle w:val="Heading2"/>
        <w:spacing w:after="160" w:before="300"/>
      </w:pPr>
      <w:r>
        <w:rPr>
          <w:rFonts w:ascii="Arial" w:cs="Arial" w:eastAsia="Arial" w:hAnsi="Arial"/>
          <w:b/>
          <w:bCs/>
          <w:color w:val="2E75B6"/>
          <w:sz w:val="27"/>
          <w:szCs w:val="27"/>
        </w:rPr>
        <w:t xml:space="preserve">Training and Certification</w:t>
      </w:r>
    </w:p>
    <w:p>
      <w:pPr>
        <w:pStyle w:val="ListParagraph"/>
        <w:numPr>
          <w:ilvl w:val="0"/>
          <w:numId w:val="2"/>
        </w:numPr>
        <w:spacing w:after="100" w:line="276"/>
      </w:pPr>
      <w:r>
        <w:rPr>
          <w:rFonts w:ascii="Arial" w:cs="Arial" w:eastAsia="Arial" w:hAnsi="Arial"/>
          <w:sz w:val="22"/>
          <w:szCs w:val="22"/>
        </w:rPr>
        <w:t xml:space="preserve">SANS ICS Security Courses: SANS ICS515 (ICS Active Defense and Incident Response), SANS ICS612 (ICS Cyber Security In-Depth), SANS ICS456 (Essentials for NERC CIP) — the industry-standard OT security training curricula.</w:t>
      </w:r>
    </w:p>
    <w:p>
      <w:pPr>
        <w:pStyle w:val="ListParagraph"/>
        <w:numPr>
          <w:ilvl w:val="0"/>
          <w:numId w:val="2"/>
        </w:numPr>
        <w:spacing w:after="100" w:line="276"/>
      </w:pPr>
      <w:r>
        <w:rPr>
          <w:rFonts w:ascii="Arial" w:cs="Arial" w:eastAsia="Arial" w:hAnsi="Arial"/>
          <w:sz w:val="22"/>
          <w:szCs w:val="22"/>
        </w:rPr>
        <w:t xml:space="preserve">Dragos Community Training: https://www.dragos.com/community/training/ — Free OT threat intelligence training covering Dragos threat group profiles and ATT&amp;CK for ICS application.</w:t>
      </w:r>
    </w:p>
    <w:p>
      <w:r>
        <w:br w:type="page"/>
      </w:r>
    </w:p>
    <w:p>
      <w:pPr>
        <w:pStyle w:val="Heading1"/>
        <w:spacing w:after="200" w:before="400"/>
      </w:pPr>
      <w:r>
        <w:rPr>
          <w:rFonts w:ascii="Arial" w:cs="Arial" w:eastAsia="Arial" w:hAnsi="Arial"/>
          <w:b/>
          <w:bCs/>
          <w:color w:val="1F3864"/>
          <w:sz w:val="34"/>
          <w:szCs w:val="34"/>
        </w:rPr>
        <w:t xml:space="preserve">Review Questions and Exercises</w:t>
      </w:r>
    </w:p>
    <w:p>
      <w:pPr>
        <w:spacing w:after="160" w:line="276"/>
        <w:jc w:val="both"/>
      </w:pPr>
      <w:r>
        <w:rPr>
          <w:rFonts w:ascii="Arial" w:cs="Arial" w:eastAsia="Arial" w:hAnsi="Arial"/>
          <w:b w:val="false"/>
          <w:bCs w:val="false"/>
          <w:color w:val="000000"/>
          <w:sz w:val="22"/>
          <w:szCs w:val="22"/>
        </w:rPr>
        <w:t xml:space="preserve">The following questions are structured at three cognitive levels: Level 1 (knowledge and comprehension), Level 2 (application and analysis), and Level 3 (synthesis and critical evaluation).</w:t>
      </w:r>
    </w:p>
    <w:p>
      <w:pPr>
        <w:pStyle w:val="Heading2"/>
        <w:spacing w:after="160" w:before="300"/>
      </w:pPr>
      <w:r>
        <w:rPr>
          <w:rFonts w:ascii="Arial" w:cs="Arial" w:eastAsia="Arial" w:hAnsi="Arial"/>
          <w:b/>
          <w:bCs/>
          <w:color w:val="2E75B6"/>
          <w:sz w:val="27"/>
          <w:szCs w:val="27"/>
        </w:rPr>
        <w:t xml:space="preserve">Part A — Knowledge and Comprehension (Level 1)</w:t>
      </w:r>
    </w:p>
    <w:p>
      <w:pPr>
        <w:pStyle w:val="Heading3"/>
        <w:spacing w:after="120" w:before="220"/>
      </w:pPr>
      <w:r>
        <w:rPr>
          <w:rFonts w:ascii="Arial" w:cs="Arial" w:eastAsia="Arial" w:hAnsi="Arial"/>
          <w:b/>
          <w:bCs/>
          <w:color w:val="1F3864"/>
          <w:sz w:val="23"/>
          <w:szCs w:val="23"/>
        </w:rPr>
        <w:t xml:space="preserve">A1.</w:t>
      </w:r>
    </w:p>
    <w:p>
      <w:pPr>
        <w:spacing w:after="160" w:line="276"/>
        <w:jc w:val="both"/>
      </w:pPr>
      <w:r>
        <w:rPr>
          <w:rFonts w:ascii="Arial" w:cs="Arial" w:eastAsia="Arial" w:hAnsi="Arial"/>
          <w:b w:val="false"/>
          <w:bCs w:val="false"/>
          <w:color w:val="000000"/>
          <w:sz w:val="22"/>
          <w:szCs w:val="22"/>
        </w:rPr>
        <w:t xml:space="preserve">Explain the OT threat actor taxonomy presented in Table 2.1, describing the six actor categories (Nation-State Tier 1, Nation-State Tier 2, Criminal Ransomware, Hacktivist, Malicious Insider, Unintentional Insider). For each category, explain: (i) their primary motivation; (ii) their typical capability level; (iii) their targeting behaviour in OT environments; and (iv) the most important OT security control that specifically addresses the risk from that actor category. Why is the 'unintentional insider' category frequently underestimated in OT security risk assessments?</w:t>
      </w:r>
    </w:p>
    <w:p>
      <w:pPr>
        <w:pStyle w:val="Heading3"/>
        <w:spacing w:after="120" w:before="220"/>
      </w:pPr>
      <w:r>
        <w:rPr>
          <w:rFonts w:ascii="Arial" w:cs="Arial" w:eastAsia="Arial" w:hAnsi="Arial"/>
          <w:b/>
          <w:bCs/>
          <w:color w:val="1F3864"/>
          <w:sz w:val="23"/>
          <w:szCs w:val="23"/>
        </w:rPr>
        <w:t xml:space="preserve">A2.</w:t>
      </w:r>
    </w:p>
    <w:p>
      <w:pPr>
        <w:spacing w:after="160" w:line="276"/>
        <w:jc w:val="both"/>
      </w:pPr>
      <w:r>
        <w:rPr>
          <w:rFonts w:ascii="Arial" w:cs="Arial" w:eastAsia="Arial" w:hAnsi="Arial"/>
          <w:b w:val="false"/>
          <w:bCs w:val="false"/>
          <w:color w:val="000000"/>
          <w:sz w:val="22"/>
          <w:szCs w:val="22"/>
        </w:rPr>
        <w:t xml:space="preserve">Provide a detailed profile of Sandworm (GRU Unit 74455), covering: (i) attribution and organisational context; (ii) their three most significant OT-targeted attacks, with a brief description of each; (iii) the specific evolution of their OT attack capability from BlackEnergy (2015) through Industroyer (2016) to Industroyer2 (2022) and PIPEDREAM (2022); and (iv) the specific OT architectural characteristics that enabled each attack. What does the progression of Sandworm's capability tell us about the trajectory of nation-state OT attack development?</w:t>
      </w:r>
    </w:p>
    <w:p>
      <w:pPr>
        <w:pStyle w:val="Heading3"/>
        <w:spacing w:after="120" w:before="220"/>
      </w:pPr>
      <w:r>
        <w:rPr>
          <w:rFonts w:ascii="Arial" w:cs="Arial" w:eastAsia="Arial" w:hAnsi="Arial"/>
          <w:b/>
          <w:bCs/>
          <w:color w:val="1F3864"/>
          <w:sz w:val="23"/>
          <w:szCs w:val="23"/>
        </w:rPr>
        <w:t xml:space="preserve">A3.</w:t>
      </w:r>
    </w:p>
    <w:p>
      <w:pPr>
        <w:spacing w:after="160" w:line="276"/>
        <w:jc w:val="both"/>
      </w:pPr>
      <w:r>
        <w:rPr>
          <w:rFonts w:ascii="Arial" w:cs="Arial" w:eastAsia="Arial" w:hAnsi="Arial"/>
          <w:b w:val="false"/>
          <w:bCs w:val="false"/>
          <w:color w:val="000000"/>
          <w:sz w:val="22"/>
          <w:szCs w:val="22"/>
        </w:rPr>
        <w:t xml:space="preserve">Explain the concept of 'living off the land' (LOTL) as practised by Volt Typhoon and explain why this approach is particularly challenging for OT security detection programmes. What specific security monitoring capabilities are required to detect LOTL techniques that signature-based security tools cannot detect? What does the concept of 'pre-positioning' mean in the Volt Typhoon context, and what are the implications for the likelihood assessment of critical infrastructure operators in the United States, Australia, and other Five Eyes nations?</w:t>
      </w:r>
    </w:p>
    <w:p>
      <w:pPr>
        <w:pStyle w:val="Heading3"/>
        <w:spacing w:after="120" w:before="220"/>
      </w:pPr>
      <w:r>
        <w:rPr>
          <w:rFonts w:ascii="Arial" w:cs="Arial" w:eastAsia="Arial" w:hAnsi="Arial"/>
          <w:b/>
          <w:bCs/>
          <w:color w:val="1F3864"/>
          <w:sz w:val="23"/>
          <w:szCs w:val="23"/>
        </w:rPr>
        <w:t xml:space="preserve">A4.</w:t>
      </w:r>
    </w:p>
    <w:p>
      <w:pPr>
        <w:spacing w:after="160" w:line="276"/>
        <w:jc w:val="both"/>
      </w:pPr>
      <w:r>
        <w:rPr>
          <w:rFonts w:ascii="Arial" w:cs="Arial" w:eastAsia="Arial" w:hAnsi="Arial"/>
          <w:b w:val="false"/>
          <w:bCs w:val="false"/>
          <w:color w:val="000000"/>
          <w:sz w:val="22"/>
          <w:szCs w:val="22"/>
        </w:rPr>
        <w:t xml:space="preserve">Describe the MITRE ATT&amp;CK for ICS framework, explaining: (i) its twelve tactics and the specific OT attack objective each tactic represents; (ii) the three tactics unique to the ICS matrix that do not appear in the enterprise ATT&amp;CK matrix, and why they are specific to OT environments; and (iii) three specific ATT&amp;CK for ICS techniques that are specific to OT environments (not IT environments), with a description of each technique and the OT architecture component it targets. How does a practitioner use ATT&amp;CK for ICS in the context of OT-IDS detection engineering?</w:t>
      </w:r>
    </w:p>
    <w:p>
      <w:pPr>
        <w:pStyle w:val="Heading3"/>
        <w:spacing w:after="120" w:before="220"/>
      </w:pPr>
      <w:r>
        <w:rPr>
          <w:rFonts w:ascii="Arial" w:cs="Arial" w:eastAsia="Arial" w:hAnsi="Arial"/>
          <w:b/>
          <w:bCs/>
          <w:color w:val="1F3864"/>
          <w:sz w:val="23"/>
          <w:szCs w:val="23"/>
        </w:rPr>
        <w:t xml:space="preserve">A5.</w:t>
      </w:r>
    </w:p>
    <w:p>
      <w:pPr>
        <w:spacing w:after="160" w:line="276"/>
        <w:jc w:val="both"/>
      </w:pPr>
      <w:r>
        <w:rPr>
          <w:rFonts w:ascii="Arial" w:cs="Arial" w:eastAsia="Arial" w:hAnsi="Arial"/>
          <w:b w:val="false"/>
          <w:bCs w:val="false"/>
          <w:color w:val="000000"/>
          <w:sz w:val="22"/>
          <w:szCs w:val="22"/>
        </w:rPr>
        <w:t xml:space="preserve">Explain the ICS Kill Chain model (Assante and Lee, 2015) and describe how it differs from the original Lockheed Martin Cyber Kill Chain. What is the two-stage structure of the ICS Kill Chain, and why is this two-stage structure a specific characteristic of OT attacks rather than IT attacks? Using the Ukrainian power grid attack of 2015 (Table 2.5), identify the two kill chain phases at which defensive controls would have had the greatest impact on the overall attack outcome, with justification.</w:t>
      </w:r>
    </w:p>
    <w:p>
      <w:pPr>
        <w:pStyle w:val="Heading3"/>
        <w:spacing w:after="120" w:before="220"/>
      </w:pPr>
      <w:r>
        <w:rPr>
          <w:rFonts w:ascii="Arial" w:cs="Arial" w:eastAsia="Arial" w:hAnsi="Arial"/>
          <w:b/>
          <w:bCs/>
          <w:color w:val="1F3864"/>
          <w:sz w:val="23"/>
          <w:szCs w:val="23"/>
        </w:rPr>
        <w:t xml:space="preserve">A6.</w:t>
      </w:r>
    </w:p>
    <w:p>
      <w:pPr>
        <w:spacing w:after="160" w:line="276"/>
        <w:jc w:val="both"/>
      </w:pPr>
      <w:r>
        <w:rPr>
          <w:rFonts w:ascii="Arial" w:cs="Arial" w:eastAsia="Arial" w:hAnsi="Arial"/>
          <w:b w:val="false"/>
          <w:bCs w:val="false"/>
          <w:color w:val="000000"/>
          <w:sz w:val="22"/>
          <w:szCs w:val="22"/>
        </w:rPr>
        <w:t xml:space="preserve">Explain the evolution of the criminal ransomware threat to OT environments, from the initial IT-focused ransomware attacks (2017-2019) through to the OT-aware ransomware development of 2020-2024. What is the 'precautionary OT shutdown' mechanism through which IT-targeted ransomware causes OT disruption without directly compromising OT systems? Describe the SNAKE/EKANS ransomware and explain its significance as an indicator of criminal OT threat capability development. What specific OT security controls most effectively address the criminal ransomware threat?</w:t>
      </w:r>
    </w:p>
    <w:p>
      <w:pPr>
        <w:pStyle w:val="Heading2"/>
        <w:spacing w:after="160" w:before="300"/>
      </w:pPr>
      <w:r>
        <w:rPr>
          <w:rFonts w:ascii="Arial" w:cs="Arial" w:eastAsia="Arial" w:hAnsi="Arial"/>
          <w:b/>
          <w:bCs/>
          <w:color w:val="2E75B6"/>
          <w:sz w:val="27"/>
          <w:szCs w:val="27"/>
        </w:rPr>
        <w:t xml:space="preserve">Part B — Application and Analysis (Level 2)</w:t>
      </w:r>
    </w:p>
    <w:p>
      <w:pPr>
        <w:pStyle w:val="Heading3"/>
        <w:spacing w:after="120" w:before="220"/>
      </w:pPr>
      <w:r>
        <w:rPr>
          <w:rFonts w:ascii="Arial" w:cs="Arial" w:eastAsia="Arial" w:hAnsi="Arial"/>
          <w:b/>
          <w:bCs/>
          <w:color w:val="1F3864"/>
          <w:sz w:val="23"/>
          <w:szCs w:val="23"/>
        </w:rPr>
        <w:t xml:space="preserve">B1. — Threat Landscape Assessment</w:t>
      </w:r>
    </w:p>
    <w:p>
      <w:pPr>
        <w:spacing w:after="160" w:line="276"/>
        <w:jc w:val="both"/>
      </w:pPr>
      <w:r>
        <w:rPr>
          <w:rFonts w:ascii="Arial" w:cs="Arial" w:eastAsia="Arial" w:hAnsi="Arial"/>
          <w:b w:val="false"/>
          <w:bCs w:val="false"/>
          <w:color w:val="000000"/>
          <w:sz w:val="22"/>
          <w:szCs w:val="22"/>
        </w:rPr>
        <w:t xml:space="preserve">You have been engaged to conduct an OT security risk assessment at a major petroleum refinery in the Netherlands. The refinery processes 200,000 barrels per day of crude oil and is subject to Dutch BRZO (Control of Major Accident Hazards) regulations (equivalent to UK COMAH). Its OT environment includes a Honeywell Experion DCS, Rockwell ControlLogix PLCs, a Triconex SIS, and OT connectivity to a corporate SAP ERP system through an industrial historian. The Netherlands is a NATO member and hosts significant US military and intelligence infrastructure. The refinery is owned by a US-listed major oil company.</w:t>
      </w:r>
    </w:p>
    <w:p>
      <w:pPr>
        <w:spacing w:after="160" w:line="276"/>
        <w:jc w:val="both"/>
      </w:pPr>
      <w:r>
        <w:rPr>
          <w:rFonts w:ascii="Arial" w:cs="Arial" w:eastAsia="Arial" w:hAnsi="Arial"/>
          <w:b w:val="false"/>
          <w:bCs w:val="false"/>
          <w:color w:val="000000"/>
          <w:sz w:val="22"/>
          <w:szCs w:val="22"/>
        </w:rPr>
        <w:t xml:space="preserve">Conduct a structured threat landscape assessment for this facility. Your assessment must:</w:t>
      </w:r>
    </w:p>
    <w:p>
      <w:pPr>
        <w:pStyle w:val="ListParagraph"/>
        <w:numPr>
          <w:ilvl w:val="0"/>
          <w:numId w:val="3"/>
        </w:numPr>
        <w:spacing w:after="100" w:line="276"/>
      </w:pPr>
      <w:r>
        <w:rPr>
          <w:rFonts w:ascii="Arial" w:cs="Arial" w:eastAsia="Arial" w:hAnsi="Arial"/>
          <w:sz w:val="22"/>
          <w:szCs w:val="22"/>
        </w:rPr>
        <w:t xml:space="preserve">Identify and justify the relevant threat actor categories for this specific facility, with reference to its sector, geography, ownership, and regulatory profile.</w:t>
      </w:r>
    </w:p>
    <w:p>
      <w:pPr>
        <w:pStyle w:val="ListParagraph"/>
        <w:numPr>
          <w:ilvl w:val="0"/>
          <w:numId w:val="3"/>
        </w:numPr>
        <w:spacing w:after="100" w:line="276"/>
      </w:pPr>
      <w:r>
        <w:rPr>
          <w:rFonts w:ascii="Arial" w:cs="Arial" w:eastAsia="Arial" w:hAnsi="Arial"/>
          <w:sz w:val="22"/>
          <w:szCs w:val="22"/>
        </w:rPr>
        <w:t xml:space="preserve">For each relevant actor category, assess: (i) actor relevance (is this actor known to target this sector/geography?); (ii) capability match (can this actor exploit the likely vulnerabilities in this OT environment?); (iii) motivation intensity (how strongly motivated is this actor to attack this specific facility?); and (iv) access opportunity (how accessible is this facility to this actor given its known connectivity?).</w:t>
      </w:r>
    </w:p>
    <w:p>
      <w:pPr>
        <w:pStyle w:val="ListParagraph"/>
        <w:numPr>
          <w:ilvl w:val="0"/>
          <w:numId w:val="3"/>
        </w:numPr>
        <w:spacing w:after="100" w:line="276"/>
      </w:pPr>
      <w:r>
        <w:rPr>
          <w:rFonts w:ascii="Arial" w:cs="Arial" w:eastAsia="Arial" w:hAnsi="Arial"/>
          <w:sz w:val="22"/>
          <w:szCs w:val="22"/>
        </w:rPr>
        <w:t xml:space="preserve">Using Table 2.6 as a framework, produce a threat factor analysis for the three highest-priority threat actor categories, including a qualitative likelihood modifier (High/Medium/Low) for each factor.</w:t>
      </w:r>
    </w:p>
    <w:p>
      <w:pPr>
        <w:pStyle w:val="ListParagraph"/>
        <w:numPr>
          <w:ilvl w:val="0"/>
          <w:numId w:val="3"/>
        </w:numPr>
        <w:spacing w:after="100" w:line="276"/>
      </w:pPr>
      <w:r>
        <w:rPr>
          <w:rFonts w:ascii="Arial" w:cs="Arial" w:eastAsia="Arial" w:hAnsi="Arial"/>
          <w:sz w:val="22"/>
          <w:szCs w:val="22"/>
        </w:rPr>
        <w:t xml:space="preserve">Identify the top three ATT&amp;CK for ICS techniques that each of your three highest-priority threat actors is most likely to use against this specific facility, with justification based on the facility's architecture and the actor's known TTPs.</w:t>
      </w:r>
    </w:p>
    <w:p>
      <w:pPr>
        <w:pStyle w:val="ListParagraph"/>
        <w:numPr>
          <w:ilvl w:val="0"/>
          <w:numId w:val="3"/>
        </w:numPr>
        <w:spacing w:after="100" w:line="276"/>
      </w:pPr>
      <w:r>
        <w:rPr>
          <w:rFonts w:ascii="Arial" w:cs="Arial" w:eastAsia="Arial" w:hAnsi="Arial"/>
          <w:sz w:val="22"/>
          <w:szCs w:val="22"/>
        </w:rPr>
        <w:t xml:space="preserve">Summarise the threat landscape assessment in a format suitable for presentation to the refinery's Executive Sponsor — non-technical, consequence-focused, and actionable.</w:t>
      </w:r>
    </w:p>
    <w:p>
      <w:pPr>
        <w:pStyle w:val="Heading3"/>
        <w:spacing w:after="120" w:before="220"/>
      </w:pPr>
      <w:r>
        <w:rPr>
          <w:rFonts w:ascii="Arial" w:cs="Arial" w:eastAsia="Arial" w:hAnsi="Arial"/>
          <w:b/>
          <w:bCs/>
          <w:color w:val="1F3864"/>
          <w:sz w:val="23"/>
          <w:szCs w:val="23"/>
        </w:rPr>
        <w:t xml:space="preserve">B2. — ATT&amp;CK for ICS Mapping</w:t>
      </w:r>
    </w:p>
    <w:p>
      <w:pPr>
        <w:spacing w:after="160" w:line="276"/>
        <w:jc w:val="both"/>
      </w:pPr>
      <w:r>
        <w:rPr>
          <w:rFonts w:ascii="Arial" w:cs="Arial" w:eastAsia="Arial" w:hAnsi="Arial"/>
          <w:b w:val="false"/>
          <w:bCs w:val="false"/>
          <w:color w:val="000000"/>
          <w:sz w:val="22"/>
          <w:szCs w:val="22"/>
        </w:rPr>
        <w:t xml:space="preserve">The Colonial Pipeline ransomware attack (May 2021) is the most consequential ransomware incident affecting critical infrastructure in the United States. Using the publicly available post-incident analysis (CISA AA21-131A; Congressional testimony; media reporting), map the Colonial Pipeline attack to the MITRE ATT&amp;CK for ICS framework:</w:t>
      </w:r>
    </w:p>
    <w:p>
      <w:pPr>
        <w:pStyle w:val="ListParagraph"/>
        <w:numPr>
          <w:ilvl w:val="0"/>
          <w:numId w:val="3"/>
        </w:numPr>
        <w:spacing w:after="100" w:line="276"/>
      </w:pPr>
      <w:r>
        <w:rPr>
          <w:rFonts w:ascii="Arial" w:cs="Arial" w:eastAsia="Arial" w:hAnsi="Arial"/>
          <w:sz w:val="22"/>
          <w:szCs w:val="22"/>
        </w:rPr>
        <w:t xml:space="preserve">For each of the twelve ATT&amp;CK for ICS tactics, identify whether a technique from that tactic was used in the Colonial Pipeline attack. For tactics where techniques were observed, identify the specific technique(s) and describe the observed activity.</w:t>
      </w:r>
    </w:p>
    <w:p>
      <w:pPr>
        <w:pStyle w:val="ListParagraph"/>
        <w:numPr>
          <w:ilvl w:val="0"/>
          <w:numId w:val="3"/>
        </w:numPr>
        <w:spacing w:after="100" w:line="276"/>
      </w:pPr>
      <w:r>
        <w:rPr>
          <w:rFonts w:ascii="Arial" w:cs="Arial" w:eastAsia="Arial" w:hAnsi="Arial"/>
          <w:sz w:val="22"/>
          <w:szCs w:val="22"/>
        </w:rPr>
        <w:t xml:space="preserve">Identify the three techniques from your ATT&amp;CK mapping that a properly implemented OT security control should have detected. For each technique, specify: (i) what the detection opportunity was; (ii) the specific security control or monitoring capability that would have detected it; and (iii) whether that control would have prevented the attack or merely detected it earlier.</w:t>
      </w:r>
    </w:p>
    <w:p>
      <w:pPr>
        <w:pStyle w:val="ListParagraph"/>
        <w:numPr>
          <w:ilvl w:val="0"/>
          <w:numId w:val="3"/>
        </w:numPr>
        <w:spacing w:after="100" w:line="276"/>
      </w:pPr>
      <w:r>
        <w:rPr>
          <w:rFonts w:ascii="Arial" w:cs="Arial" w:eastAsia="Arial" w:hAnsi="Arial"/>
          <w:sz w:val="22"/>
          <w:szCs w:val="22"/>
        </w:rPr>
        <w:t xml:space="preserve">Colonial Pipeline did not have MFA on the compromised VPN account — a control that would have prevented the initial access. Using the ICS Kill Chain framework, identify which kill chain phase corresponds to this control failure and explain what the consequence of that failure was for all subsequent kill chain phases.</w:t>
      </w:r>
    </w:p>
    <w:p>
      <w:pPr>
        <w:pStyle w:val="ListParagraph"/>
        <w:numPr>
          <w:ilvl w:val="0"/>
          <w:numId w:val="3"/>
        </w:numPr>
        <w:spacing w:after="100" w:line="276"/>
      </w:pPr>
      <w:r>
        <w:rPr>
          <w:rFonts w:ascii="Arial" w:cs="Arial" w:eastAsia="Arial" w:hAnsi="Arial"/>
          <w:sz w:val="22"/>
          <w:szCs w:val="22"/>
        </w:rPr>
        <w:t xml:space="preserve">Based on your ATT&amp;CK mapping, assess the extent to which Colonial Pipeline's OT systems were or were not actually compromised. The Colonial Pipeline shutdown was largely precautionary — what does this tell us about the relationship between IT ransomware attacks and OT operational impact?</w:t>
      </w:r>
    </w:p>
    <w:p>
      <w:pPr>
        <w:pStyle w:val="Heading3"/>
        <w:spacing w:after="120" w:before="220"/>
      </w:pPr>
      <w:r>
        <w:rPr>
          <w:rFonts w:ascii="Arial" w:cs="Arial" w:eastAsia="Arial" w:hAnsi="Arial"/>
          <w:b/>
          <w:bCs/>
          <w:color w:val="1F3864"/>
          <w:sz w:val="23"/>
          <w:szCs w:val="23"/>
        </w:rPr>
        <w:t xml:space="preserve">B3. — Insider Threat Assessment</w:t>
      </w:r>
    </w:p>
    <w:p>
      <w:pPr>
        <w:spacing w:after="160" w:line="276"/>
        <w:jc w:val="both"/>
      </w:pPr>
      <w:r>
        <w:rPr>
          <w:rFonts w:ascii="Arial" w:cs="Arial" w:eastAsia="Arial" w:hAnsi="Arial"/>
          <w:b w:val="false"/>
          <w:bCs w:val="false"/>
          <w:color w:val="000000"/>
          <w:sz w:val="22"/>
          <w:szCs w:val="22"/>
        </w:rPr>
        <w:t xml:space="preserve">The following scenario is presented for analysis. A water treatment authority operates a SCADA system controlling 15 pumping stations and a central water treatment facility. A long-serving instrument technician (14 years of service) has recently been passed over for promotion to Senior Engineer in favour of an external hire. The technician has submitted two formal grievances, both rejected. He has full access to all 15 SCADA RTUs, the central SCADA HMI, and the engineering workstation used for RTU configuration. The authority has no formal OT security programme, no SCADA access review process, and no OT activity monitoring.</w:t>
      </w:r>
    </w:p>
    <w:p>
      <w:pPr>
        <w:spacing w:after="160" w:line="276"/>
        <w:jc w:val="both"/>
      </w:pPr>
      <w:r>
        <w:rPr>
          <w:rFonts w:ascii="Arial" w:cs="Arial" w:eastAsia="Arial" w:hAnsi="Arial"/>
          <w:b w:val="false"/>
          <w:bCs w:val="false"/>
          <w:color w:val="000000"/>
          <w:sz w:val="22"/>
          <w:szCs w:val="22"/>
        </w:rPr>
        <w:t xml:space="preserve">Conduct an insider threat assessment for this scenario:</w:t>
      </w:r>
    </w:p>
    <w:p>
      <w:pPr>
        <w:pStyle w:val="ListParagraph"/>
        <w:numPr>
          <w:ilvl w:val="0"/>
          <w:numId w:val="3"/>
        </w:numPr>
        <w:spacing w:after="100" w:line="276"/>
      </w:pPr>
      <w:r>
        <w:rPr>
          <w:rFonts w:ascii="Arial" w:cs="Arial" w:eastAsia="Arial" w:hAnsi="Arial"/>
          <w:sz w:val="22"/>
          <w:szCs w:val="22"/>
        </w:rPr>
        <w:t xml:space="preserve">Using the CERT Insider Threat Center's research framework, assess the specific insider threat risk presented by this technician. Identify which category of insider threat this represents and what the specific risk indicators are.</w:t>
      </w:r>
    </w:p>
    <w:p>
      <w:pPr>
        <w:pStyle w:val="ListParagraph"/>
        <w:numPr>
          <w:ilvl w:val="0"/>
          <w:numId w:val="3"/>
        </w:numPr>
        <w:spacing w:after="100" w:line="276"/>
      </w:pPr>
      <w:r>
        <w:rPr>
          <w:rFonts w:ascii="Arial" w:cs="Arial" w:eastAsia="Arial" w:hAnsi="Arial"/>
          <w:sz w:val="22"/>
          <w:szCs w:val="22"/>
        </w:rPr>
        <w:t xml:space="preserve">Using the ATT&amp;CK for ICS framework, identify the five techniques most readily available to this specific insider — given his authorised access, his technical knowledge, and the absence of security controls. For each technique, describe the specific action he could take and the consequence in the water treatment context.</w:t>
      </w:r>
    </w:p>
    <w:p>
      <w:pPr>
        <w:pStyle w:val="ListParagraph"/>
        <w:numPr>
          <w:ilvl w:val="0"/>
          <w:numId w:val="3"/>
        </w:numPr>
        <w:spacing w:after="100" w:line="276"/>
      </w:pPr>
      <w:r>
        <w:rPr>
          <w:rFonts w:ascii="Arial" w:cs="Arial" w:eastAsia="Arial" w:hAnsi="Arial"/>
          <w:sz w:val="22"/>
          <w:szCs w:val="22"/>
        </w:rPr>
        <w:t xml:space="preserve">Design a specific insider threat mitigation programme for this water authority that addresses both the immediate risk from this individual and the systemic absence of insider threat controls. Your programme must address: access management, monitoring, procedural controls, and the specific HR/legal management of the identified high-risk individual.</w:t>
      </w:r>
    </w:p>
    <w:p>
      <w:pPr>
        <w:pStyle w:val="ListParagraph"/>
        <w:numPr>
          <w:ilvl w:val="0"/>
          <w:numId w:val="3"/>
        </w:numPr>
        <w:spacing w:after="100" w:line="276"/>
      </w:pPr>
      <w:r>
        <w:rPr>
          <w:rFonts w:ascii="Arial" w:cs="Arial" w:eastAsia="Arial" w:hAnsi="Arial"/>
          <w:sz w:val="22"/>
          <w:szCs w:val="22"/>
        </w:rPr>
        <w:t xml:space="preserve">Explain the tension between security monitoring of a specific individual and employment law obligations, and how this tension should be managed by the security practitioner in consultation with HR and legal counsel.</w:t>
      </w:r>
    </w:p>
    <w:p>
      <w:pPr>
        <w:pStyle w:val="Heading3"/>
        <w:spacing w:after="120" w:before="220"/>
      </w:pPr>
      <w:r>
        <w:rPr>
          <w:rFonts w:ascii="Arial" w:cs="Arial" w:eastAsia="Arial" w:hAnsi="Arial"/>
          <w:b/>
          <w:bCs/>
          <w:color w:val="1F3864"/>
          <w:sz w:val="23"/>
          <w:szCs w:val="23"/>
        </w:rPr>
        <w:t xml:space="preserve">B4. — Threat Intelligence Integration</w:t>
      </w:r>
    </w:p>
    <w:p>
      <w:pPr>
        <w:spacing w:after="160" w:line="276"/>
        <w:jc w:val="both"/>
      </w:pPr>
      <w:r>
        <w:rPr>
          <w:rFonts w:ascii="Arial" w:cs="Arial" w:eastAsia="Arial" w:hAnsi="Arial"/>
          <w:b w:val="false"/>
          <w:bCs w:val="false"/>
          <w:color w:val="000000"/>
          <w:sz w:val="22"/>
          <w:szCs w:val="22"/>
        </w:rPr>
        <w:t xml:space="preserve">In February 2024, CISA issued joint advisory AA24-038A confirming that Volt Typhoon has compromised the IT environments of multiple US critical infrastructure organisations and is pre-positioning for potential destructive action in the event of a major US-China crisis. You are the OT Security Manager at a major US electricity transmission operator (subject to NERC CIP standards).</w:t>
      </w:r>
    </w:p>
    <w:p>
      <w:pPr>
        <w:spacing w:after="160" w:line="276"/>
        <w:jc w:val="both"/>
      </w:pPr>
      <w:r>
        <w:rPr>
          <w:rFonts w:ascii="Arial" w:cs="Arial" w:eastAsia="Arial" w:hAnsi="Arial"/>
          <w:b w:val="false"/>
          <w:bCs w:val="false"/>
          <w:color w:val="000000"/>
          <w:sz w:val="22"/>
          <w:szCs w:val="22"/>
        </w:rPr>
        <w:t xml:space="preserve">Explain how this threat intelligence changes your risk assessment and security programme:</w:t>
      </w:r>
    </w:p>
    <w:p>
      <w:pPr>
        <w:pStyle w:val="ListParagraph"/>
        <w:numPr>
          <w:ilvl w:val="0"/>
          <w:numId w:val="3"/>
        </w:numPr>
        <w:spacing w:after="100" w:line="276"/>
      </w:pPr>
      <w:r>
        <w:rPr>
          <w:rFonts w:ascii="Arial" w:cs="Arial" w:eastAsia="Arial" w:hAnsi="Arial"/>
          <w:sz w:val="22"/>
          <w:szCs w:val="22"/>
        </w:rPr>
        <w:t xml:space="preserve">Using the threat factor analysis framework (Table 2.6), assess the likelihood modifier that this advisory creates for high-consequence OT attack scenarios at your facility. How does the existence of confirmed pre-positioning change the likelihood assessment compared to a threat landscape without confirmed access?</w:t>
      </w:r>
    </w:p>
    <w:p>
      <w:pPr>
        <w:pStyle w:val="ListParagraph"/>
        <w:numPr>
          <w:ilvl w:val="0"/>
          <w:numId w:val="3"/>
        </w:numPr>
        <w:spacing w:after="100" w:line="276"/>
      </w:pPr>
      <w:r>
        <w:rPr>
          <w:rFonts w:ascii="Arial" w:cs="Arial" w:eastAsia="Arial" w:hAnsi="Arial"/>
          <w:sz w:val="22"/>
          <w:szCs w:val="22"/>
        </w:rPr>
        <w:t xml:space="preserve">Identify the five ATT&amp;CK for ICS techniques most associated with Volt Typhoon's LOTL approach and explain what specific OT-IDS alert policies and monitoring capabilities you would implement to detect these techniques in your OT environment.</w:t>
      </w:r>
    </w:p>
    <w:p>
      <w:pPr>
        <w:pStyle w:val="ListParagraph"/>
        <w:numPr>
          <w:ilvl w:val="0"/>
          <w:numId w:val="3"/>
        </w:numPr>
        <w:spacing w:after="100" w:line="276"/>
      </w:pPr>
      <w:r>
        <w:rPr>
          <w:rFonts w:ascii="Arial" w:cs="Arial" w:eastAsia="Arial" w:hAnsi="Arial"/>
          <w:sz w:val="22"/>
          <w:szCs w:val="22"/>
        </w:rPr>
        <w:t xml:space="preserve">Volt Typhoon uses living-off-the-land techniques specifically to avoid detection by signature-based security tools. What detection approach should replace signature-based detection for LOTL threat actors, and what specific data sources (logs, network traffic, endpoint telemetry) does this approach require in an OT environment?</w:t>
      </w:r>
    </w:p>
    <w:p>
      <w:pPr>
        <w:pStyle w:val="ListParagraph"/>
        <w:numPr>
          <w:ilvl w:val="0"/>
          <w:numId w:val="3"/>
        </w:numPr>
        <w:spacing w:after="100" w:line="276"/>
      </w:pPr>
      <w:r>
        <w:rPr>
          <w:rFonts w:ascii="Arial" w:cs="Arial" w:eastAsia="Arial" w:hAnsi="Arial"/>
          <w:sz w:val="22"/>
          <w:szCs w:val="22"/>
        </w:rPr>
        <w:t xml:space="preserve">How should this threat intelligence affect your CSMS management review agenda? What management decisions does it require from your Executive Sponsor, and how would you present the risk in business terms rather than technical terms?</w:t>
      </w:r>
    </w:p>
    <w:p>
      <w:pPr>
        <w:pStyle w:val="Heading2"/>
        <w:spacing w:after="160" w:before="300"/>
      </w:pPr>
      <w:r>
        <w:rPr>
          <w:rFonts w:ascii="Arial" w:cs="Arial" w:eastAsia="Arial" w:hAnsi="Arial"/>
          <w:b/>
          <w:bCs/>
          <w:color w:val="2E75B6"/>
          <w:sz w:val="27"/>
          <w:szCs w:val="27"/>
        </w:rPr>
        <w:t xml:space="preserve">Part C — Synthesis and Critical Evaluation (Level 3)</w:t>
      </w:r>
    </w:p>
    <w:p>
      <w:pPr>
        <w:pStyle w:val="Heading3"/>
        <w:spacing w:after="120" w:before="220"/>
      </w:pPr>
      <w:r>
        <w:rPr>
          <w:rFonts w:ascii="Arial" w:cs="Arial" w:eastAsia="Arial" w:hAnsi="Arial"/>
          <w:b/>
          <w:bCs/>
          <w:color w:val="1F3864"/>
          <w:sz w:val="23"/>
          <w:szCs w:val="23"/>
        </w:rPr>
        <w:t xml:space="preserve">C1. — Critical Essay: The Escalating Democratisation of OT Attack Capability</w:t>
      </w:r>
    </w:p>
    <w:p>
      <w:pPr>
        <w:spacing w:after="160" w:line="276"/>
        <w:jc w:val="both"/>
      </w:pPr>
      <w:r>
        <w:rPr>
          <w:rFonts w:ascii="Arial" w:cs="Arial" w:eastAsia="Arial" w:hAnsi="Arial"/>
          <w:b w:val="false"/>
          <w:bCs w:val="false"/>
          <w:color w:val="000000"/>
          <w:sz w:val="22"/>
          <w:szCs w:val="22"/>
        </w:rPr>
        <w:t xml:space="preserve">Write a critical essay (minimum 1,500 words) addressing the following proposition:</w:t>
      </w:r>
    </w:p>
    <w:p>
      <w:pPr>
        <w:spacing w:after="160" w:line="276"/>
        <w:jc w:val="both"/>
      </w:pPr>
      <w:r>
        <w:rPr>
          <w:rFonts w:ascii="Arial" w:cs="Arial" w:eastAsia="Arial" w:hAnsi="Arial"/>
          <w:b w:val="false"/>
          <w:bCs w:val="false"/>
          <w:color w:val="000000"/>
          <w:sz w:val="22"/>
          <w:szCs w:val="22"/>
        </w:rPr>
        <w:t xml:space="preserve">'The OT security community has spent a decade focused on nation-state threat actors as the primary OT security threat — developing frameworks, publishing advisories, and designing defences optimised for the sophistication of Sandworm, Volt Typhoon, and XENOTIME. This focus is misallocated. The existential OT security challenge for the next decade is not nation-state sophistication — it is the progressive democratisation of OT attack capability that is making nation-state-level OT attacks accessible to criminal groups, hacktivists, and motivated individuals. The discovery of PIPEDREAM, the publication of ICS exploitation frameworks in mainstream security research, the growth of ICS-specific criminal tooling, and the internet exposure of vulnerable OT systems are collectively creating the conditions for catastrophic OT attacks by actors who would have been entirely incapable of them five years ago.'</w:t>
      </w:r>
    </w:p>
    <w:p>
      <w:pPr>
        <w:spacing w:after="160" w:line="276"/>
        <w:jc w:val="both"/>
      </w:pPr>
      <w:r>
        <w:rPr>
          <w:rFonts w:ascii="Arial" w:cs="Arial" w:eastAsia="Arial" w:hAnsi="Arial"/>
          <w:b w:val="false"/>
          <w:bCs w:val="false"/>
          <w:color w:val="000000"/>
          <w:sz w:val="22"/>
          <w:szCs w:val="22"/>
        </w:rPr>
        <w:t xml:space="preserve">Your essay should:</w:t>
      </w:r>
    </w:p>
    <w:p>
      <w:pPr>
        <w:pStyle w:val="ListParagraph"/>
        <w:numPr>
          <w:ilvl w:val="0"/>
          <w:numId w:val="2"/>
        </w:numPr>
        <w:spacing w:after="100" w:line="276"/>
      </w:pPr>
      <w:r>
        <w:rPr>
          <w:rFonts w:ascii="Arial" w:cs="Arial" w:eastAsia="Arial" w:hAnsi="Arial"/>
          <w:sz w:val="22"/>
          <w:szCs w:val="22"/>
        </w:rPr>
        <w:t xml:space="preserve">Assess the empirical basis of the proposition — is OT attack capability genuinely being democratised, and if so, at what rate and to which actor categories? What is the evidence for this trend, and what are the strongest counterarguments?</w:t>
      </w:r>
    </w:p>
    <w:p>
      <w:pPr>
        <w:pStyle w:val="ListParagraph"/>
        <w:numPr>
          <w:ilvl w:val="0"/>
          <w:numId w:val="2"/>
        </w:numPr>
        <w:spacing w:after="100" w:line="276"/>
      </w:pPr>
      <w:r>
        <w:rPr>
          <w:rFonts w:ascii="Arial" w:cs="Arial" w:eastAsia="Arial" w:hAnsi="Arial"/>
          <w:sz w:val="22"/>
          <w:szCs w:val="22"/>
        </w:rPr>
        <w:t xml:space="preserve">Evaluate the comparison between nation-state and non-nation-state OT threats for a representative cross-section of industrial facilities (a major oil refinery, a regional water authority, a large automotive manufacturer, and an electricity transmission operator). For which of these does the nation-state threat dominate? For which does the criminal/hacktivist threat dominate? What drives this difference?</w:t>
      </w:r>
    </w:p>
    <w:p>
      <w:pPr>
        <w:pStyle w:val="ListParagraph"/>
        <w:numPr>
          <w:ilvl w:val="0"/>
          <w:numId w:val="2"/>
        </w:numPr>
        <w:spacing w:after="100" w:line="276"/>
      </w:pPr>
      <w:r>
        <w:rPr>
          <w:rFonts w:ascii="Arial" w:cs="Arial" w:eastAsia="Arial" w:hAnsi="Arial"/>
          <w:sz w:val="22"/>
          <w:szCs w:val="22"/>
        </w:rPr>
        <w:t xml:space="preserve">Examine the policy and security investment implications of the democratisation thesis. If OT attack capability is genuinely being democratised, how should this change: (i) the threat actor weighting in OT risk assessments; (ii) the OT security control priorities (which controls most effectively address a broad adversary population vs a highly sophisticated nation-state); and (iii) the regulatory framework for OT security (which currently focuses heavily on nation-state-level threats)?</w:t>
      </w:r>
    </w:p>
    <w:p>
      <w:pPr>
        <w:pStyle w:val="ListParagraph"/>
        <w:numPr>
          <w:ilvl w:val="0"/>
          <w:numId w:val="2"/>
        </w:numPr>
        <w:spacing w:after="100" w:line="276"/>
      </w:pPr>
      <w:r>
        <w:rPr>
          <w:rFonts w:ascii="Arial" w:cs="Arial" w:eastAsia="Arial" w:hAnsi="Arial"/>
          <w:sz w:val="22"/>
          <w:szCs w:val="22"/>
        </w:rPr>
        <w:t xml:space="preserve">Propose a threat-calibrated OT security investment framework that appropriately addresses both the nation-state threat (high sophistication, low frequency, maximum consequence) and the democratised threat (lower sophistication, increasing frequency, moderate consequence), and explain how a facility with limited security resources should allocate between the two.</w:t>
      </w:r>
    </w:p>
    <w:p>
      <w:pPr>
        <w:pStyle w:val="Heading3"/>
        <w:spacing w:after="120" w:before="220"/>
      </w:pPr>
      <w:r>
        <w:rPr>
          <w:rFonts w:ascii="Arial" w:cs="Arial" w:eastAsia="Arial" w:hAnsi="Arial"/>
          <w:b/>
          <w:bCs/>
          <w:color w:val="1F3864"/>
          <w:sz w:val="23"/>
          <w:szCs w:val="23"/>
        </w:rPr>
        <w:t xml:space="preserve">C2. — Threat Intelligence Product Design</w:t>
      </w:r>
    </w:p>
    <w:p>
      <w:pPr>
        <w:spacing w:after="160" w:line="276"/>
        <w:jc w:val="both"/>
      </w:pPr>
      <w:r>
        <w:rPr>
          <w:rFonts w:ascii="Arial" w:cs="Arial" w:eastAsia="Arial" w:hAnsi="Arial"/>
          <w:b w:val="false"/>
          <w:bCs w:val="false"/>
          <w:color w:val="000000"/>
          <w:sz w:val="22"/>
          <w:szCs w:val="22"/>
        </w:rPr>
        <w:t xml:space="preserve">You are the Head of OT Threat Intelligence at a major commercial threat intelligence provider. Your team has been tracking a new OT threat group — codenamed FERROCITE internally — that you have discovered in the process of investigating an incident at a North Sea oil and gas operator. The following intelligence has been collected:</w:t>
      </w:r>
    </w:p>
    <w:p>
      <w:pPr>
        <w:pStyle w:val="ListParagraph"/>
        <w:numPr>
          <w:ilvl w:val="0"/>
          <w:numId w:val="2"/>
        </w:numPr>
        <w:spacing w:after="100" w:line="276"/>
      </w:pPr>
      <w:r>
        <w:rPr>
          <w:rFonts w:ascii="Arial" w:cs="Arial" w:eastAsia="Arial" w:hAnsi="Arial"/>
          <w:sz w:val="22"/>
          <w:szCs w:val="22"/>
        </w:rPr>
        <w:t xml:space="preserve">FERROCITE gained initial access through exploitation of a Fortinet SSL-VPN vulnerability (CVE-2022-40684) at the operator's corporate network boundary.</w:t>
      </w:r>
    </w:p>
    <w:p>
      <w:pPr>
        <w:pStyle w:val="ListParagraph"/>
        <w:numPr>
          <w:ilvl w:val="0"/>
          <w:numId w:val="2"/>
        </w:numPr>
        <w:spacing w:after="100" w:line="276"/>
      </w:pPr>
      <w:r>
        <w:rPr>
          <w:rFonts w:ascii="Arial" w:cs="Arial" w:eastAsia="Arial" w:hAnsi="Arial"/>
          <w:sz w:val="22"/>
          <w:szCs w:val="22"/>
        </w:rPr>
        <w:t xml:space="preserve">Post-compromise, FERROCITE used standard Windows tools (net.exe, tasklist, ipconfig) for internal reconnaissance — consistent with living-off-the-land approach.</w:t>
      </w:r>
    </w:p>
    <w:p>
      <w:pPr>
        <w:pStyle w:val="ListParagraph"/>
        <w:numPr>
          <w:ilvl w:val="0"/>
          <w:numId w:val="2"/>
        </w:numPr>
        <w:spacing w:after="100" w:line="276"/>
      </w:pPr>
      <w:r>
        <w:rPr>
          <w:rFonts w:ascii="Arial" w:cs="Arial" w:eastAsia="Arial" w:hAnsi="Arial"/>
          <w:sz w:val="22"/>
          <w:szCs w:val="22"/>
        </w:rPr>
        <w:t xml:space="preserve">FERROCITE moved laterally to the operator's OT-adjacent systems (historian server, engineering workstation VLAN) using compromised IT administrator credentials.</w:t>
      </w:r>
    </w:p>
    <w:p>
      <w:pPr>
        <w:pStyle w:val="ListParagraph"/>
        <w:numPr>
          <w:ilvl w:val="0"/>
          <w:numId w:val="2"/>
        </w:numPr>
        <w:spacing w:after="100" w:line="276"/>
      </w:pPr>
      <w:r>
        <w:rPr>
          <w:rFonts w:ascii="Arial" w:cs="Arial" w:eastAsia="Arial" w:hAnsi="Arial"/>
          <w:sz w:val="22"/>
          <w:szCs w:val="22"/>
        </w:rPr>
        <w:t xml:space="preserve">On the engineering workstation, FERROCITE accessed Siemens TIA Portal project files for the facility's S7-1500 PLCs — copying but not modifying the project files.</w:t>
      </w:r>
    </w:p>
    <w:p>
      <w:pPr>
        <w:pStyle w:val="ListParagraph"/>
        <w:numPr>
          <w:ilvl w:val="0"/>
          <w:numId w:val="2"/>
        </w:numPr>
        <w:spacing w:after="100" w:line="276"/>
      </w:pPr>
      <w:r>
        <w:rPr>
          <w:rFonts w:ascii="Arial" w:cs="Arial" w:eastAsia="Arial" w:hAnsi="Arial"/>
          <w:sz w:val="22"/>
          <w:szCs w:val="22"/>
        </w:rPr>
        <w:t xml:space="preserve">FERROCITE established a persistent backdoor (modified Windows service) on the engineering workstation and a separate backdoor on the historian server.</w:t>
      </w:r>
    </w:p>
    <w:p>
      <w:pPr>
        <w:pStyle w:val="ListParagraph"/>
        <w:numPr>
          <w:ilvl w:val="0"/>
          <w:numId w:val="2"/>
        </w:numPr>
        <w:spacing w:after="100" w:line="276"/>
      </w:pPr>
      <w:r>
        <w:rPr>
          <w:rFonts w:ascii="Arial" w:cs="Arial" w:eastAsia="Arial" w:hAnsi="Arial"/>
          <w:sz w:val="22"/>
          <w:szCs w:val="22"/>
        </w:rPr>
        <w:t xml:space="preserve">C2 traffic used HTTPS over port 443 to two IP addresses — one in a cloud hosting provider's IP range (AWS us-east-1), one in a residential ISP's IP range in Eastern Europe.</w:t>
      </w:r>
    </w:p>
    <w:p>
      <w:pPr>
        <w:pStyle w:val="ListParagraph"/>
        <w:numPr>
          <w:ilvl w:val="0"/>
          <w:numId w:val="2"/>
        </w:numPr>
        <w:spacing w:after="100" w:line="276"/>
      </w:pPr>
      <w:r>
        <w:rPr>
          <w:rFonts w:ascii="Arial" w:cs="Arial" w:eastAsia="Arial" w:hAnsi="Arial"/>
          <w:sz w:val="22"/>
          <w:szCs w:val="22"/>
        </w:rPr>
        <w:t xml:space="preserve">Infrastructure overlap analysis shows two of the C2 IPs have been previously associated with KAMACITE campaigns.</w:t>
      </w:r>
    </w:p>
    <w:p>
      <w:pPr>
        <w:spacing w:after="100"/>
      </w:pPr>
      <w:r>
        <w:t xml:space="preserve"/>
      </w:r>
    </w:p>
    <w:p>
      <w:pPr>
        <w:spacing w:after="160" w:line="276"/>
        <w:jc w:val="both"/>
      </w:pPr>
      <w:r>
        <w:rPr>
          <w:rFonts w:ascii="Arial" w:cs="Arial" w:eastAsia="Arial" w:hAnsi="Arial"/>
          <w:b w:val="false"/>
          <w:bCs w:val="false"/>
          <w:color w:val="000000"/>
          <w:sz w:val="22"/>
          <w:szCs w:val="22"/>
        </w:rPr>
        <w:t xml:space="preserve">Design the threat intelligence product for FERROCITE that you would publish (with appropriate customer access controls) to your subscriber base. Your product must include:</w:t>
      </w:r>
    </w:p>
    <w:p>
      <w:pPr>
        <w:pStyle w:val="ListParagraph"/>
        <w:numPr>
          <w:ilvl w:val="0"/>
          <w:numId w:val="3"/>
        </w:numPr>
        <w:spacing w:after="100" w:line="276"/>
      </w:pPr>
      <w:r>
        <w:rPr>
          <w:rFonts w:ascii="Arial" w:cs="Arial" w:eastAsia="Arial" w:hAnsi="Arial"/>
          <w:sz w:val="22"/>
          <w:szCs w:val="22"/>
        </w:rPr>
        <w:t xml:space="preserve">A threat actor profile covering: group designation and naming; attribution assessment (what can be concluded from the infrastructure overlap and TTP analysis); sector and geographic targeting; assessed capability level; and confidence rating for each assessment.</w:t>
      </w:r>
    </w:p>
    <w:p>
      <w:pPr>
        <w:pStyle w:val="ListParagraph"/>
        <w:numPr>
          <w:ilvl w:val="0"/>
          <w:numId w:val="3"/>
        </w:numPr>
        <w:spacing w:after="100" w:line="276"/>
      </w:pPr>
      <w:r>
        <w:rPr>
          <w:rFonts w:ascii="Arial" w:cs="Arial" w:eastAsia="Arial" w:hAnsi="Arial"/>
          <w:sz w:val="22"/>
          <w:szCs w:val="22"/>
        </w:rPr>
        <w:t xml:space="preserve">A TTP analysis mapping all observed FERROCITE activity to MITRE ATT&amp;CK for ICS techniques, with specific technique IDs and descriptions.</w:t>
      </w:r>
    </w:p>
    <w:p>
      <w:pPr>
        <w:pStyle w:val="ListParagraph"/>
        <w:numPr>
          <w:ilvl w:val="0"/>
          <w:numId w:val="3"/>
        </w:numPr>
        <w:spacing w:after="100" w:line="276"/>
      </w:pPr>
      <w:r>
        <w:rPr>
          <w:rFonts w:ascii="Arial" w:cs="Arial" w:eastAsia="Arial" w:hAnsi="Arial"/>
          <w:sz w:val="22"/>
          <w:szCs w:val="22"/>
        </w:rPr>
        <w:t xml:space="preserve">An ICS Kill Chain analysis showing which kill chain phases FERROCITE has successfully completed in this intrusion, and which Stage 2 phases appear to be in preparation.</w:t>
      </w:r>
    </w:p>
    <w:p>
      <w:pPr>
        <w:pStyle w:val="ListParagraph"/>
        <w:numPr>
          <w:ilvl w:val="0"/>
          <w:numId w:val="3"/>
        </w:numPr>
        <w:spacing w:after="100" w:line="276"/>
      </w:pPr>
      <w:r>
        <w:rPr>
          <w:rFonts w:ascii="Arial" w:cs="Arial" w:eastAsia="Arial" w:hAnsi="Arial"/>
          <w:sz w:val="22"/>
          <w:szCs w:val="22"/>
        </w:rPr>
        <w:t xml:space="preserve">Specific detection recommendations — what specific IOCs, OT-IDS alert policies, and monitoring signatures would detect FERROCITE activity in a subscriber's OT environment?</w:t>
      </w:r>
    </w:p>
    <w:p>
      <w:pPr>
        <w:pStyle w:val="ListParagraph"/>
        <w:numPr>
          <w:ilvl w:val="0"/>
          <w:numId w:val="3"/>
        </w:numPr>
        <w:spacing w:after="100" w:line="276"/>
      </w:pPr>
      <w:r>
        <w:rPr>
          <w:rFonts w:ascii="Arial" w:cs="Arial" w:eastAsia="Arial" w:hAnsi="Arial"/>
          <w:sz w:val="22"/>
          <w:szCs w:val="22"/>
        </w:rPr>
        <w:t xml:space="preserve">A risk assessment implication — how should subscribers update their OT security risk assessments in light of the FERROCITE discovery? Which sector, geography, and technology profile organisations face the highest likelihood elevation?</w:t>
      </w:r>
    </w:p>
    <w:p>
      <w:pPr>
        <w:pStyle w:val="Heading3"/>
        <w:spacing w:after="120" w:before="220"/>
      </w:pPr>
      <w:r>
        <w:rPr>
          <w:rFonts w:ascii="Arial" w:cs="Arial" w:eastAsia="Arial" w:hAnsi="Arial"/>
          <w:b/>
          <w:bCs/>
          <w:color w:val="1F3864"/>
          <w:sz w:val="23"/>
          <w:szCs w:val="23"/>
        </w:rPr>
        <w:t xml:space="preserve">C3. — Comparative Threat Analysis: Designing Threat-Proportionate OT Security</w:t>
      </w:r>
    </w:p>
    <w:p>
      <w:pPr>
        <w:spacing w:after="160" w:line="276"/>
        <w:jc w:val="both"/>
      </w:pPr>
      <w:r>
        <w:rPr>
          <w:rFonts w:ascii="Arial" w:cs="Arial" w:eastAsia="Arial" w:hAnsi="Arial"/>
          <w:b w:val="false"/>
          <w:bCs w:val="false"/>
          <w:color w:val="000000"/>
          <w:sz w:val="22"/>
          <w:szCs w:val="22"/>
        </w:rPr>
        <w:t xml:space="preserve">Three industrial facilities have asked for threat-proportionate OT security programme designs — security programmes calibrated to their specific threat profile rather than generic best-practice frameworks. The three facilities are:</w:t>
      </w:r>
    </w:p>
    <w:p>
      <w:pPr>
        <w:pStyle w:val="ListParagraph"/>
        <w:numPr>
          <w:ilvl w:val="0"/>
          <w:numId w:val="2"/>
        </w:numPr>
        <w:spacing w:after="100" w:line="276"/>
      </w:pPr>
      <w:r>
        <w:rPr>
          <w:rFonts w:ascii="Arial" w:cs="Arial" w:eastAsia="Arial" w:hAnsi="Arial"/>
          <w:sz w:val="22"/>
          <w:szCs w:val="22"/>
        </w:rPr>
        <w:t xml:space="preserve">Facility A: A 500MW natural gas power station in Texas, USA, operating under NERC CIP standards. Uses GE MarkVIe DCS for turbine control, Schweitzer Engineering Laboratories (SEL) relays for generator protection, and OSIsoft PI historian. The facility is connected to the ERCOT grid. The owner is a US publicly listed energy company.</w:t>
      </w:r>
    </w:p>
    <w:p>
      <w:pPr>
        <w:pStyle w:val="ListParagraph"/>
        <w:numPr>
          <w:ilvl w:val="0"/>
          <w:numId w:val="2"/>
        </w:numPr>
        <w:spacing w:after="100" w:line="276"/>
      </w:pPr>
      <w:r>
        <w:rPr>
          <w:rFonts w:ascii="Arial" w:cs="Arial" w:eastAsia="Arial" w:hAnsi="Arial"/>
          <w:sz w:val="22"/>
          <w:szCs w:val="22"/>
        </w:rPr>
        <w:t xml:space="preserve">Facility B: A bottling plant for a regional beverage company in Germany, operating under standard German industrial safety regulations. Uses Siemens S7-1500 PLCs for bottling line control, Siemens WinCC SCADA for production monitoring, and has no OT security programme. 200 employees. Revenue €50M/year.</w:t>
      </w:r>
    </w:p>
    <w:p>
      <w:pPr>
        <w:pStyle w:val="ListParagraph"/>
        <w:numPr>
          <w:ilvl w:val="0"/>
          <w:numId w:val="2"/>
        </w:numPr>
        <w:spacing w:after="100" w:line="276"/>
      </w:pPr>
      <w:r>
        <w:rPr>
          <w:rFonts w:ascii="Arial" w:cs="Arial" w:eastAsia="Arial" w:hAnsi="Arial"/>
          <w:sz w:val="22"/>
          <w:szCs w:val="22"/>
        </w:rPr>
        <w:t xml:space="preserve">Facility C: A water treatment facility serving 800,000 people in a major Australian city, operated by a state government utility. Subject to Australian Critical Infrastructure Act 2018. Uses a legacy SCADA system (Windows XP workstations) with DNP3 RTUs at 45 pumping stations. One OT IT staff member. Budget highly constrained.</w:t>
      </w:r>
    </w:p>
    <w:p>
      <w:pPr>
        <w:spacing w:after="100"/>
      </w:pPr>
      <w:r>
        <w:t xml:space="preserve"/>
      </w:r>
    </w:p>
    <w:p>
      <w:pPr>
        <w:spacing w:after="160" w:line="276"/>
        <w:jc w:val="both"/>
      </w:pPr>
      <w:r>
        <w:rPr>
          <w:rFonts w:ascii="Arial" w:cs="Arial" w:eastAsia="Arial" w:hAnsi="Arial"/>
          <w:b w:val="false"/>
          <w:bCs w:val="false"/>
          <w:color w:val="000000"/>
          <w:sz w:val="22"/>
          <w:szCs w:val="22"/>
        </w:rPr>
        <w:t xml:space="preserve">For each facility, design a threat-proportionate OT security programme:</w:t>
      </w:r>
    </w:p>
    <w:p>
      <w:pPr>
        <w:pStyle w:val="ListParagraph"/>
        <w:numPr>
          <w:ilvl w:val="0"/>
          <w:numId w:val="3"/>
        </w:numPr>
        <w:spacing w:after="100" w:line="276"/>
      </w:pPr>
      <w:r>
        <w:rPr>
          <w:rFonts w:ascii="Arial" w:cs="Arial" w:eastAsia="Arial" w:hAnsi="Arial"/>
          <w:sz w:val="22"/>
          <w:szCs w:val="22"/>
        </w:rPr>
        <w:t xml:space="preserve">Threat landscape assessment: Identify the relevant threat actor categories for each facility and assess their relative priority (primary threat, secondary threat, negligible threat). Justify your assessment with reference to the facility's sector, geography, criticality, and technology profile.</w:t>
      </w:r>
    </w:p>
    <w:p>
      <w:pPr>
        <w:pStyle w:val="ListParagraph"/>
        <w:numPr>
          <w:ilvl w:val="0"/>
          <w:numId w:val="3"/>
        </w:numPr>
        <w:spacing w:after="100" w:line="276"/>
      </w:pPr>
      <w:r>
        <w:rPr>
          <w:rFonts w:ascii="Arial" w:cs="Arial" w:eastAsia="Arial" w:hAnsi="Arial"/>
          <w:sz w:val="22"/>
          <w:szCs w:val="22"/>
        </w:rPr>
        <w:t xml:space="preserve">Kill chain focus: For each facility, identify which ICS Kill Chain phase is the most productive defensive focus — the phase where limited security resources should be concentrated to achieve the greatest risk reduction. Justify your choice.</w:t>
      </w:r>
    </w:p>
    <w:p>
      <w:pPr>
        <w:pStyle w:val="ListParagraph"/>
        <w:numPr>
          <w:ilvl w:val="0"/>
          <w:numId w:val="3"/>
        </w:numPr>
        <w:spacing w:after="100" w:line="276"/>
      </w:pPr>
      <w:r>
        <w:rPr>
          <w:rFonts w:ascii="Arial" w:cs="Arial" w:eastAsia="Arial" w:hAnsi="Arial"/>
          <w:sz w:val="22"/>
          <w:szCs w:val="22"/>
        </w:rPr>
        <w:t xml:space="preserve">Top 5 security controls: For each facility, identify the five most important security controls, in priority order, that address the specific threat profile. Explain why these five controls are more important than others for this specific facility.</w:t>
      </w:r>
    </w:p>
    <w:p>
      <w:pPr>
        <w:pStyle w:val="ListParagraph"/>
        <w:numPr>
          <w:ilvl w:val="0"/>
          <w:numId w:val="3"/>
        </w:numPr>
        <w:spacing w:after="100" w:line="276"/>
      </w:pPr>
      <w:r>
        <w:rPr>
          <w:rFonts w:ascii="Arial" w:cs="Arial" w:eastAsia="Arial" w:hAnsi="Arial"/>
          <w:sz w:val="22"/>
          <w:szCs w:val="22"/>
        </w:rPr>
        <w:t xml:space="preserve">Comparative analysis: Compare the three facilities' threat profiles and the resulting security programme designs. What are the similarities and differences? What does this comparison tell us about the importance of threat-proportionate security design versus generic frameworks?</w:t>
      </w:r>
    </w:p>
    <w:p>
      <w:r>
        <w:br w:type="page"/>
      </w:r>
    </w:p>
    <w:p>
      <w:pPr>
        <w:pStyle w:val="Heading1"/>
        <w:spacing w:after="200" w:before="400"/>
      </w:pPr>
      <w:r>
        <w:rPr>
          <w:rFonts w:ascii="Arial" w:cs="Arial" w:eastAsia="Arial" w:hAnsi="Arial"/>
          <w:b/>
          <w:bCs/>
          <w:color w:val="1F3864"/>
          <w:sz w:val="34"/>
          <w:szCs w:val="34"/>
        </w:rPr>
        <w:t xml:space="preserve">Glossary of 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Term</w:t>
            </w:r>
          </w:p>
        </w:tc>
        <w:tc>
          <w:tcPr>
            <w:tcW w:type="dxa" w:w="716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Definition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ATT&amp;CK for ICS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The MITRE ATT&amp;CK knowledge base for Industrial Control Systems — a structured matrix of adversary tactics (goals) and techniques (methods) observed in attacks against OT environments. Published and maintained by MITRE Corporation. Contains twelve tactics unique to or extended for OT environments, including Inhibit Response Function, Impair Process Control, and Impact. The authoritative vocabulary for describing OT attack techniques in threat modelling, detection engineering, and incident analysis.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CHERNOVITE</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Dragos's designation for the threat group assessed to have developed the PIPEDREAM/INCONTROLLER malware framework — the most capable publicly disclosed ICS-specific attack framework as of 2022. PIPEDREAM includes modules targeting Schneider Electric MODICON PLCs (EVILSCHOLAR), OMRON PLCs (BADOMEN), OPC-UA servers (MOUSEHOLE), and industrial network infrastructure.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ICS Kill Chain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The two-stage attack model developed by Assante and Lee (2015) for understanding OT-targeted attacks. Stage 1 covers IT-layer compromise activities (Reconnaissance through Command and Control); Stage 2 covers OT-specific attack development and execution (Stage 2 Capability Development through Physical Consequences). Extends the Lockheed Martin Cyber Kill Chain to address the dual-stage structure of OT attacks.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Initial Access Broker (IAB)</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 specialist cybercriminal who compromises organisational networks and sells that access to other criminal actors — particularly ransomware affiliates. IABs have commoditised initial access to organisational networks, enabling ransomware groups to purchase access to pre-compromised environments rather than conducting their own intrusions. Increasingly relevant to OT security as OT-adjacent IT systems are sought by criminal actors.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KAMACITE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Dragos's designation for a threat group assessed as operating in support of Sandworm, focused on gaining initial access to US and European energy sector OT environments through credential-based attacks against internet-facing systems (VPN vulnerabilities, credential stuffing). Associated with handoff of access to Sandworm and XENOTIME for Stage 2 OT exploitation.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Living Off the Land (LOTL)</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An attack technique in which adversaries exclusively use tools and capabilities already present on the target system — standard Windows utilities (net.exe, PowerShell, WMIC, netsh), legitimate remote administration tools, and built-in OS functionality — rather than deploying custom malware. Volt Typhoon's primary evasion technique. Extremely difficult to detect with signature-based security tools; requires behavioural analytics and strong baselining of legitimate administrative activity.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PIPEDREAM/INCONTROLLER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 modular ICS-specific attack framework disclosed in April 2022, assessed by Dragos (PIPEDREAM) and Mandiant (INCONTROLLER) as developed by a state-sponsored threat actor (Dragos attribution: CHERNOVITE). The first publicly disclosed malware framework capable of native interaction with Schneider Electric Modbus/UMAS, OMRON FINS, OPC-UA, and industrial network protocols. Represents the highest publicly disclosed capability level for ICS-specific attack tools.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Pre-Positioning</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 strategic approach used by nation-state threat actors — particularly Volt Typhoon — in which access to OT environments is gained and maintained for extended periods (months to years) without exploitation, with the intent to activate the access for destructive action during a future geopolitical crisis or conflict. The February 2024 CISA advisory confirmed that multiple US critical infrastructure organisations had been pre-positioned by Volt Typhoon.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Ransomware-as-a-Service (RaaS)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 criminal business model in which ransomware developers create and maintain ransomware platforms that are licensed to 'affiliate' groups who conduct intrusions. Affiliates receive 70-80% of ransom proceeds. The RaaS model has scaled the criminal ransomware industry by separating malware development expertise from network intrusion expertise, enabling both to be provided by specialists. DarkSide (Colonial Pipeline), REvil/Sodinokibi, Conti, and LockBit are major RaaS platforms.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Sandworm</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 threat actor attributed to GRU Military Unit 74455 (Russia's Main Intelligence Directorate), responsible for the most destructive cyberattacks in history including the 2015 and 2016 Ukrainian power grid attacks, NotPetya (2017), and deployment of Industroyer (2016), Industroyer2 (2022), and PIPEDREAM (2022). The paradigmatic nation-state OT threat actor — demonstrating both the willingness and capability to cause physical consequences through cyber attacks on critical infrastructure.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Threat Actor Taxonomy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The classification of OT threat actors by capability, motivation, and targeting behaviour. The principal categories for OT security are: Nation-State Tier 1 (extremely high capability, geopolitical motivation); Nation-State Tier 2 (high capability, espionage); Criminal Ransomware (medium-high capability, financial); Hacktivist (low-medium capability, ideological); Insider — Malicious (variable capability, revenge/financial/ideology); and Insider — Unintentional (no malicious intent, negligence/error).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TRITON/TRISIS</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 malware framework specifically designed to target and defeat Safety Instrumented Systems (SIS), specifically the Schneider Electric Triconex platform. Discovered at a Saudi Arabian petrochemical facility in 2017. The first confirmed malware designed to defeat safety functions — intended to allow a concurrent BPCS attack to cause a physical accident without triggering the automated safety response. Attributed to XENOTIME (Dragos) / TEMP.Veles (Mandiant), with attribution to Russia's TsNIIKhM research institute.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Volt Typhoon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 Chinese nation-state threat actor attributed to the MSS (Ministry of State Security) or MSS-affiliated contractors. Characterised by extreme operational security, living-off-the-land techniques, and multi-year pre-positioning in US and allied critical infrastructure. Confirmed by CISA (2024) to have compromised multiple US critical infrastructure organisations and assessed as pre-positioning for potential destructive action in a future US-China conflict scenario.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XENOTIME</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Dragos's designation for the threat group responsible for developing and deploying the TRITON/TRISIS malware. Attributed by Mandiant (as TEMP.Veles) to Russia's TsNIIKhM (Central Scientific Research Institute of Chemistry and Mechanics). Has been observed scanning industrial control systems in North American and Australian energy sectors since 2018. Represents the highest-consequence threat actor specifically targeting safety instrumented systems.</w:t>
            </w:r>
          </w:p>
        </w:tc>
      </w:tr>
    </w:tbl>
    <w:p>
      <w:pPr>
        <w:spacing w:after="400"/>
      </w:pPr>
      <w:r>
        <w:t xml:space="preserve"/>
      </w:r>
    </w:p>
    <w:p>
      <w:pPr>
        <w:spacing w:after="120" w:before="200"/>
        <w:jc w:val="center"/>
      </w:pPr>
      <w:r>
        <w:rPr>
          <w:rFonts w:ascii="Arial" w:cs="Arial" w:eastAsia="Arial" w:hAnsi="Arial"/>
          <w:color w:val="2E75B6"/>
          <w:sz w:val="18"/>
          <w:szCs w:val="18"/>
        </w:rPr>
        <w:t xml:space="preserve">─────────────────────────────────────────────────────────────────────────────────</w:t>
      </w:r>
    </w:p>
    <w:p>
      <w:pPr>
        <w:spacing w:after="120"/>
        <w:jc w:val="center"/>
      </w:pPr>
      <w:r>
        <w:rPr>
          <w:rFonts w:ascii="Arial" w:cs="Arial" w:eastAsia="Arial" w:hAnsi="Arial"/>
          <w:b/>
          <w:bCs/>
          <w:i/>
          <w:iCs/>
          <w:color w:val="1F3864"/>
          <w:sz w:val="24"/>
          <w:szCs w:val="24"/>
        </w:rPr>
        <w:t xml:space="preserve">End of Chapter 2</w:t>
      </w:r>
    </w:p>
    <w:p>
      <w:pPr>
        <w:spacing w:after="80"/>
        <w:jc w:val="center"/>
      </w:pPr>
      <w:r>
        <w:rPr>
          <w:rFonts w:ascii="Arial" w:cs="Arial" w:eastAsia="Arial" w:hAnsi="Arial"/>
          <w:i/>
          <w:iCs/>
          <w:color w:val="2E75B6"/>
          <w:sz w:val="20"/>
          <w:szCs w:val="20"/>
        </w:rPr>
        <w:t xml:space="preserve">Proceed to Chapter 3: Consequence Analysis</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spacing w:before="120"/>
    </w:pPr>
    <w:r>
      <w:rPr>
        <w:rFonts w:ascii="Arial" w:cs="Arial" w:eastAsia="Arial" w:hAnsi="Arial"/>
        <w:color w:val="2E75B6"/>
        <w:sz w:val="18"/>
        <w:szCs w:val="18"/>
      </w:rPr>
      <w:t xml:space="preserve">PART I: Foundations</w:t>
    </w:r>
    <w:r>
      <w:rPr>
        <w:rFonts w:ascii="Arial" w:cs="Arial" w:eastAsia="Arial" w:hAnsi="Arial"/>
        <w:sz w:val="18"/>
        <w:szCs w:val="18"/>
      </w:rPr>
      <w:t xml:space="preserve">	</w:t>
    </w:r>
    <w:r>
      <w:rPr>
        <w:rFonts w:ascii="Arial" w:cs="Arial" w:eastAsia="Arial" w:hAnsi="Arial"/>
        <w:color w:val="2E75B6"/>
        <w:sz w:val="18"/>
        <w:szCs w:val="18"/>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spacing w:after="120"/>
    </w:pPr>
    <w:r>
      <w:rPr>
        <w:rFonts w:ascii="Arial" w:cs="Arial" w:eastAsia="Arial" w:hAnsi="Arial"/>
        <w:i/>
        <w:iCs/>
        <w:color w:val="2E75B6"/>
        <w:sz w:val="18"/>
        <w:szCs w:val="18"/>
      </w:rPr>
      <w:t xml:space="preserve">Chapter 2: The OT Threat Landscape and Threat Actor Taxonomy</w:t>
    </w:r>
    <w:r>
      <w:rPr>
        <w:rFonts w:ascii="Arial" w:cs="Arial" w:eastAsia="Arial" w:hAnsi="Arial"/>
        <w:sz w:val="18"/>
        <w:szCs w:val="18"/>
      </w:rPr>
      <w:t xml:space="preserve">	</w:t>
    </w:r>
    <w:r>
      <w:rPr>
        <w:rFonts w:ascii="Arial" w:cs="Arial" w:eastAsia="Arial" w:hAnsi="Arial"/>
        <w:i/>
        <w:iCs/>
        <w:color w:val="2E75B6"/>
        <w:sz w:val="18"/>
        <w:szCs w:val="18"/>
      </w:rPr>
      <w:t xml:space="preserve">Risk Analysis and Assessment — Third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4"/>
      <w:szCs w:val="34"/>
    </w:rPr>
  </w:style>
  <w:style w:type="paragraph" w:styleId="Heading2">
    <w:name w:val="Heading 2"/>
    <w:basedOn w:val="Normal"/>
    <w:next w:val="Normal"/>
    <w:qFormat/>
    <w:pPr>
      <w:spacing w:after="160" w:before="300"/>
      <w:outlineLvl w:val="1"/>
    </w:pPr>
    <w:rPr>
      <w:rFonts w:ascii="Arial" w:cs="Arial" w:eastAsia="Arial" w:hAnsi="Arial"/>
      <w:b/>
      <w:bCs/>
      <w:color w:val="2E75B6"/>
      <w:sz w:val="27"/>
      <w:szCs w:val="27"/>
    </w:rPr>
  </w:style>
  <w:style w:type="paragraph" w:styleId="Heading3">
    <w:name w:val="Heading 3"/>
    <w:basedOn w:val="Normal"/>
    <w:next w:val="Normal"/>
    <w:qFormat/>
    <w:pPr>
      <w:spacing w:after="120" w:before="220"/>
      <w:outlineLvl w:val="2"/>
    </w:pPr>
    <w:rPr>
      <w:rFonts w:ascii="Arial" w:cs="Arial" w:eastAsia="Arial" w:hAnsi="Arial"/>
      <w:b/>
      <w:bCs/>
      <w:color w:val="1F3864"/>
      <w:sz w:val="23"/>
      <w:szCs w:val="23"/>
    </w:rPr>
  </w:style>
  <w:style w:type="paragraph" w:styleId="Heading4">
    <w:name w:val="Heading 4"/>
    <w:basedOn w:val="Normal"/>
    <w:next w:val="Normal"/>
    <w:qFormat/>
    <w:pPr>
      <w:spacing w:after="100" w:before="180"/>
      <w:outlineLvl w:val="3"/>
    </w:pPr>
    <w:rPr>
      <w:rFonts w:ascii="Arial" w:cs="Arial" w:eastAsia="Arial" w:hAnsi="Arial"/>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2026-05-14T02:38:49.936Z</dcterms:created>
  <dcterms:modified xsi:type="dcterms:W3CDTF">2026-05-14T02:38:49.950Z</dcterms:modified>
</cp:coreProperties>
</file>

<file path=docProps/custom.xml><?xml version="1.0" encoding="utf-8"?>
<Properties xmlns="http://schemas.openxmlformats.org/officeDocument/2006/custom-properties" xmlns:vt="http://schemas.openxmlformats.org/officeDocument/2006/docPropsVTypes"/>
</file>