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0"/>
          <w:szCs w:val="40"/>
        </w:rPr>
        <w:t xml:space="preserve">RISK ANALYSIS AND ASSESSMENT</w:t>
      </w:r>
    </w:p>
    <w:p>
      <w:pPr>
        <w:spacing w:after="80"/>
        <w:jc w:val="center"/>
      </w:pPr>
      <w:r>
        <w:rPr>
          <w:rFonts w:ascii="Arial" w:cs="Arial" w:eastAsia="Arial" w:hAnsi="Arial"/>
          <w:i/>
          <w:iCs/>
          <w:color w:val="2E75B6"/>
          <w:sz w:val="28"/>
          <w:szCs w:val="28"/>
        </w:rPr>
        <w:t xml:space="preserve">Third Edition</w:t>
      </w:r>
    </w:p>
    <w:p>
      <w:pPr>
        <w:spacing w:after="400"/>
      </w:pPr>
      <w:r>
        <w:t xml:space="preserve"/>
      </w:r>
    </w:p>
    <w:p>
      <w:pPr>
        <w:spacing w:after="80"/>
        <w:jc w:val="center"/>
      </w:pPr>
      <w:r>
        <w:rPr>
          <w:rFonts w:ascii="Arial" w:cs="Arial" w:eastAsia="Arial" w:hAnsi="Arial"/>
          <w:b/>
          <w:bCs/>
          <w:color w:val="2E75B6"/>
          <w:sz w:val="24"/>
          <w:szCs w:val="24"/>
        </w:rPr>
        <w:t xml:space="preserve">PART III: CSMS IMPLEMENTATION AND MONITORING</w:t>
      </w:r>
    </w:p>
    <w:p>
      <w:pPr>
        <w:spacing w:after="800"/>
      </w:pPr>
      <w:r>
        <w:t xml:space="preserve"/>
      </w:r>
    </w:p>
    <w:p>
      <w:pPr>
        <w:spacing w:after="80"/>
        <w:jc w:val="center"/>
      </w:pPr>
      <w:r>
        <w:rPr>
          <w:rFonts w:ascii="Arial" w:cs="Arial" w:eastAsia="Arial" w:hAnsi="Arial"/>
          <w:b/>
          <w:bCs/>
          <w:color w:val="1F3864"/>
          <w:sz w:val="50"/>
          <w:szCs w:val="50"/>
        </w:rPr>
        <w:t xml:space="preserve">CHAPTER 14</w:t>
      </w:r>
    </w:p>
    <w:p>
      <w:pPr>
        <w:spacing w:after="80"/>
        <w:jc w:val="center"/>
      </w:pPr>
      <w:r>
        <w:rPr>
          <w:rFonts w:ascii="Arial" w:cs="Arial" w:eastAsia="Arial" w:hAnsi="Arial"/>
          <w:b/>
          <w:bCs/>
          <w:color w:val="1F3864"/>
          <w:sz w:val="36"/>
          <w:szCs w:val="36"/>
        </w:rPr>
        <w:t xml:space="preserve">Monitoring, Measurement, and Continuous Improvement</w:t>
      </w:r>
    </w:p>
    <w:p>
      <w:pPr>
        <w:spacing w:after="160"/>
        <w:jc w:val="center"/>
      </w:pPr>
      <w:r>
        <w:rPr>
          <w:rFonts w:ascii="Arial" w:cs="Arial" w:eastAsia="Arial" w:hAnsi="Arial"/>
          <w:i/>
          <w:iCs/>
          <w:color w:val="2E75B6"/>
          <w:sz w:val="22"/>
          <w:szCs w:val="22"/>
        </w:rPr>
        <w:t xml:space="preserve">Closing the Loop — From Security Performance Data to Demonstrated, Sustained Risk Reduction</w:t>
      </w:r>
    </w:p>
    <w:p>
      <w:r>
        <w:br w:type="page"/>
      </w:r>
    </w:p>
    <w:p>
      <w:pPr>
        <w:spacing w:after="160" w:before="200"/>
      </w:pPr>
      <w:r>
        <w:rPr>
          <w:rFonts w:ascii="Arial" w:cs="Arial" w:eastAsia="Arial" w:hAnsi="Arial"/>
          <w:b/>
          <w:bCs/>
          <w:color w:val="1F3864"/>
          <w:sz w:val="30"/>
          <w:szCs w:val="30"/>
        </w:rPr>
        <w:t xml:space="preserve">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completion of this chapter, the student will be able 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Explain the theoretical and regulatory basis for monitoring and measurement within the CSMS, distinguishing between leading and lagging indicators of OT security performance, and critically evaluating the limitations of each indicator class as a basis for management decision-making.</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2.  Design a comprehensive OT security Key Performance Indicator (KPI) framework — covering both process metrics and outcome metrics — that provides actionable management information, is practically measurable in an industrial OT environment, and directly supports the management review process required by IEC 62443-2-1 §4.4.3.</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3.  Design and execute an OT security audit programme — including internal audit, gap assessment against IEC 62443-2-1 and IEC 62443-3-3, and third-party audit — specifying the audit methodology, evidence requirements, finding classification, and corrective action management process.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4.  Explain the IEC 62443-2-1 reassessment trigger framework and design a reassessment programme for a realistic industrial OT environment, distinguishing between periodic reassessment and event-triggered reassessment, and specifying the criteria that determine the scope and depth of each reassessment type.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5.  Apply the Plan-Do-Check-Act (PDCA) continuous improvement cycle to the CSMS, explaining how each element of the cycle is implemented in OT security management and how the outputs of the monitoring, audit, and reassessment processes feed the improvement planning and prioritisation process.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6.  Design the management review process required by IEC 62443-2-1 §4.4.3, specifying the agenda, the data inputs, the decisions required, and the outputs — and evaluate the conditions under which the management review is effective as a governance mechanism versus the conditions under which it degrades into a compliance exercise.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7.  Critically evaluate the concept of CSMS maturity — using established maturity models (ISA-62443, C2M2, CMMI) — and apply a maturity assessment to a realistic industrial facility, producing a maturity profile, a gap analysis, and a maturity improvement roadmap aligned to the facility's risk profile and regulatory obligations.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8.  Synthesise the complete CSMS lifecycle — from risk assessment (Parts I and II) through governance (Chapter 11), technical controls (Chapter 12), operational processes (Chapter 13), and monitoring and improvement (Chapter 14) — into an integrated framework that demonstrates how each component contributes to the overarching objective of sustained, demonstrable reduction of OT security risk.</w:t>
            </w:r>
          </w:p>
        </w:tc>
      </w:tr>
    </w:tbl>
    <w:p>
      <w:pPr>
        <w:spacing w:after="400"/>
      </w:pPr>
      <w:r>
        <w:t xml:space="preserve"/>
      </w:r>
    </w:p>
    <w:p>
      <w:pPr>
        <w:pStyle w:val="Heading1"/>
        <w:spacing w:after="200" w:before="400"/>
      </w:pPr>
      <w:r>
        <w:rPr>
          <w:rFonts w:ascii="Arial" w:cs="Arial" w:eastAsia="Arial" w:hAnsi="Arial"/>
          <w:b/>
          <w:bCs/>
          <w:color w:val="1F3864"/>
          <w:sz w:val="34"/>
          <w:szCs w:val="34"/>
        </w:rPr>
        <w:t xml:space="preserve">14.1  Introduction: Why Monitoring and Measurement Are Non-Negotiable</w:t>
      </w:r>
    </w:p>
    <w:p>
      <w:pPr>
        <w:spacing w:after="160" w:line="276"/>
        <w:jc w:val="both"/>
      </w:pPr>
      <w:r>
        <w:rPr>
          <w:rFonts w:ascii="Arial" w:cs="Arial" w:eastAsia="Arial" w:hAnsi="Arial"/>
          <w:b w:val="false"/>
          <w:bCs w:val="false"/>
          <w:color w:val="000000"/>
          <w:sz w:val="22"/>
          <w:szCs w:val="22"/>
        </w:rPr>
        <w:t xml:space="preserve">The preceding chapters of Part III have established the three operational layers of the CSMS: governance and policy (Chapter 11), technical countermeasures (Chapter 12), and operational security processes (Chapter 13). These three layers, taken together, constitute the mechanisms through which OT security risk is identified, managed, and controlled. But a mechanism, however well designed, does not guarantee an outcome. The security policy may be comprehensive but unenforced. The technical controls may be correctly specified but misconfigured in deployment. The incident response plan may be thorough but unpractised. The vendor access management programme may be defined but inconsistently applied. Without a systematic mechanism for measuring whether the CSMS is performing as intended — for detecting the gap between the designed security posture and the actual security posture — there is no reliable basis for asserting that OT security risk is being managed effectively.</w:t>
      </w:r>
    </w:p>
    <w:p>
      <w:pPr>
        <w:spacing w:after="160" w:line="276"/>
        <w:jc w:val="both"/>
      </w:pPr>
      <w:r>
        <w:rPr>
          <w:rFonts w:ascii="Arial" w:cs="Arial" w:eastAsia="Arial" w:hAnsi="Arial"/>
          <w:b w:val="false"/>
          <w:bCs w:val="false"/>
          <w:color w:val="000000"/>
          <w:sz w:val="22"/>
          <w:szCs w:val="22"/>
        </w:rPr>
        <w:t xml:space="preserve">This chapter addresses IEC 62443-2-1 Category 3 (Monitoring and Improving the CSMS), which is the feedback and improvement component of the CSMS framework. Category 3 requires the organisation to monitor CSMS performance, conduct internal audits, manage corrective actions, and conduct management reviews — creating the closed-loop system that converts operational experience into sustained improvement. The Category 3 requirements are not bureaucratic additions to an otherwise complete security management system; they are the mechanisms by which the CSMS learns from its own operation and remains calibrated to a threat landscape and operational context that are continuously changing.</w:t>
      </w:r>
    </w:p>
    <w:p>
      <w:pPr>
        <w:spacing w:after="160" w:line="276"/>
        <w:jc w:val="both"/>
      </w:pPr>
      <w:r>
        <w:rPr>
          <w:rFonts w:ascii="Arial" w:cs="Arial" w:eastAsia="Arial" w:hAnsi="Arial"/>
          <w:b w:val="false"/>
          <w:bCs w:val="false"/>
          <w:color w:val="000000"/>
          <w:sz w:val="22"/>
          <w:szCs w:val="22"/>
        </w:rPr>
        <w:t xml:space="preserve">The theoretical foundation for this chapter is the Plan-Do-Check-Act (PDCA) cycle, first articulated by Deming (1986) and subsequently adopted as the structural framework for all major management system standards — ISO 9001 (quality), ISO 14001 (environment), ISO 45001 (occupational health and safety), and ISO 27001 (information security). The PDCA cycle posits that a management system is not a static set of controls but a dynamic process of planning, execution, measurement, and improvement. Applied to the CSMS: Plan corresponds to risk assessment and treatment planning (Parts I, II, and Chapter 11); Do corresponds to technical control implementation and operational process execution (Chapters 12 and 13); Check corresponds to the monitoring, measurement, and audit processes of this chapter; and Act corresponds to the management review and improvement planning processes through which Check findings are converted into CSMS enhancements.</w:t>
      </w:r>
    </w:p>
    <w:p>
      <w:pPr>
        <w:spacing w:after="160" w:line="276"/>
        <w:jc w:val="both"/>
      </w:pPr>
      <w:r>
        <w:rPr>
          <w:rFonts w:ascii="Arial" w:cs="Arial" w:eastAsia="Arial" w:hAnsi="Arial"/>
          <w:b w:val="false"/>
          <w:bCs w:val="false"/>
          <w:color w:val="000000"/>
          <w:sz w:val="22"/>
          <w:szCs w:val="22"/>
        </w:rPr>
        <w:t xml:space="preserve">The chapter is structured around five interrelated monitoring and improvement processes: KPI design and measurement (Section 14.2), which provides the quantitative evidence base for CSMS performance assessment; the OT security audit programme (Section 14.3), which provides the independent, structured assessment of CSMS conformance; the reassessment trigger framework (Section 14.4), which determines when and how the risk assessment must be refreshed; the management review process (Section 14.5), which provides the governance forum in which monitoring data is converted into management decisions; and CSMS maturity assessment (Section 14.6), which provides the strategic framework for understanding where the CSMS is in its development and what the improvement trajectory should be. The chapter concludes with the Sunrise Refinery worked example at Month 24 (Section 14.7) — the point at which the CSMS has completed its first full operational cycle and is conducting its first comprehensive review.</w:t>
      </w:r>
    </w:p>
    <w:p>
      <w:pPr>
        <w:spacing w:after="160" w:line="276"/>
        <w:jc w:val="both"/>
      </w:pPr>
      <w:r>
        <w:rPr>
          <w:rFonts w:ascii="Arial" w:cs="Arial" w:eastAsia="Arial" w:hAnsi="Arial"/>
          <w:b w:val="false"/>
          <w:bCs w:val="false"/>
          <w:color w:val="000000"/>
          <w:sz w:val="22"/>
          <w:szCs w:val="22"/>
        </w:rPr>
        <w:t xml:space="preserve">A note on the nature of OT security measurement: unlike many engineering disciplines, OT security does not have a precise quantitative metric that unambiguously represents security posture. Unlike uptime (which is precisely measurable), security is an absence — the absence of successful attacks, the absence of undetected compromises, the absence of control failures. Measuring an absence is inherently more difficult than measuring a presence. The KPI frameworks and audit methodologies developed in this chapter do not claim to provide a precise measurement of security — they provide the best available proxies for security effectiveness, with the limitations of those proxies clearly acknowledged. The intellectual honesty to acknowledge measurement limitations while still using the best available measures is a hallmark of rigorous security management.</w:t>
      </w:r>
    </w:p>
    <w:p>
      <w:r>
        <w:br w:type="page"/>
      </w:r>
    </w:p>
    <w:p>
      <w:pPr>
        <w:pStyle w:val="Heading1"/>
        <w:spacing w:after="200" w:before="400"/>
      </w:pPr>
      <w:r>
        <w:rPr>
          <w:rFonts w:ascii="Arial" w:cs="Arial" w:eastAsia="Arial" w:hAnsi="Arial"/>
          <w:b/>
          <w:bCs/>
          <w:color w:val="1F3864"/>
          <w:sz w:val="34"/>
          <w:szCs w:val="34"/>
        </w:rPr>
        <w:t xml:space="preserve">14.2  Designing the OT Security KPI Framework</w:t>
      </w:r>
    </w:p>
    <w:p>
      <w:pPr>
        <w:spacing w:after="160" w:line="276"/>
        <w:jc w:val="both"/>
      </w:pPr>
      <w:r>
        <w:rPr>
          <w:rFonts w:ascii="Arial" w:cs="Arial" w:eastAsia="Arial" w:hAnsi="Arial"/>
          <w:b w:val="false"/>
          <w:bCs w:val="false"/>
          <w:color w:val="000000"/>
          <w:sz w:val="22"/>
          <w:szCs w:val="22"/>
        </w:rPr>
        <w:t xml:space="preserve">Key Performance Indicators (KPIs) are quantitative or qualitative measures that provide management information about the performance of a process, programme, or system. In the CSMS context, OT security KPIs serve two distinct but related purposes: they provide the management information needed to make resource allocation decisions (where should the CSMS programme invest its limited resources to achieve the greatest security improvement?); and they provide the evidence needed to demonstrate to boards, regulators, and insurers that the CSMS is performing as intended (what is the objective basis for asserting that OT security risk is being managed effectively?).</w:t>
      </w:r>
    </w:p>
    <w:p>
      <w:pPr>
        <w:spacing w:after="160" w:line="276"/>
        <w:jc w:val="both"/>
      </w:pPr>
      <w:r>
        <w:rPr>
          <w:rFonts w:ascii="Arial" w:cs="Arial" w:eastAsia="Arial" w:hAnsi="Arial"/>
          <w:b w:val="false"/>
          <w:bCs w:val="false"/>
          <w:color w:val="000000"/>
          <w:sz w:val="22"/>
          <w:szCs w:val="22"/>
        </w:rPr>
        <w:t xml:space="preserve">The design of an effective OT security KPI framework must address two fundamental tensions in security measurement. The first is the tension between leading and lagging indicators. Lagging indicators measure outcomes — security incidents that occurred, vulnerabilities that were exploited, controls that failed. They are accurate (what happened is a fact) but historically oriented — they measure failure after it has occurred. Leading indicators measure inputs and process performance — patch compliance rates, training completion rates, audit findings — that are predictive of future security outcomes. They are forward-looking but indirect — a high patch compliance rate does not guarantee that no exploitation will occur, only that the attack surface is smaller. Effective KPI frameworks combine both: leading indicators for management of the security programme; lagging indicators for assessment of security outcomes.</w:t>
      </w:r>
    </w:p>
    <w:p>
      <w:pPr>
        <w:spacing w:after="160" w:line="276"/>
        <w:jc w:val="both"/>
      </w:pPr>
      <w:r>
        <w:rPr>
          <w:rFonts w:ascii="Arial" w:cs="Arial" w:eastAsia="Arial" w:hAnsi="Arial"/>
          <w:b w:val="false"/>
          <w:bCs w:val="false"/>
          <w:color w:val="000000"/>
          <w:sz w:val="22"/>
          <w:szCs w:val="22"/>
        </w:rPr>
        <w:t xml:space="preserve">The second tension is between comprehensiveness and practicality. A KPI framework that measures every conceivable dimension of OT security performance will produce so much data that no one reads it — and data that is not read does not improve decisions. The KPI framework must be designed to produce the minimum set of measures that provides maximum insight — typically 8–15 KPIs at the executive level, supported by a larger number of operational metrics at the programme management level.</w:t>
      </w:r>
    </w:p>
    <w:p>
      <w:pPr>
        <w:pStyle w:val="Heading2"/>
        <w:spacing w:after="160" w:before="300"/>
      </w:pPr>
      <w:r>
        <w:rPr>
          <w:rFonts w:ascii="Arial" w:cs="Arial" w:eastAsia="Arial" w:hAnsi="Arial"/>
          <w:b/>
          <w:bCs/>
          <w:color w:val="2E75B6"/>
          <w:sz w:val="27"/>
          <w:szCs w:val="27"/>
        </w:rPr>
        <w:t xml:space="preserve">14.2.1  Leading and Lagging Indicators — A Conceptual Framework</w:t>
      </w:r>
    </w:p>
    <w:p>
      <w:pPr>
        <w:spacing w:after="160" w:line="276"/>
        <w:jc w:val="both"/>
      </w:pPr>
      <w:r>
        <w:rPr>
          <w:rFonts w:ascii="Arial" w:cs="Arial" w:eastAsia="Arial" w:hAnsi="Arial"/>
          <w:b w:val="false"/>
          <w:bCs w:val="false"/>
          <w:color w:val="000000"/>
          <w:sz w:val="22"/>
          <w:szCs w:val="22"/>
        </w:rPr>
        <w:t xml:space="preserve">The distinction between leading and lagging indicators in security measurement was first clearly articulated in the occupational health and safety literature (Hopkins, 2009; Manuele, 2009) and has been directly adopted into the OT security measurement community. The analogy is instructive: in process safety, lagging indicators (injury rates, incidents, near-misses) tell you what has already gone wrong; leading indicators (safety walk frequencies, audit compliance rates, safety observation rates) predict what will go wrong if not addressed. The same logic applies to OT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1980"/>
        <w:gridCol w:w="1980"/>
      </w:tblGrid>
      <w:tr>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Indicator Class</w:t>
            </w:r>
          </w:p>
        </w:tc>
        <w:tc>
          <w:tcPr>
            <w:tcW w:type="dxa" w:w="3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c>
          <w:tcPr>
            <w:tcW w:type="dxa" w:w="19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Strengths</w:t>
            </w:r>
          </w:p>
        </w:tc>
        <w:tc>
          <w:tcPr>
            <w:tcW w:type="dxa" w:w="19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Limitations</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LAGGING INDICATORS
(Outcome Metrics)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Number of OT security incidents per quarter; Mean time to detect (MTTD) OT security events; Mean time to respond (MTTR) to OT incidents; Number of successful unauthorised access events; Number of confirmed malware introductions; Number of unplanned OT downtime events attributed to security causes; Regulatory findings and enforcement actions.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Precisely measurable; factual record of security failures; directly relevant to consequence assessment; credible to boards and regulators.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Historically oriented — measure failure after it occurs; low-frequency events produce statistically unreliable trends; absence of incidents may reflect good security or good luck; cannot distinguish 'no incidents because well protected' from 'no incidents because attacks are slow'.</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 INDICATORS
(Process Metrics)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Patch compliance rate (% of systems patched within required timeframe); Vulnerability remediation velocity; Training completion rate by role; OT-IDS alert response time; Change management compliance rate (% of changes with completed security review); Vendor access compliance rate (% of vendor sessions through PAM); Physical access review completion rate; Incident response plan test frequency.</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Forward-looking — indicate future security posture; actionable — specific process failures can be identified and corrected; measurable at higher frequency than incident rates; enable root cause analysis before failure.</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Indirect — process compliance does not guarantee outcome; can be gamed (completing training without learning; closing alerts without investigation); require calibration to be meaningful; may not capture novel threats outside measured process.</w:t>
            </w:r>
          </w:p>
        </w:tc>
      </w:tr>
    </w:tbl>
    <w:p>
      <w:pPr>
        <w:spacing w:after="220" w:before="80"/>
        <w:jc w:val="center"/>
      </w:pPr>
      <w:r>
        <w:rPr>
          <w:rFonts w:ascii="Arial" w:cs="Arial" w:eastAsia="Arial" w:hAnsi="Arial"/>
          <w:b/>
          <w:bCs/>
          <w:i/>
          <w:iCs/>
          <w:color w:val="1F3864"/>
          <w:sz w:val="20"/>
          <w:szCs w:val="20"/>
        </w:rPr>
        <w:t xml:space="preserve">Table 14.1: Leading and Lagging OT Security Indicators — Comparison</w:t>
      </w:r>
    </w:p>
    <w:p>
      <w:pPr>
        <w:spacing w:after="200"/>
      </w:pPr>
      <w:r>
        <w:t xml:space="preserve"/>
      </w:r>
    </w:p>
    <w:p>
      <w:pPr>
        <w:pStyle w:val="Heading2"/>
        <w:spacing w:after="160" w:before="300"/>
      </w:pPr>
      <w:r>
        <w:rPr>
          <w:rFonts w:ascii="Arial" w:cs="Arial" w:eastAsia="Arial" w:hAnsi="Arial"/>
          <w:b/>
          <w:bCs/>
          <w:color w:val="2E75B6"/>
          <w:sz w:val="27"/>
          <w:szCs w:val="27"/>
        </w:rPr>
        <w:t xml:space="preserve">14.2.2  The OT Security KPI Framework — Executive Dashboard</w:t>
      </w:r>
    </w:p>
    <w:p>
      <w:pPr>
        <w:spacing w:after="160" w:line="276"/>
        <w:jc w:val="both"/>
      </w:pPr>
      <w:r>
        <w:rPr>
          <w:rFonts w:ascii="Arial" w:cs="Arial" w:eastAsia="Arial" w:hAnsi="Arial"/>
          <w:b w:val="false"/>
          <w:bCs w:val="false"/>
          <w:color w:val="000000"/>
          <w:sz w:val="22"/>
          <w:szCs w:val="22"/>
        </w:rPr>
        <w:t xml:space="preserve">The following KPI framework provides the recommended executive-level dashboard for an OT security programme at a major industrial facility. The framework is structured around the five CSMS domains addressed in Chapters 11–13, ensuring that the measurement framework is aligned with the management framework it is intended to assess. Each KPI is defined with a precise measurement methodology, a target value, and a reporting frequency — the three elements required for a KPI to be operationally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800"/>
        <w:gridCol w:w="2200"/>
        <w:gridCol w:w="700"/>
        <w:gridCol w:w="600"/>
        <w:gridCol w:w="960"/>
      </w:tblGrid>
      <w:tr>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ID</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Name</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 / Measurement</w:t>
            </w:r>
          </w:p>
        </w:tc>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w:t>
            </w:r>
          </w:p>
        </w:tc>
        <w:tc>
          <w:tcPr>
            <w:tcW w:type="dxa" w:w="9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GOVERNANCE &amp; POLICY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KPI-G1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Management Review Completion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of scheduled management reviews completed on time and with all required inputs (risk register, KPI dashboard, incident summary, regulatory update).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Quarterly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KPI-G2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Policy Currency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of Tier 2 policies reviewed within their defined review cycle (annual) and formally re-approved by the policy owner.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Annual</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KPI-G3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Risk Acceptance Timeliness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Average days from risk identification to documented risk acceptance or treatment authorisation for CRITICAL and HIGH risks.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30 days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Quarterly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sz w:val="18"/>
                <w:szCs w:val="18"/>
              </w:rPr>
              <w:t xml:space="preserve">RISK &amp; VULNERABILITY</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KPI-R1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Patch Compliance — CRITICAL/Emergency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of systems with CRITICAL/Emergency-classified patches applied within the required timeframe (72 hours / 30 days respectively).</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 Emergency; ≥ 95% Critical</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Monthly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KPI-R2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Patch Compliance —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of systems with HIGH-classified patches applied within the 90-day required timeframe.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90%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Monthly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KPI-R3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Unmitigated CRITICAL Risk Count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Number of risk register items classified CRITICAL with no approved treatment plan or documented risk acceptance.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Monthly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KPI-R4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Mean Vulnerability 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Average age (days) of open, unmitigated vulnerabilities in the OT environment, weighted by CVSS 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90 days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Monthly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18"/>
                <w:szCs w:val="18"/>
              </w:rPr>
              <w:t xml:space="preserve">TECHNICAL CONTROLS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KPI-T1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OT-IDS Alert Response Time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Mean time from OT-IDS alert generation to analyst acknowledgement, by severity level (SEV 1/2/3/4).</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SEV 1: ≤15 min; SEV 2: ≤30 min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Monthly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KPI-T2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False Positive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of OT-IDS alerts classified as false positives after investigation. High false positive rate indicates alert policy tuning required.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20%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Monthly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KPI-T3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Remote Access MFA Compliance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of remote access sessions to OT systems authenticated with MFA. Any session without MFA is a policy violation.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Monthly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KPI-T4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Unauthorised Device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Number of new devices detected by OT-IDS that were not in the authorised asset inventory at time of detection.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 (all new devices through change management)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Monthly</w:t>
            </w:r>
          </w:p>
        </w:tc>
        <w:tc>
          <w:tcPr>
            <w:tcW w:type="dxa" w:w="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Lagging</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left"/>
            </w:pPr>
            <w:r>
              <w:rPr>
                <w:rFonts w:ascii="Arial" w:cs="Arial" w:eastAsia="Arial" w:hAnsi="Arial"/>
                <w:b/>
                <w:bCs/>
                <w:sz w:val="18"/>
                <w:szCs w:val="18"/>
              </w:rPr>
              <w:t xml:space="preserve">OPERATIONAL PROCESSES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KPI-O1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Change Management Compliance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of OT changes (as detected through configuration monitoring) that followed the formal change management process (had an approved RFC before implementation).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98%</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Monthly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KPI-O2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Vendor Access 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of vendor remote access sessions conducted through the approved PAM solution (as opposed to direct VPN sessions without PAM brokering).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Monthly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KPI-O3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Training Completion 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of CSMS role holders with current, completed security training (within the required annual training cycle).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Quarterly</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KPI-O4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Incident Response Drill Frequency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Number of incident response exercises (tabletop or higher) conducted in the period, against the exercise programme target.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2 per year (tabletop min)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Semi-annual</w:t>
            </w:r>
          </w:p>
        </w:tc>
        <w:tc>
          <w:tcPr>
            <w:tcW w:type="dxa" w:w="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Leading</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left"/>
            </w:pPr>
            <w:r>
              <w:rPr>
                <w:rFonts w:ascii="Arial" w:cs="Arial" w:eastAsia="Arial" w:hAnsi="Arial"/>
                <w:b/>
                <w:bCs/>
                <w:sz w:val="18"/>
                <w:szCs w:val="18"/>
              </w:rPr>
              <w:t xml:space="preserve">SECURITY OUTCOMES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KPI-S1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OT Security Incident 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Number of confirmed OT security incidents per quarter, classified by severity level (SEV 1/2/3/4).</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 SEV 1; 0 SEV 2; trend ↓ for SEV 3/4</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Quarterly</w:t>
            </w:r>
          </w:p>
        </w:tc>
        <w:tc>
          <w:tcPr>
            <w:tcW w:type="dxa" w:w="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Lagging</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KPI-S2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Mean Time to Detect (MTTD)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Average time from the estimated start of a security event to confirmed detection, for confirmed OT security incidents.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4 hours for SEV 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Quarterly</w:t>
            </w:r>
          </w:p>
        </w:tc>
        <w:tc>
          <w:tcPr>
            <w:tcW w:type="dxa" w:w="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Lagging</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KPI-S3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Mean Time to Respond (MTTR)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Average time from detection to containment completion for confirmed OT security incidents, by severity level.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SEV 1: &lt; 4 hours; SEV 2: &lt; 24 hours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Quarterly</w:t>
            </w:r>
          </w:p>
        </w:tc>
        <w:tc>
          <w:tcPr>
            <w:tcW w:type="dxa" w:w="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Lagging</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KPI-S4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OT Unplanned Downtime (Security-Attributed)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Hours of OT system unplanned downtime attributed to confirmed or suspected security causes, per quarter.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Quarterly</w:t>
            </w:r>
          </w:p>
        </w:tc>
        <w:tc>
          <w:tcPr>
            <w:tcW w:type="dxa" w:w="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Lagging</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left"/>
            </w:pPr>
            <w:r>
              <w:rPr>
                <w:rFonts w:ascii="Arial" w:cs="Arial" w:eastAsia="Arial" w:hAnsi="Arial"/>
                <w:b/>
                <w:bCs/>
                <w:sz w:val="18"/>
                <w:szCs w:val="18"/>
              </w:rPr>
              <w:t xml:space="preserve"/>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KPI-S5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Regulatory Findings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Number of OT security findings from regulatory audits or inspections, classified by severity (major / minor / observation).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 major findings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Annual</w:t>
            </w:r>
          </w:p>
        </w:tc>
        <w:tc>
          <w:tcPr>
            <w:tcW w:type="dxa" w:w="9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Lagging</w:t>
            </w:r>
          </w:p>
        </w:tc>
      </w:tr>
    </w:tbl>
    <w:p>
      <w:pPr>
        <w:spacing w:after="220" w:before="80"/>
        <w:jc w:val="center"/>
      </w:pPr>
      <w:r>
        <w:rPr>
          <w:rFonts w:ascii="Arial" w:cs="Arial" w:eastAsia="Arial" w:hAnsi="Arial"/>
          <w:b/>
          <w:bCs/>
          <w:i/>
          <w:iCs/>
          <w:color w:val="1F3864"/>
          <w:sz w:val="20"/>
          <w:szCs w:val="20"/>
        </w:rPr>
        <w:t xml:space="preserve">Table 14.2: OT Security Executive KPI Framework — 20 Indicators Across Five Domains</w:t>
      </w:r>
    </w:p>
    <w:p>
      <w:pPr>
        <w:spacing w:after="200"/>
      </w:pPr>
      <w:r>
        <w:t xml:space="preserve"/>
      </w:r>
    </w:p>
    <w:p>
      <w:pPr>
        <w:pStyle w:val="Heading2"/>
        <w:spacing w:after="160" w:before="300"/>
      </w:pPr>
      <w:r>
        <w:rPr>
          <w:rFonts w:ascii="Arial" w:cs="Arial" w:eastAsia="Arial" w:hAnsi="Arial"/>
          <w:b/>
          <w:bCs/>
          <w:color w:val="2E75B6"/>
          <w:sz w:val="27"/>
          <w:szCs w:val="27"/>
        </w:rPr>
        <w:t xml:space="preserve">14.2.3  KPI Design Principles — What Makes a Good OT Security KPI</w:t>
      </w:r>
    </w:p>
    <w:p>
      <w:pPr>
        <w:spacing w:after="160" w:line="276"/>
        <w:jc w:val="both"/>
      </w:pPr>
      <w:r>
        <w:rPr>
          <w:rFonts w:ascii="Arial" w:cs="Arial" w:eastAsia="Arial" w:hAnsi="Arial"/>
          <w:b w:val="false"/>
          <w:bCs w:val="false"/>
          <w:color w:val="000000"/>
          <w:sz w:val="22"/>
          <w:szCs w:val="22"/>
        </w:rPr>
        <w:t xml:space="preserve">The KPIs in Table 14.2 were designed according to the following principles, which the practitioner should apply when adapting the framework to a specific facility context:</w:t>
      </w:r>
    </w:p>
    <w:p>
      <w:pPr>
        <w:pStyle w:val="ListParagraph"/>
        <w:numPr>
          <w:ilvl w:val="0"/>
          <w:numId w:val="2"/>
        </w:numPr>
        <w:spacing w:after="100" w:line="276"/>
      </w:pPr>
      <w:r>
        <w:rPr>
          <w:rFonts w:ascii="Arial" w:cs="Arial" w:eastAsia="Arial" w:hAnsi="Arial"/>
          <w:sz w:val="22"/>
          <w:szCs w:val="22"/>
        </w:rPr>
        <w:t xml:space="preserve">Measurability without heroic effort: Every KPI must be measurable from data that is routinely available in the OT security operations function — OT-IDS logs, PAM session records, change management records, training completion records. A KPI that requires a special data collection exercise every quarter will not be measured consistently.</w:t>
      </w:r>
    </w:p>
    <w:p>
      <w:pPr>
        <w:pStyle w:val="ListParagraph"/>
        <w:numPr>
          <w:ilvl w:val="0"/>
          <w:numId w:val="2"/>
        </w:numPr>
        <w:spacing w:after="100" w:line="276"/>
      </w:pPr>
      <w:r>
        <w:rPr>
          <w:rFonts w:ascii="Arial" w:cs="Arial" w:eastAsia="Arial" w:hAnsi="Arial"/>
          <w:sz w:val="22"/>
          <w:szCs w:val="22"/>
        </w:rPr>
        <w:t xml:space="preserve">Action-orientation: Every KPI must connect to a specific action that the OT security programme can take to improve it. KPI-R1 (patch compliance) connects directly to the patch management process (Section 12.6). KPI-O1 (change management compliance) connects directly to the change management process (Section 13.3). KPIs that measure conditions outside the programme's control — such as the number of ICS-CERT advisories published — are not actionable and should not be included in the dashboard.</w:t>
      </w:r>
    </w:p>
    <w:p>
      <w:pPr>
        <w:pStyle w:val="ListParagraph"/>
        <w:numPr>
          <w:ilvl w:val="0"/>
          <w:numId w:val="2"/>
        </w:numPr>
        <w:spacing w:after="100" w:line="276"/>
      </w:pPr>
      <w:r>
        <w:rPr>
          <w:rFonts w:ascii="Arial" w:cs="Arial" w:eastAsia="Arial" w:hAnsi="Arial"/>
          <w:sz w:val="22"/>
          <w:szCs w:val="22"/>
        </w:rPr>
        <w:t xml:space="preserve">Manipulation resistance: Every KPI must be defined in a way that makes it difficult to achieve a good result through gaming — achieving the metric without achieving the underlying security improvement. KPI-O1 (change management compliance) is defined as the percentage of changes detected through configuration monitoring that followed the formal process — not the percentage of submitted RFCs that were approved. This definition detects changes made outside the process; the alternative definition (% of submitted RFCs approved) would simply incentivise submitting RFCs after the fact.</w:t>
      </w:r>
    </w:p>
    <w:p>
      <w:pPr>
        <w:pStyle w:val="ListParagraph"/>
        <w:numPr>
          <w:ilvl w:val="0"/>
          <w:numId w:val="2"/>
        </w:numPr>
        <w:spacing w:after="100" w:line="276"/>
      </w:pPr>
      <w:r>
        <w:rPr>
          <w:rFonts w:ascii="Arial" w:cs="Arial" w:eastAsia="Arial" w:hAnsi="Arial"/>
          <w:sz w:val="22"/>
          <w:szCs w:val="22"/>
        </w:rPr>
        <w:t xml:space="preserve">Balance between leading and lagging: The framework should include both types in a ratio of approximately 3:1 leading to lagging. A framework dominated by lagging indicators only measures failure; a framework dominated by leading indicators only measures process compliance without linking to security outcomes.</w:t>
      </w:r>
    </w:p>
    <w:p>
      <w:pPr>
        <w:pStyle w:val="ListParagraph"/>
        <w:numPr>
          <w:ilvl w:val="0"/>
          <w:numId w:val="2"/>
        </w:numPr>
        <w:spacing w:after="100" w:line="276"/>
      </w:pPr>
      <w:r>
        <w:rPr>
          <w:rFonts w:ascii="Arial" w:cs="Arial" w:eastAsia="Arial" w:hAnsi="Arial"/>
          <w:sz w:val="22"/>
          <w:szCs w:val="22"/>
        </w:rPr>
        <w:t xml:space="preserve">Threshold definition: Every KPI must have a defined target and, ideally, a defined threshold at which a management action is triggered. The red/amber/green traffic light model — green (meeting target), amber (approaching threshold), red (below threshold, action required) — provides a simple visual management mechanism that enables rapid identification of KPIs requiring management attention.</w:t>
      </w:r>
    </w:p>
    <w:p>
      <w:pPr>
        <w:pStyle w:val="Heading2"/>
        <w:spacing w:after="160" w:before="300"/>
      </w:pPr>
      <w:r>
        <w:rPr>
          <w:rFonts w:ascii="Arial" w:cs="Arial" w:eastAsia="Arial" w:hAnsi="Arial"/>
          <w:b/>
          <w:bCs/>
          <w:color w:val="2E75B6"/>
          <w:sz w:val="27"/>
          <w:szCs w:val="27"/>
        </w:rPr>
        <w:t xml:space="preserve">14.2.4  Operational Metrics Supporting the Executive KPI Dashboard</w:t>
      </w:r>
    </w:p>
    <w:p>
      <w:pPr>
        <w:spacing w:after="160" w:line="276"/>
        <w:jc w:val="both"/>
      </w:pPr>
      <w:r>
        <w:rPr>
          <w:rFonts w:ascii="Arial" w:cs="Arial" w:eastAsia="Arial" w:hAnsi="Arial"/>
          <w:b w:val="false"/>
          <w:bCs w:val="false"/>
          <w:color w:val="000000"/>
          <w:sz w:val="22"/>
          <w:szCs w:val="22"/>
        </w:rPr>
        <w:t xml:space="preserve">Below the executive KPI dashboard, the OT Security Analyst should maintain a more detailed set of operational metrics that support the diagnosis of KPI performance and provide the data for management review presentations. These operational metrics are not reported to the board but are reviewed monthly by the CSMS Governance Committee:</w:t>
      </w:r>
    </w:p>
    <w:p>
      <w:pPr>
        <w:pStyle w:val="ListParagraph"/>
        <w:numPr>
          <w:ilvl w:val="0"/>
          <w:numId w:val="2"/>
        </w:numPr>
        <w:spacing w:after="100" w:line="276"/>
      </w:pPr>
      <w:r>
        <w:rPr>
          <w:rFonts w:ascii="Arial" w:cs="Arial" w:eastAsia="Arial" w:hAnsi="Arial"/>
          <w:sz w:val="22"/>
          <w:szCs w:val="22"/>
        </w:rPr>
        <w:t xml:space="preserve">Asset inventory currency: Number of OT assets in scope; number of assets with complete patch level documentation; number of assets with overdue patch level review. Supports KPI-R1, KPI-R2, KPI-R4.</w:t>
      </w:r>
    </w:p>
    <w:p>
      <w:pPr>
        <w:pStyle w:val="ListParagraph"/>
        <w:numPr>
          <w:ilvl w:val="0"/>
          <w:numId w:val="2"/>
        </w:numPr>
        <w:spacing w:after="100" w:line="276"/>
      </w:pPr>
      <w:r>
        <w:rPr>
          <w:rFonts w:ascii="Arial" w:cs="Arial" w:eastAsia="Arial" w:hAnsi="Arial"/>
          <w:sz w:val="22"/>
          <w:szCs w:val="22"/>
        </w:rPr>
        <w:t xml:space="preserve">OT-IDS operational status: Number of sensors operational vs. planned; percentage of OT network traffic covered by OT-IDS sensors; number of alert policies active; number of alert policies suppressed and rationale. Supports KPI-T1, KPI-T2.</w:t>
      </w:r>
    </w:p>
    <w:p>
      <w:pPr>
        <w:pStyle w:val="ListParagraph"/>
        <w:numPr>
          <w:ilvl w:val="0"/>
          <w:numId w:val="2"/>
        </w:numPr>
        <w:spacing w:after="100" w:line="276"/>
      </w:pPr>
      <w:r>
        <w:rPr>
          <w:rFonts w:ascii="Arial" w:cs="Arial" w:eastAsia="Arial" w:hAnsi="Arial"/>
          <w:sz w:val="22"/>
          <w:szCs w:val="22"/>
        </w:rPr>
        <w:t xml:space="preserve">Access review status: Number of OT accounts active; number of accounts reviewed in current quarter; number of accounts identified for removal; number of vendor accounts active vs. justified by current contracts. Supports KPI-T3, KPI-O2.</w:t>
      </w:r>
    </w:p>
    <w:p>
      <w:pPr>
        <w:pStyle w:val="ListParagraph"/>
        <w:numPr>
          <w:ilvl w:val="0"/>
          <w:numId w:val="2"/>
        </w:numPr>
        <w:spacing w:after="100" w:line="276"/>
      </w:pPr>
      <w:r>
        <w:rPr>
          <w:rFonts w:ascii="Arial" w:cs="Arial" w:eastAsia="Arial" w:hAnsi="Arial"/>
          <w:sz w:val="22"/>
          <w:szCs w:val="22"/>
        </w:rPr>
        <w:t xml:space="preserve">Vulnerability intelligence currency: Number of ICS-CERT advisories reviewed in current period; number of advisories applicable to deployed OT products; number of advisories with treatment actions overdue. Supports KPI-R1, KPI-R2, KPI-R4.</w:t>
      </w:r>
    </w:p>
    <w:p>
      <w:pPr>
        <w:pStyle w:val="ListParagraph"/>
        <w:numPr>
          <w:ilvl w:val="0"/>
          <w:numId w:val="2"/>
        </w:numPr>
        <w:spacing w:after="100" w:line="276"/>
      </w:pPr>
      <w:r>
        <w:rPr>
          <w:rFonts w:ascii="Arial" w:cs="Arial" w:eastAsia="Arial" w:hAnsi="Arial"/>
          <w:sz w:val="22"/>
          <w:szCs w:val="22"/>
        </w:rPr>
        <w:t xml:space="preserve">Incident register: Complete list of all security events in the period, classified by severity and status (open/closed/escalated). Supports KPI-S1, KPI-S2, KPI-S3.</w:t>
      </w:r>
    </w:p>
    <w:p>
      <w:pPr>
        <w:pStyle w:val="ListParagraph"/>
        <w:numPr>
          <w:ilvl w:val="0"/>
          <w:numId w:val="2"/>
        </w:numPr>
        <w:spacing w:after="100" w:line="276"/>
      </w:pPr>
      <w:r>
        <w:rPr>
          <w:rFonts w:ascii="Arial" w:cs="Arial" w:eastAsia="Arial" w:hAnsi="Arial"/>
          <w:sz w:val="22"/>
          <w:szCs w:val="22"/>
        </w:rPr>
        <w:t xml:space="preserve">Exercise and training currency: Training completion by role and training type; exercise completion vs. programme schedule; open exercise findings vs. closed. Supports KPI-O3, KPI-O4.</w:t>
      </w:r>
    </w:p>
    <w:p>
      <w:r>
        <w:br w:type="page"/>
      </w:r>
    </w:p>
    <w:p>
      <w:pPr>
        <w:pStyle w:val="Heading1"/>
        <w:spacing w:after="200" w:before="400"/>
      </w:pPr>
      <w:r>
        <w:rPr>
          <w:rFonts w:ascii="Arial" w:cs="Arial" w:eastAsia="Arial" w:hAnsi="Arial"/>
          <w:b/>
          <w:bCs/>
          <w:color w:val="1F3864"/>
          <w:sz w:val="34"/>
          <w:szCs w:val="34"/>
        </w:rPr>
        <w:t xml:space="preserve">14.3  The OT Security Audit Programme</w:t>
      </w:r>
    </w:p>
    <w:p>
      <w:pPr>
        <w:spacing w:after="160" w:line="276"/>
        <w:jc w:val="both"/>
      </w:pPr>
      <w:r>
        <w:rPr>
          <w:rFonts w:ascii="Arial" w:cs="Arial" w:eastAsia="Arial" w:hAnsi="Arial"/>
          <w:b w:val="false"/>
          <w:bCs w:val="false"/>
          <w:color w:val="000000"/>
          <w:sz w:val="22"/>
          <w:szCs w:val="22"/>
        </w:rPr>
        <w:t xml:space="preserve">The OT security audit is a systematic, independent, and documented assessment of the extent to which the CSMS conforms to its own requirements (internal compliance audit), conforms to the requirements of IEC 62443-2-1 and IEC 62443-3-3 (gap assessment against standard), and is effective in achieving its stated security objectives (effectiveness audit). IEC 62443-2-1 §4.4.2 (SHALL) requires that the organisation conduct regular internal audits of the CSMS and manage the corrective actions arising from those audits. The audit programme is the formal mechanism through which the CSMS generates the objective evidence of its own performance that the management review process requires.</w:t>
      </w:r>
    </w:p>
    <w:p>
      <w:pPr>
        <w:spacing w:after="160" w:line="276"/>
        <w:jc w:val="both"/>
      </w:pPr>
      <w:r>
        <w:rPr>
          <w:rFonts w:ascii="Arial" w:cs="Arial" w:eastAsia="Arial" w:hAnsi="Arial"/>
          <w:b w:val="false"/>
          <w:bCs w:val="false"/>
          <w:color w:val="000000"/>
          <w:sz w:val="22"/>
          <w:szCs w:val="22"/>
        </w:rPr>
        <w:t xml:space="preserve">The distinction between an audit and an assessment is important and is frequently confused in practice. An assessment — such as the risk assessment of Parts I and II — is an evaluation of a condition (what are the threats, vulnerabilities, and risks?). An audit is an evaluation of conformance — does the reality match the requirement? The auditor is not evaluating the quality of the risk assessment methodology (that is an assessment of an assessment); the auditor is verifying that the risk assessment was conducted, that it produced documented outputs, that those outputs were reviewed by management, and that the identified risks are being managed through approved treatment plans. Conformance to a defined requirement, not judgement of technical quality, is the auditor's domain.</w:t>
      </w:r>
    </w:p>
    <w:p>
      <w:pPr>
        <w:pStyle w:val="Heading2"/>
        <w:spacing w:after="160" w:before="300"/>
      </w:pPr>
      <w:r>
        <w:rPr>
          <w:rFonts w:ascii="Arial" w:cs="Arial" w:eastAsia="Arial" w:hAnsi="Arial"/>
          <w:b/>
          <w:bCs/>
          <w:color w:val="2E75B6"/>
          <w:sz w:val="27"/>
          <w:szCs w:val="27"/>
        </w:rPr>
        <w:t xml:space="preserve">14.3.1  Audit Types and Their Roles in the CSMS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800"/>
        <w:gridCol w:w="2760"/>
      </w:tblGrid>
      <w:tr>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Audit Type</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Conducted By</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c>
          <w:tcPr>
            <w:tcW w:type="dxa" w:w="27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Internal Compliance Audit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Verification that the CSMS policies, procedures, and controls are being implemented as specified. Checks that people are doing what the documented CSMS says they should be doing.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Manager or designated internal auditor (independent of the function being audited)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Annual (minimum); quarterly for high-risk processes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Internal audit report with findings classified as Major Non-Conformance, Minor Non-Conformance, or Observation. Corrective action plan with assigned owners and due dates.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IEC 62443 Gap Assessment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Systematic comparison of the organisation's CSMS against the SHALL requirements of IEC 62443-2-1 (management system) and the SR requirements of IEC 62443-3-3 (technical controls). Identifies gaps between the standard's requirements and the organisation's current CSMS.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Internal OT security staff with 62443 certification, or external specialist consultant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At CSMS establishment (baseline); then every 2–3 years, or following significant CSMS changes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Gap assessment report mapping each 62443 requirement to current status (Compliant / Partial / Non-Compliant / Not Applicable) with risk rating and remediation recommendations.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Third-Party Certification Audit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Formal assessment by an accredited certification body for IEC 62443-2-1 or IEC 62443-3-3 certification. Provides independent, externally validated evidence of CSMS conformance for regulatory and commercial purposes.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Accredited third-party certification body (e.g., TÜV Rheinland, Bureau Veritas, DNV)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Every 3 years for certification; annual surveillance audits between certifications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Audit certificate (if conformant) or certificate suspension/withdrawal (if major non-conformances found). Stage 1 and Stage 2 audit reports with all findings.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Technical Security Assessment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Technical evaluation of the effectiveness of specific OT security controls — firewall rule set review, OT-IDS alert policy assessment, access control review, vulnerability scan results analysis. Evaluates whether controls are effective, not merely whether they are present.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Analyst (internal) or specialist OT security consultancy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Annual for critical controls; following significant architectural changes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Technical assessment report with control-specific findings, evidence of control effectiveness or failure, and specific remediation recommendations with implementation 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Regulatory / Competent Authority Audit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Inspection or audit by the regulatory authority with jurisdiction over the facility — HSE (COMAH), ACSC (Australian Critical Infrastructure Act), NERC (electric utilities), etc. Assesses compliance with sector-specific regulatory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Regulatory authority inspectors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At regulatory authority's discretion (typically 2–5 years); triggered by significant incidents or intelligence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Regulatory inspection report with legally binding corrective action requirements and compliance timelines. Non-compliance may result in enforcement action.</w:t>
            </w:r>
          </w:p>
        </w:tc>
      </w:tr>
    </w:tbl>
    <w:p>
      <w:pPr>
        <w:spacing w:after="220" w:before="80"/>
        <w:jc w:val="center"/>
      </w:pPr>
      <w:r>
        <w:rPr>
          <w:rFonts w:ascii="Arial" w:cs="Arial" w:eastAsia="Arial" w:hAnsi="Arial"/>
          <w:b/>
          <w:bCs/>
          <w:i/>
          <w:iCs/>
          <w:color w:val="1F3864"/>
          <w:sz w:val="20"/>
          <w:szCs w:val="20"/>
        </w:rPr>
        <w:t xml:space="preserve">Table 14.3: OT Security Audit Types, Scope, and Outputs</w:t>
      </w:r>
    </w:p>
    <w:p>
      <w:pPr>
        <w:spacing w:after="200"/>
      </w:pPr>
      <w:r>
        <w:t xml:space="preserve"/>
      </w:r>
    </w:p>
    <w:p>
      <w:pPr>
        <w:pStyle w:val="Heading2"/>
        <w:spacing w:after="160" w:before="300"/>
      </w:pPr>
      <w:r>
        <w:rPr>
          <w:rFonts w:ascii="Arial" w:cs="Arial" w:eastAsia="Arial" w:hAnsi="Arial"/>
          <w:b/>
          <w:bCs/>
          <w:color w:val="2E75B6"/>
          <w:sz w:val="27"/>
          <w:szCs w:val="27"/>
        </w:rPr>
        <w:t xml:space="preserve">14.3.2  Internal Audit Methodology</w:t>
      </w:r>
    </w:p>
    <w:p>
      <w:pPr>
        <w:spacing w:after="160" w:line="276"/>
        <w:jc w:val="both"/>
      </w:pPr>
      <w:r>
        <w:rPr>
          <w:rFonts w:ascii="Arial" w:cs="Arial" w:eastAsia="Arial" w:hAnsi="Arial"/>
          <w:b w:val="false"/>
          <w:bCs w:val="false"/>
          <w:color w:val="000000"/>
          <w:sz w:val="22"/>
          <w:szCs w:val="22"/>
        </w:rPr>
        <w:t xml:space="preserve">The internal compliance audit is the most frequently conducted and most practically important audit type in the CSMS programme. Its quality determines whether the management review receives accurate information about CSMS performance. An internal audit that is conducted as a desk review — examining documents to verify that they exist, without testing whether the documented processes are actually being followed — is not an effective audit. Effective internal audit must include:</w:t>
      </w:r>
    </w:p>
    <w:p>
      <w:pPr>
        <w:pStyle w:val="ListParagraph"/>
        <w:numPr>
          <w:ilvl w:val="0"/>
          <w:numId w:val="2"/>
        </w:numPr>
        <w:spacing w:after="100" w:line="276"/>
      </w:pPr>
      <w:r>
        <w:rPr>
          <w:rFonts w:ascii="Arial" w:cs="Arial" w:eastAsia="Arial" w:hAnsi="Arial"/>
          <w:sz w:val="22"/>
          <w:szCs w:val="22"/>
        </w:rPr>
        <w:t xml:space="preserve">Document review: Verification that required documents (policies, procedures, risk register, training records, change management records, vendor access logs) exist, are current, and have been reviewed within their defined review cycle.</w:t>
      </w:r>
    </w:p>
    <w:p>
      <w:pPr>
        <w:pStyle w:val="ListParagraph"/>
        <w:numPr>
          <w:ilvl w:val="0"/>
          <w:numId w:val="2"/>
        </w:numPr>
        <w:spacing w:after="100" w:line="276"/>
      </w:pPr>
      <w:r>
        <w:rPr>
          <w:rFonts w:ascii="Arial" w:cs="Arial" w:eastAsia="Arial" w:hAnsi="Arial"/>
          <w:sz w:val="22"/>
          <w:szCs w:val="22"/>
        </w:rPr>
        <w:t xml:space="preserve">Records examination: Examination of the records that provide evidence that documented processes are being followed. A change management procedure that specifies a security review before implementation can only be verified by examining the change records to determine whether a security review was completed before each change was implemented — not by reading the procedure.</w:t>
      </w:r>
    </w:p>
    <w:p>
      <w:pPr>
        <w:pStyle w:val="ListParagraph"/>
        <w:numPr>
          <w:ilvl w:val="0"/>
          <w:numId w:val="2"/>
        </w:numPr>
        <w:spacing w:after="100" w:line="276"/>
      </w:pPr>
      <w:r>
        <w:rPr>
          <w:rFonts w:ascii="Arial" w:cs="Arial" w:eastAsia="Arial" w:hAnsi="Arial"/>
          <w:sz w:val="22"/>
          <w:szCs w:val="22"/>
        </w:rPr>
        <w:t xml:space="preserve">Interview and observation: Discussion with the personnel responsible for CSMS processes to assess their understanding of and compliance with the documented requirements. Direct observation of OT operations — does the control room comply with the clean desk policy? Are USB ports physically blocked? Are visitor access logs maintained? — provides evidence that document review cannot.</w:t>
      </w:r>
    </w:p>
    <w:p>
      <w:pPr>
        <w:pStyle w:val="ListParagraph"/>
        <w:numPr>
          <w:ilvl w:val="0"/>
          <w:numId w:val="2"/>
        </w:numPr>
        <w:spacing w:after="100" w:line="276"/>
      </w:pPr>
      <w:r>
        <w:rPr>
          <w:rFonts w:ascii="Arial" w:cs="Arial" w:eastAsia="Arial" w:hAnsi="Arial"/>
          <w:sz w:val="22"/>
          <w:szCs w:val="22"/>
        </w:rPr>
        <w:t xml:space="preserve">Technical testing: For technical controls, audit evidence must include technical testing — verifying that firewall rules block the traffic they are specified to block; verifying that MFA is actually required for all remote access sessions; verifying that OT-IDS alerts for specific conditions are actually generated. Technical testing is the only reliable audit method for technical controls.</w:t>
      </w:r>
    </w:p>
    <w:p>
      <w:pPr>
        <w:pStyle w:val="Heading2"/>
        <w:spacing w:after="160" w:before="300"/>
      </w:pPr>
      <w:r>
        <w:rPr>
          <w:rFonts w:ascii="Arial" w:cs="Arial" w:eastAsia="Arial" w:hAnsi="Arial"/>
          <w:b/>
          <w:bCs/>
          <w:color w:val="2E75B6"/>
          <w:sz w:val="27"/>
          <w:szCs w:val="27"/>
        </w:rPr>
        <w:t xml:space="preserve">14.3.3  Finding Classification and Corrective Action Management</w:t>
      </w:r>
    </w:p>
    <w:p>
      <w:pPr>
        <w:spacing w:after="160" w:line="276"/>
        <w:jc w:val="both"/>
      </w:pPr>
      <w:r>
        <w:rPr>
          <w:rFonts w:ascii="Arial" w:cs="Arial" w:eastAsia="Arial" w:hAnsi="Arial"/>
          <w:b w:val="false"/>
          <w:bCs w:val="false"/>
          <w:color w:val="000000"/>
          <w:sz w:val="22"/>
          <w:szCs w:val="22"/>
        </w:rPr>
        <w:t xml:space="preserve">Audit findings must be classified by severity to enable prioritised corrective action. The following three-level classification system is used consistently across all audit types in the OT security audit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Classification</w:t>
            </w:r>
          </w:p>
        </w:tc>
        <w:tc>
          <w:tcPr>
            <w:tcW w:type="dxa" w:w="3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 Response</w:t>
            </w:r>
          </w:p>
        </w:tc>
        <w:tc>
          <w:tcPr>
            <w:tcW w:type="dxa" w:w="2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Examples</w:t>
            </w:r>
          </w:p>
        </w:tc>
      </w:tr>
      <w:tr>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MAJOR NON-CONFORMANCE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failure to implement a SHALL requirement of IEC 62443-2-1 or a SHALL requirement of the organisation's own documented CSMS; OR a finding that represents a direct, unmitigated security risk of CRITICAL or HIGH classification; OR a systematic failure (multiple instances of the same failure, indicating a systemic process breakdown rather than an isolated incident).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Immediate notification to Executive Sponsor. Root cause analysis within 5 working days. Corrective action plan with implementation within 30 days (or documented risk acceptance if 30 days not achievable). Verification of corrective action effectiveness by OT Security Manager. Follow-up audit within 90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incident response plan in place; CRITICAL risk with no treatment plan and no documented risk acceptance; vendor remote access without MFA in multiple instances; change management process completely bypassed for a class of changes.</w:t>
            </w:r>
          </w:p>
        </w:tc>
      </w:tr>
      <w:tr>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MINOR NON-CONFORMANCE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failure to implement a SHOULD or recommended requirement; OR an isolated instance of a SHALL requirement failure (not systemic); OR a gap in documentation that does not represent an active security risk.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Corrective action plan within 20 working days. Implementation within 90 days. Verification at next scheduled audit.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Single change made without RFC (not systemic); training record not completed for one individual; vendor access log not reviewed for one quarter; policy review overdue by less than 30 days.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OBSERVATION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condition that does not represent a non-conformance but that warrants attention — a process that is technically compliant but could be improved; a leading indicator of a future non-conformance; a best practice that is not yet implemented.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Noted in audit report. Considered in CSMS improvement planning. No mandatory corrective action deadline.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KPI target met but trend is declining; process is compliant but more complex than necessary; training programme meets requirements but could benefit from additional OT-specific content.</w:t>
            </w:r>
          </w:p>
        </w:tc>
      </w:tr>
    </w:tbl>
    <w:p>
      <w:pPr>
        <w:spacing w:after="220" w:before="80"/>
        <w:jc w:val="center"/>
      </w:pPr>
      <w:r>
        <w:rPr>
          <w:rFonts w:ascii="Arial" w:cs="Arial" w:eastAsia="Arial" w:hAnsi="Arial"/>
          <w:b/>
          <w:bCs/>
          <w:i/>
          <w:iCs/>
          <w:color w:val="1F3864"/>
          <w:sz w:val="20"/>
          <w:szCs w:val="20"/>
        </w:rPr>
        <w:t xml:space="preserve">Table 14.4: Audit Finding Classification and Required Response</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Corrective actions must be managed through a formal corrective action register — a documented list of all open findings with their classification, assigned owner, planned completion date, and current status. The corrective action register is a standing agenda item for the CSMS Governance Committee (Section 11.5.3) and a required input to the management review (Section 14.5). A corrective action that is identified in an audit and then not tracked to completion is a governance failure — it signals to the organisation that audit findings are not taken seriously, which in turn undermines the effectiveness of future audits.</w:t>
      </w:r>
    </w:p>
    <w:p>
      <w:pPr>
        <w:pStyle w:val="Heading2"/>
        <w:spacing w:after="160" w:before="300"/>
      </w:pPr>
      <w:r>
        <w:rPr>
          <w:rFonts w:ascii="Arial" w:cs="Arial" w:eastAsia="Arial" w:hAnsi="Arial"/>
          <w:b/>
          <w:bCs/>
          <w:color w:val="2E75B6"/>
          <w:sz w:val="27"/>
          <w:szCs w:val="27"/>
        </w:rPr>
        <w:t xml:space="preserve">14.3.4  The IEC 62443 Gap Assessment — Methodology</w:t>
      </w:r>
    </w:p>
    <w:p>
      <w:pPr>
        <w:spacing w:after="160" w:line="276"/>
        <w:jc w:val="both"/>
      </w:pPr>
      <w:r>
        <w:rPr>
          <w:rFonts w:ascii="Arial" w:cs="Arial" w:eastAsia="Arial" w:hAnsi="Arial"/>
          <w:b w:val="false"/>
          <w:bCs w:val="false"/>
          <w:color w:val="000000"/>
          <w:sz w:val="22"/>
          <w:szCs w:val="22"/>
        </w:rPr>
        <w:t xml:space="preserve">The IEC 62443 gap assessment is the most strategically important audit type because it provides the reference against which the CSMS's completeness is assessed. It is particularly valuable at CSMS establishment (to identify the initial gap) and at defined intervals thereafter (to track gap closure progress and identify new gaps created by changes to the standard or the organisation's OT environment).</w:t>
      </w:r>
    </w:p>
    <w:p>
      <w:pPr>
        <w:spacing w:after="160" w:line="276"/>
        <w:jc w:val="both"/>
      </w:pPr>
      <w:r>
        <w:rPr>
          <w:rFonts w:ascii="Arial" w:cs="Arial" w:eastAsia="Arial" w:hAnsi="Arial"/>
          <w:b w:val="false"/>
          <w:bCs w:val="false"/>
          <w:color w:val="000000"/>
          <w:sz w:val="22"/>
          <w:szCs w:val="22"/>
        </w:rPr>
        <w:t xml:space="preserve">The gap assessment methodology follows a structured process:</w:t>
      </w:r>
    </w:p>
    <w:p>
      <w:pPr>
        <w:pStyle w:val="ListParagraph"/>
        <w:numPr>
          <w:ilvl w:val="0"/>
          <w:numId w:val="3"/>
        </w:numPr>
        <w:spacing w:after="100" w:line="276"/>
      </w:pPr>
      <w:r>
        <w:rPr>
          <w:rFonts w:ascii="Arial" w:cs="Arial" w:eastAsia="Arial" w:hAnsi="Arial"/>
          <w:sz w:val="22"/>
          <w:szCs w:val="22"/>
        </w:rPr>
        <w:t xml:space="preserve">Scope definition: Confirm the scope of the assessment — which IEC 62443-2-1 clauses are in scope (Category 2 only, or including Category 3); which zones and systems are assessed against IEC 62443-3-3 SRs; and the SL-T for each zone.</w:t>
      </w:r>
    </w:p>
    <w:p>
      <w:pPr>
        <w:pStyle w:val="ListParagraph"/>
        <w:numPr>
          <w:ilvl w:val="0"/>
          <w:numId w:val="3"/>
        </w:numPr>
        <w:spacing w:after="100" w:line="276"/>
      </w:pPr>
      <w:r>
        <w:rPr>
          <w:rFonts w:ascii="Arial" w:cs="Arial" w:eastAsia="Arial" w:hAnsi="Arial"/>
          <w:sz w:val="22"/>
          <w:szCs w:val="22"/>
        </w:rPr>
        <w:t xml:space="preserve">Evidence collection: For each SHALL requirement in scope, collect the evidence that demonstrates conformance — documented policies, procedures, records, technical configurations, and interview responses.</w:t>
      </w:r>
    </w:p>
    <w:p>
      <w:pPr>
        <w:pStyle w:val="ListParagraph"/>
        <w:numPr>
          <w:ilvl w:val="0"/>
          <w:numId w:val="3"/>
        </w:numPr>
        <w:spacing w:after="100" w:line="276"/>
      </w:pPr>
      <w:r>
        <w:rPr>
          <w:rFonts w:ascii="Arial" w:cs="Arial" w:eastAsia="Arial" w:hAnsi="Arial"/>
          <w:sz w:val="22"/>
          <w:szCs w:val="22"/>
        </w:rPr>
        <w:t xml:space="preserve">Conformance assessment: For each requirement, assess the conformance status against a four-point scale: Compliant (requirement fully met with documented evidence); Partially Compliant (requirement partially met — identified gaps in evidence or implementation); Non-Compliant (requirement not met — no evidence of implementation); Not Applicable (requirement does not apply to this organisation's scope — justification documented).</w:t>
      </w:r>
    </w:p>
    <w:p>
      <w:pPr>
        <w:pStyle w:val="ListParagraph"/>
        <w:numPr>
          <w:ilvl w:val="0"/>
          <w:numId w:val="3"/>
        </w:numPr>
        <w:spacing w:after="100" w:line="276"/>
      </w:pPr>
      <w:r>
        <w:rPr>
          <w:rFonts w:ascii="Arial" w:cs="Arial" w:eastAsia="Arial" w:hAnsi="Arial"/>
          <w:sz w:val="22"/>
          <w:szCs w:val="22"/>
        </w:rPr>
        <w:t xml:space="preserve">Risk rating: For each non-compliant or partially compliant finding, assess the security risk created by the gap — using the risk matrix from Chapter 6 to classify the gap as CRITICAL, HIGH, MEDIUM, or LOW.</w:t>
      </w:r>
    </w:p>
    <w:p>
      <w:pPr>
        <w:pStyle w:val="ListParagraph"/>
        <w:numPr>
          <w:ilvl w:val="0"/>
          <w:numId w:val="3"/>
        </w:numPr>
        <w:spacing w:after="100" w:line="276"/>
      </w:pPr>
      <w:r>
        <w:rPr>
          <w:rFonts w:ascii="Arial" w:cs="Arial" w:eastAsia="Arial" w:hAnsi="Arial"/>
          <w:sz w:val="22"/>
          <w:szCs w:val="22"/>
        </w:rPr>
        <w:t xml:space="preserve">Remediation planning: For each finding with a risk rating of HIGH or above, develop a specific remediation recommendation with an estimated implementation timeline and resource requirement.</w:t>
      </w:r>
    </w:p>
    <w:p>
      <w:pPr>
        <w:pStyle w:val="ListParagraph"/>
        <w:numPr>
          <w:ilvl w:val="0"/>
          <w:numId w:val="3"/>
        </w:numPr>
        <w:spacing w:after="100" w:line="276"/>
      </w:pPr>
      <w:r>
        <w:rPr>
          <w:rFonts w:ascii="Arial" w:cs="Arial" w:eastAsia="Arial" w:hAnsi="Arial"/>
          <w:sz w:val="22"/>
          <w:szCs w:val="22"/>
        </w:rPr>
        <w:t xml:space="preserve">Reporting: Produce the gap assessment report with the overall conformance profile (percentage of requirements at each conformance level), the finding detail (one page per major finding), and the remediation roadmap.</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The gap assessment report is a sensitive document — it provides a detailed map of the organisation's security weaknesses. Its distribution must be controlled: the full report should be provided only to the OT Security Manager, the Executive Sponsor, and the CSMS Governance Committee. A summary report (conformance profile and priority remediation actions, without the detailed finding evidence) may be provided to the board and regulatory authority as appropriate.</w:t>
      </w:r>
    </w:p>
    <w:p>
      <w:r>
        <w:br w:type="page"/>
      </w:r>
    </w:p>
    <w:p>
      <w:pPr>
        <w:pStyle w:val="Heading1"/>
        <w:spacing w:after="200" w:before="400"/>
      </w:pPr>
      <w:r>
        <w:rPr>
          <w:rFonts w:ascii="Arial" w:cs="Arial" w:eastAsia="Arial" w:hAnsi="Arial"/>
          <w:b/>
          <w:bCs/>
          <w:color w:val="1F3864"/>
          <w:sz w:val="34"/>
          <w:szCs w:val="34"/>
        </w:rPr>
        <w:t xml:space="preserve">14.4  The Reassessment Trigger Framework</w:t>
      </w:r>
    </w:p>
    <w:p>
      <w:pPr>
        <w:spacing w:after="160" w:line="276"/>
        <w:jc w:val="both"/>
      </w:pPr>
      <w:r>
        <w:rPr>
          <w:rFonts w:ascii="Arial" w:cs="Arial" w:eastAsia="Arial" w:hAnsi="Arial"/>
          <w:b w:val="false"/>
          <w:bCs w:val="false"/>
          <w:color w:val="000000"/>
          <w:sz w:val="22"/>
          <w:szCs w:val="22"/>
        </w:rPr>
        <w:t xml:space="preserve">The risk assessment conducted in Parts I and II of this textbook was a point-in-time analysis — an accurate representation of the OT security risk at the facility at the time the assessment was conducted. But the OT security risk environment is not static. The threat landscape evolves as new attack techniques are developed, new threat actors emerge, and documented incidents reveal previously unknown attack patterns. The vulnerability landscape evolves as new CVEs are published for deployed OT products and as the OT environment changes. The consequence landscape evolves as the facility's processes, equipment, and operating context change. An OT security risk assessment that is not regularly updated becomes progressively less accurate as the representation of the current risk and progressively less reliable as the basis for treatment decisions.</w:t>
      </w:r>
    </w:p>
    <w:p>
      <w:pPr>
        <w:spacing w:after="160" w:line="276"/>
        <w:jc w:val="both"/>
      </w:pPr>
      <w:r>
        <w:rPr>
          <w:rFonts w:ascii="Arial" w:cs="Arial" w:eastAsia="Arial" w:hAnsi="Arial"/>
          <w:b w:val="false"/>
          <w:bCs w:val="false"/>
          <w:color w:val="000000"/>
          <w:sz w:val="22"/>
          <w:szCs w:val="22"/>
        </w:rPr>
        <w:t xml:space="preserve">IEC 62443-2-1 §4.2.3 (SHALL) requires that the risk assessment be reviewed at defined intervals and that it be triggered for review by defined events. This requirement reflects the dynamic nature of OT security risk: periodic review prevents the assessment from becoming stale through the passage of time alone; event-triggered review prevents the assessment from becoming inaccurate through specific changes to the threat, vulnerability, or consequence landscape.</w:t>
      </w:r>
    </w:p>
    <w:p>
      <w:pPr>
        <w:spacing w:after="160" w:line="276"/>
        <w:jc w:val="both"/>
      </w:pPr>
      <w:r>
        <w:rPr>
          <w:rFonts w:ascii="Arial" w:cs="Arial" w:eastAsia="Arial" w:hAnsi="Arial"/>
          <w:b w:val="false"/>
          <w:bCs w:val="false"/>
          <w:color w:val="000000"/>
          <w:sz w:val="22"/>
          <w:szCs w:val="22"/>
        </w:rPr>
        <w:t xml:space="preserve">The reassessment trigger framework defines both the periodic reassessment schedule and the specific events that trigger an unscheduled reassessment. It is the mechanism by which the CSMS maintains the currency of its risk intelligence and ensures that treatment decisions remain calibrated to the actual risk environment.</w:t>
      </w:r>
    </w:p>
    <w:p>
      <w:pPr>
        <w:pStyle w:val="Heading2"/>
        <w:spacing w:after="160" w:before="300"/>
      </w:pPr>
      <w:r>
        <w:rPr>
          <w:rFonts w:ascii="Arial" w:cs="Arial" w:eastAsia="Arial" w:hAnsi="Arial"/>
          <w:b/>
          <w:bCs/>
          <w:color w:val="2E75B6"/>
          <w:sz w:val="27"/>
          <w:szCs w:val="27"/>
        </w:rPr>
        <w:t xml:space="preserve">14.4.1  Periodic Reassessment Schedule</w:t>
      </w:r>
    </w:p>
    <w:p>
      <w:pPr>
        <w:spacing w:after="160" w:line="276"/>
        <w:jc w:val="both"/>
      </w:pPr>
      <w:r>
        <w:rPr>
          <w:rFonts w:ascii="Arial" w:cs="Arial" w:eastAsia="Arial" w:hAnsi="Arial"/>
          <w:b w:val="false"/>
          <w:bCs w:val="false"/>
          <w:color w:val="000000"/>
          <w:sz w:val="22"/>
          <w:szCs w:val="22"/>
        </w:rPr>
        <w:t xml:space="preserve">The periodic reassessment schedule should be calibrated to the rate of change of the OT security risk environment and the maturity of the CSMS. For a new CSMS in its first 1–2 years of operation, annual reassessment of the complete risk register is appropriate — the risk environment is likely to change significantly as the CSMS matures and as initial technical controls are implemented, and the risk register needs to be updated to reflect the reduced residual risk of treated items. For a mature CSMS in steady state, the complete risk register may be reassessed every 2–3 years, with a rolling programme of zone-by-zone reassessment in the interim years.</w:t>
      </w:r>
    </w:p>
    <w:p>
      <w:pPr>
        <w:spacing w:after="160" w:line="276"/>
        <w:jc w:val="both"/>
      </w:pPr>
      <w:r>
        <w:rPr>
          <w:rFonts w:ascii="Arial" w:cs="Arial" w:eastAsia="Arial" w:hAnsi="Arial"/>
          <w:b w:val="false"/>
          <w:bCs w:val="false"/>
          <w:color w:val="000000"/>
          <w:sz w:val="22"/>
          <w:szCs w:val="22"/>
        </w:rPr>
        <w:t xml:space="preserve">The periodic reassessment must not be confused with the ongoing KPI monitoring and audit programme. KPI monitoring measures process performance on a monthly or quarterly basis; audits verify conformance on an annual basis; the risk reassessment re-evaluates the risk register itself — the identified hazards, the assessed consequences, the evaluated likelihoods, and the treatment effectiveness — on the defined periodic schedule.</w:t>
      </w:r>
    </w:p>
    <w:p>
      <w:pPr>
        <w:pStyle w:val="Heading2"/>
        <w:spacing w:after="160" w:before="300"/>
      </w:pPr>
      <w:r>
        <w:rPr>
          <w:rFonts w:ascii="Arial" w:cs="Arial" w:eastAsia="Arial" w:hAnsi="Arial"/>
          <w:b/>
          <w:bCs/>
          <w:color w:val="2E75B6"/>
          <w:sz w:val="27"/>
          <w:szCs w:val="27"/>
        </w:rPr>
        <w:t xml:space="preserve">14.4.2  Event-Triggered Reassessment — The Trigger Framework</w:t>
      </w:r>
    </w:p>
    <w:p>
      <w:pPr>
        <w:spacing w:after="160" w:line="276"/>
        <w:jc w:val="both"/>
      </w:pPr>
      <w:r>
        <w:rPr>
          <w:rFonts w:ascii="Arial" w:cs="Arial" w:eastAsia="Arial" w:hAnsi="Arial"/>
          <w:b w:val="false"/>
          <w:bCs w:val="false"/>
          <w:color w:val="000000"/>
          <w:sz w:val="22"/>
          <w:szCs w:val="22"/>
        </w:rPr>
        <w:t xml:space="preserve">The following events must trigger an unscheduled reassessment of the affected portion of the risk register. The scope of the triggered reassessment — whether a full assessment or a targeted review — depends on the nature and magnitude of the triggering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160"/>
        <w:gridCol w:w="2200"/>
      </w:tblGrid>
      <w:tr>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Category</w:t>
            </w:r>
          </w:p>
        </w:tc>
        <w:tc>
          <w:tcPr>
            <w:tcW w:type="dxa" w:w="3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 Trigger Events</w:t>
            </w:r>
          </w:p>
        </w:tc>
        <w:tc>
          <w:tcPr>
            <w:tcW w:type="dxa" w:w="2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 Reassessment Scope</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Timeframe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THREAT LANDSCAPE
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Publication of ICS-CERT advisory for a vulnerability in a deployed OT product rated CRITICAL (CVSS ≥ 9.0); confirmation by government authority that a specific threat group is actively targeting the organisation's sector; publication of a major OT security incident at a comparable facility (same sector, similar technology); publication of a new attack technique specifically targeting industrial control systems (e.g., new ICS-specific malware family).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Targeted review of risk register items related to the specific threat or vulnerability. Update likelihood assessments and treatment plans for affected risks.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Within 5 working days of trigger event.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OT ENVIRONMENT
CHANGE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Addition of a new OT system or zone to the CSMS scope; significant modification to existing OT architecture (new network segment, new IT/OT integration, new remote access path); commissioning of new process unit; change in process chemistry or operating parameters that affects consequence analysis; decommissioning of OT systems that were relied upon as compensating controls.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Risk assessment for the new or modified system/zone; review of existing risk register items affected by the change; update zone and conduit architecture; update SL-T assignments.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Before go-live of new system/zone; within 30 days for significant modifications.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REGULATORY
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Publication of new sector-specific OT security regulations or guidance; change in regulatory authority's interpretation of existing requirements; sector regulatory incident investigation report identifying new requirements; change in the organisation's regulatory classification (e.g., new asset added to critical infrastructure schedule).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Review of risk register and CSMS controls against new regulatory requirements; gap assessment update; compliance assessment.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Within 60 days of regulatory change.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SECURITY INCIDENT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Confirmed SEV 1 or SEV 2 OT security incident at the facility; confirmed security incident at a comparable facility that reveals previously unknown vulnerabilities or attack vectors; discovery of a previously undetected compromise (e.g., persistent access by an undetected threat actor).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Full reassessment of the affected zone(s); review of all risk register items related to the attack vector and techniques used; update threat likelihood assessments; review treatment plans for all open CRITICAL and HIGH risks.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Within 30 days of incident closure (for SEV 2); within 14 days of incident closure (for SEV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ORGANISATIONAL
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Change in ownership or major corporate restructuring; merger or acquisition introducing new OT assets; significant change in personnel occupying CSMS governance roles; significant reduction in OT security budget or resource; change in CSMS scope (expansion to new sites or contraction).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Review of governance elements of CSMS (roles, accountability, management commitment); targeted risk review for assets or zones affected by the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Within 60 days of organisational change.</w:t>
            </w:r>
          </w:p>
        </w:tc>
      </w:tr>
    </w:tbl>
    <w:p>
      <w:pPr>
        <w:spacing w:after="220" w:before="80"/>
        <w:jc w:val="center"/>
      </w:pPr>
      <w:r>
        <w:rPr>
          <w:rFonts w:ascii="Arial" w:cs="Arial" w:eastAsia="Arial" w:hAnsi="Arial"/>
          <w:b/>
          <w:bCs/>
          <w:i/>
          <w:iCs/>
          <w:color w:val="1F3864"/>
          <w:sz w:val="20"/>
          <w:szCs w:val="20"/>
        </w:rPr>
        <w:t xml:space="preserve">Table 14.5: OT Security Reassessment Trigger Framework</w:t>
      </w:r>
    </w:p>
    <w:p>
      <w:pPr>
        <w:spacing w:after="200"/>
      </w:pPr>
      <w:r>
        <w:t xml:space="preserve"/>
      </w:r>
    </w:p>
    <w:p>
      <w:pPr>
        <w:pStyle w:val="Heading2"/>
        <w:spacing w:after="160" w:before="300"/>
      </w:pPr>
      <w:r>
        <w:rPr>
          <w:rFonts w:ascii="Arial" w:cs="Arial" w:eastAsia="Arial" w:hAnsi="Arial"/>
          <w:b/>
          <w:bCs/>
          <w:color w:val="2E75B6"/>
          <w:sz w:val="27"/>
          <w:szCs w:val="27"/>
        </w:rPr>
        <w:t xml:space="preserve">14.4.3  Managing the Reassessment Process</w:t>
      </w:r>
    </w:p>
    <w:p>
      <w:pPr>
        <w:spacing w:after="160" w:line="276"/>
        <w:jc w:val="both"/>
      </w:pPr>
      <w:r>
        <w:rPr>
          <w:rFonts w:ascii="Arial" w:cs="Arial" w:eastAsia="Arial" w:hAnsi="Arial"/>
          <w:b w:val="false"/>
          <w:bCs w:val="false"/>
          <w:color w:val="000000"/>
          <w:sz w:val="22"/>
          <w:szCs w:val="22"/>
        </w:rPr>
        <w:t xml:space="preserve">The reassessment process must be governed with the same rigour as the initial risk assessment. A reassessment conducted informally — an OT Security Manager updating the risk register based on personal knowledge, without a structured methodology, without documented evidence, and without management review — does not meet the IEC 62443-2-1 §4.2.3 requirement and does not provide a reliable basis for treatment decisions.</w:t>
      </w:r>
    </w:p>
    <w:p>
      <w:pPr>
        <w:spacing w:after="160" w:line="276"/>
        <w:jc w:val="both"/>
      </w:pPr>
      <w:r>
        <w:rPr>
          <w:rFonts w:ascii="Arial" w:cs="Arial" w:eastAsia="Arial" w:hAnsi="Arial"/>
          <w:b w:val="false"/>
          <w:bCs w:val="false"/>
          <w:color w:val="000000"/>
          <w:sz w:val="22"/>
          <w:szCs w:val="22"/>
        </w:rPr>
        <w:t xml:space="preserve">The key governance requirements for the reassessment process are:</w:t>
      </w:r>
    </w:p>
    <w:p>
      <w:pPr>
        <w:pStyle w:val="ListParagraph"/>
        <w:numPr>
          <w:ilvl w:val="0"/>
          <w:numId w:val="2"/>
        </w:numPr>
        <w:spacing w:after="100" w:line="276"/>
      </w:pPr>
      <w:r>
        <w:rPr>
          <w:rFonts w:ascii="Arial" w:cs="Arial" w:eastAsia="Arial" w:hAnsi="Arial"/>
          <w:sz w:val="22"/>
          <w:szCs w:val="22"/>
        </w:rPr>
        <w:t xml:space="preserve">Documented scope: Every reassessment must begin with a documented scope statement — which zones, systems, or risk register items are being reassessed, and why (periodic schedule or specific trigger). The scope statement is the audit trail that demonstrates the trigger was identified and acted upon.</w:t>
      </w:r>
    </w:p>
    <w:p>
      <w:pPr>
        <w:pStyle w:val="ListParagraph"/>
        <w:numPr>
          <w:ilvl w:val="0"/>
          <w:numId w:val="2"/>
        </w:numPr>
        <w:spacing w:after="100" w:line="276"/>
      </w:pPr>
      <w:r>
        <w:rPr>
          <w:rFonts w:ascii="Arial" w:cs="Arial" w:eastAsia="Arial" w:hAnsi="Arial"/>
          <w:sz w:val="22"/>
          <w:szCs w:val="22"/>
        </w:rPr>
        <w:t xml:space="preserve">Methodology consistency: The reassessment must use the same risk assessment methodology as the initial assessment — the same risk matrix (Chapter 6), the same consequence analysis approach (Chapter 3), the same likelihood assessment framework (Chapter 4). Changes in methodology between the initial assessment and the reassessment make trends in risk register scores uninterpretable.</w:t>
      </w:r>
    </w:p>
    <w:p>
      <w:pPr>
        <w:pStyle w:val="ListParagraph"/>
        <w:numPr>
          <w:ilvl w:val="0"/>
          <w:numId w:val="2"/>
        </w:numPr>
        <w:spacing w:after="100" w:line="276"/>
      </w:pPr>
      <w:r>
        <w:rPr>
          <w:rFonts w:ascii="Arial" w:cs="Arial" w:eastAsia="Arial" w:hAnsi="Arial"/>
          <w:sz w:val="22"/>
          <w:szCs w:val="22"/>
        </w:rPr>
        <w:t xml:space="preserve">Management review: The reassessment findings must be presented to the CSMS Governance Committee for review before the risk register is updated. Updated CRITICAL risk items must be reviewed by the Executive Sponsor. The management review provides the accountability check that prevents individual analysts from making risk register changes without appropriate oversight.</w:t>
      </w:r>
    </w:p>
    <w:p>
      <w:pPr>
        <w:pStyle w:val="ListParagraph"/>
        <w:numPr>
          <w:ilvl w:val="0"/>
          <w:numId w:val="2"/>
        </w:numPr>
        <w:spacing w:after="100" w:line="276"/>
      </w:pPr>
      <w:r>
        <w:rPr>
          <w:rFonts w:ascii="Arial" w:cs="Arial" w:eastAsia="Arial" w:hAnsi="Arial"/>
          <w:sz w:val="22"/>
          <w:szCs w:val="22"/>
        </w:rPr>
        <w:t xml:space="preserve">Version control: The risk register must be maintained under version control. Each reassessment produces a new version of the risk register, with the changes from the previous version documented — risks added, risks closed, risk scores changed, treatment plans updated. The version history provides the audit trail of risk register evolution that regulators and auditors require.</w:t>
      </w:r>
    </w:p>
    <w:p>
      <w:r>
        <w:br w:type="page"/>
      </w:r>
    </w:p>
    <w:p>
      <w:pPr>
        <w:pStyle w:val="Heading1"/>
        <w:spacing w:after="200" w:before="400"/>
      </w:pPr>
      <w:r>
        <w:rPr>
          <w:rFonts w:ascii="Arial" w:cs="Arial" w:eastAsia="Arial" w:hAnsi="Arial"/>
          <w:b/>
          <w:bCs/>
          <w:color w:val="1F3864"/>
          <w:sz w:val="34"/>
          <w:szCs w:val="34"/>
        </w:rPr>
        <w:t xml:space="preserve">14.5  The Management Review Process</w:t>
      </w:r>
    </w:p>
    <w:p>
      <w:pPr>
        <w:spacing w:after="160" w:line="276"/>
        <w:jc w:val="both"/>
      </w:pPr>
      <w:r>
        <w:rPr>
          <w:rFonts w:ascii="Arial" w:cs="Arial" w:eastAsia="Arial" w:hAnsi="Arial"/>
          <w:b w:val="false"/>
          <w:bCs w:val="false"/>
          <w:color w:val="000000"/>
          <w:sz w:val="22"/>
          <w:szCs w:val="22"/>
        </w:rPr>
        <w:t xml:space="preserve">The management review is the governance forum in which the monitoring data, audit findings, reassessment outputs, and improvement proposals generated by the CSMS programme are presented to senior management, evaluated, and converted into management decisions. IEC 62443-2-1 §4.4.3 (SHALL) requires that the organisation conduct management reviews at defined intervals. The management review is not a reporting exercise — it is a decision-making forum. Its effectiveness depends entirely on whether the right people are present, the right information is provided, and the right decisions are made and acted upon.</w:t>
      </w:r>
    </w:p>
    <w:p>
      <w:pPr>
        <w:spacing w:after="160" w:line="276"/>
        <w:jc w:val="both"/>
      </w:pPr>
      <w:r>
        <w:rPr>
          <w:rFonts w:ascii="Arial" w:cs="Arial" w:eastAsia="Arial" w:hAnsi="Arial"/>
          <w:b w:val="false"/>
          <w:bCs w:val="false"/>
          <w:color w:val="000000"/>
          <w:sz w:val="22"/>
          <w:szCs w:val="22"/>
        </w:rPr>
        <w:t xml:space="preserve">The management review is the primary mechanism through which the CSMS maintains the management commitment that Chapter 11 identified as the non-negotiable foundation of OT security effectiveness. A management review conducted as a 10-minute agenda item at the end of a board meeting, presented by an IT manager to executives who have not read the underlying data, does not constitute the management commitment that IEC 62443-2-1 requires — and it does not produce the decisions that the CSMS programme needs to sustain its effectiveness. The indicators of effective versus performative management review mirror the indicators of genuine versus performative management commitment from Table 11.2.</w:t>
      </w:r>
    </w:p>
    <w:p>
      <w:pPr>
        <w:pStyle w:val="Heading2"/>
        <w:spacing w:after="160" w:before="300"/>
      </w:pPr>
      <w:r>
        <w:rPr>
          <w:rFonts w:ascii="Arial" w:cs="Arial" w:eastAsia="Arial" w:hAnsi="Arial"/>
          <w:b/>
          <w:bCs/>
          <w:color w:val="2E75B6"/>
          <w:sz w:val="27"/>
          <w:szCs w:val="27"/>
        </w:rPr>
        <w:t xml:space="preserve">14.5.1  Management Review Agenda and Required Inputs</w:t>
      </w:r>
    </w:p>
    <w:p>
      <w:pPr>
        <w:spacing w:after="160" w:line="276"/>
        <w:jc w:val="both"/>
      </w:pPr>
      <w:r>
        <w:rPr>
          <w:rFonts w:ascii="Arial" w:cs="Arial" w:eastAsia="Arial" w:hAnsi="Arial"/>
          <w:b w:val="false"/>
          <w:bCs w:val="false"/>
          <w:color w:val="000000"/>
          <w:sz w:val="22"/>
          <w:szCs w:val="22"/>
        </w:rPr>
        <w:t xml:space="preserve">The following agenda and input requirements represent the minimum content of an effective CSMS management review, consistent with the IEC 62443-2-1 §4.4.3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Agenda Item</w:t>
            </w:r>
          </w:p>
        </w:tc>
        <w:tc>
          <w:tcPr>
            <w:tcW w:type="dxa" w:w="2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 Data Input</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 Required</w:t>
            </w:r>
          </w:p>
        </w:tc>
        <w:tc>
          <w:tcPr>
            <w:tcW w:type="dxa" w:w="2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Presents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1. KPI Dashboard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Current period KPI report against all 20 KPIs (Table 14.2); trend analysis (minimum 4 quarters); RAG (Red/Amber/Green) status for each KPI; explanation of any KPI below 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Acceptance or rejection of KPI performance. Direction for KPIs below target. Resource allocation if required.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Manager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2. Risk Register Status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Updated risk register with current residual risk for all CRITICAL and HIGH items; treatment progress summary; risks opened and closed in the period; risk acceptance decisions pending.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Review and acceptance of residual risk levels. Approval of risk acceptance decisions above defined threshold. Direction on treatment priorities.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Manager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3. Incident and Near-Miss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Summary of all security incidents in the period by severity classification; root cause analysis for SEV 1 and SEV 2 incidents; near-miss analysis; corrective actions from post-incident reviews.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Acceptance of incident response performance. Resource allocation for corrective actions. Direction on systemic issues revealed by incident pattern.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Manager / IR Coordinator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4. Audit Findings Update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Internal audit findings (open and closed); IEC 62443 gap assessment status; third-party audit findings if applicable; regulatory findings if applicable; corrective action register status.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Acceptance of audit performance. Resource allocation for major non-conformances. Escalation of overdue corrective actions.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Manager / Internal Auditor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5. Threat Landscape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Summary of significant threat intelligence in the period: new ICS-CERT advisories, sector incidents, threat group activity, relevant geopolitical developments. Assessment of impact on CSMS risk 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Direction on threat intelligence response. Authorisation of triggered reassessments if required.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Analyst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6. Programme Performance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CSMS programme milestone status; budget performance; resource utilisation; upcoming planned activities (next quarter); exercise programme status.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Acceptance of programme performance. Budget adjustments if required. Resource decisions for upcoming activities.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Manager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7. Regulatory Compliance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Status of regulatory compliance obligations; upcoming regulatory submissions, inspections, or audits; changes in regulatory requirements since last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Direction on regulatory engagement. Resource allocation for regulatory submissions.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Manager / Executive Sponsor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8. Improvement Proposals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Proposed CSMS improvements from the period — arising from audit findings, incident reviews, exercise findings, or proactive improvement planning. Each proposal with business case and resource requirement.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Approval or deferral of improvement proposals. Resource allocation for approved proposals. Direction on improvement priorities.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Manager</w:t>
            </w:r>
          </w:p>
        </w:tc>
      </w:tr>
    </w:tbl>
    <w:p>
      <w:pPr>
        <w:spacing w:after="220" w:before="80"/>
        <w:jc w:val="center"/>
      </w:pPr>
      <w:r>
        <w:rPr>
          <w:rFonts w:ascii="Arial" w:cs="Arial" w:eastAsia="Arial" w:hAnsi="Arial"/>
          <w:b/>
          <w:bCs/>
          <w:i/>
          <w:iCs/>
          <w:color w:val="1F3864"/>
          <w:sz w:val="20"/>
          <w:szCs w:val="20"/>
        </w:rPr>
        <w:t xml:space="preserve">Table 14.6: Management Review Agenda, Required Inputs, and Decisions</w:t>
      </w:r>
    </w:p>
    <w:p>
      <w:pPr>
        <w:spacing w:after="200"/>
      </w:pPr>
      <w:r>
        <w:t xml:space="preserve"/>
      </w:r>
    </w:p>
    <w:p>
      <w:pPr>
        <w:pStyle w:val="Heading2"/>
        <w:spacing w:after="160" w:before="300"/>
      </w:pPr>
      <w:r>
        <w:rPr>
          <w:rFonts w:ascii="Arial" w:cs="Arial" w:eastAsia="Arial" w:hAnsi="Arial"/>
          <w:b/>
          <w:bCs/>
          <w:color w:val="2E75B6"/>
          <w:sz w:val="27"/>
          <w:szCs w:val="27"/>
        </w:rPr>
        <w:t xml:space="preserve">14.5.2  Frequency and Participants</w:t>
      </w:r>
    </w:p>
    <w:p>
      <w:pPr>
        <w:spacing w:after="160" w:line="276"/>
        <w:jc w:val="both"/>
      </w:pPr>
      <w:r>
        <w:rPr>
          <w:rFonts w:ascii="Arial" w:cs="Arial" w:eastAsia="Arial" w:hAnsi="Arial"/>
          <w:b w:val="false"/>
          <w:bCs w:val="false"/>
          <w:color w:val="000000"/>
          <w:sz w:val="22"/>
          <w:szCs w:val="22"/>
        </w:rPr>
        <w:t xml:space="preserve">The management review frequency should be determined by the CSMS maturity and the risk profile of the facility:</w:t>
      </w:r>
    </w:p>
    <w:p>
      <w:pPr>
        <w:pStyle w:val="ListParagraph"/>
        <w:numPr>
          <w:ilvl w:val="0"/>
          <w:numId w:val="2"/>
        </w:numPr>
        <w:spacing w:after="100" w:line="276"/>
      </w:pPr>
      <w:r>
        <w:rPr>
          <w:rFonts w:ascii="Arial" w:cs="Arial" w:eastAsia="Arial" w:hAnsi="Arial"/>
          <w:sz w:val="22"/>
          <w:szCs w:val="22"/>
        </w:rPr>
        <w:t xml:space="preserve">New CSMS (first 12 months): Quarterly management review, chaired by the Executive Sponsor, attended by all CSMS governance role holders. The high frequency reflects the rapid pace of change in the first year of a CSMS programme and the need for frequent management engagement to maintain momentum and resolve resource conflicts.</w:t>
      </w:r>
    </w:p>
    <w:p>
      <w:pPr>
        <w:pStyle w:val="ListParagraph"/>
        <w:numPr>
          <w:ilvl w:val="0"/>
          <w:numId w:val="2"/>
        </w:numPr>
        <w:spacing w:after="100" w:line="276"/>
      </w:pPr>
      <w:r>
        <w:rPr>
          <w:rFonts w:ascii="Arial" w:cs="Arial" w:eastAsia="Arial" w:hAnsi="Arial"/>
          <w:sz w:val="22"/>
          <w:szCs w:val="22"/>
        </w:rPr>
        <w:t xml:space="preserve">Established CSMS (years 1–3): Semi-annual management review at a minimum, with a full annual review at which the complete KPI year-in-review, audit findings, and improvement programme for the coming year are presented and approved.</w:t>
      </w:r>
    </w:p>
    <w:p>
      <w:pPr>
        <w:pStyle w:val="ListParagraph"/>
        <w:numPr>
          <w:ilvl w:val="0"/>
          <w:numId w:val="2"/>
        </w:numPr>
        <w:spacing w:after="100" w:line="276"/>
      </w:pPr>
      <w:r>
        <w:rPr>
          <w:rFonts w:ascii="Arial" w:cs="Arial" w:eastAsia="Arial" w:hAnsi="Arial"/>
          <w:sz w:val="22"/>
          <w:szCs w:val="22"/>
        </w:rPr>
        <w:t xml:space="preserve">Mature CSMS (year 3+): Annual management review as a minimum, supplemented by quarterly CSMS Governance Committee meetings that handle routine operational decisions. The annual management review retains the strategic function — setting direction for the coming year, approving the improvement programme, and reviewing the CSMS's performance against its objectives.</w:t>
      </w:r>
    </w:p>
    <w:p>
      <w:pPr>
        <w:spacing w:after="160" w:line="276"/>
        <w:jc w:val="both"/>
      </w:pPr>
      <w:r>
        <w:rPr>
          <w:rFonts w:ascii="Arial" w:cs="Arial" w:eastAsia="Arial" w:hAnsi="Arial"/>
          <w:b w:val="false"/>
          <w:bCs w:val="false"/>
          <w:color w:val="000000"/>
          <w:sz w:val="22"/>
          <w:szCs w:val="22"/>
        </w:rPr>
        <w:t xml:space="preserve">The management review must be chaired by the Executive Sponsor — not delegated to the OT Security Manager or any other operational role. The Executive Sponsor's chairmanship is not a formality; it is the mechanism by which executive accountability for OT security is operationalised. An executive who chairs the management review is accountable for the decisions made in that meeting. An executive who delegates the chair signals that OT security is not a priority — and the organisation will respond accordingly.</w:t>
      </w:r>
    </w:p>
    <w:p>
      <w:pPr>
        <w:spacing w:after="160" w:line="276"/>
        <w:jc w:val="both"/>
      </w:pPr>
      <w:r>
        <w:rPr>
          <w:rFonts w:ascii="Arial" w:cs="Arial" w:eastAsia="Arial" w:hAnsi="Arial"/>
          <w:b w:val="false"/>
          <w:bCs w:val="false"/>
          <w:color w:val="000000"/>
          <w:sz w:val="22"/>
          <w:szCs w:val="22"/>
        </w:rPr>
        <w:t xml:space="preserve">Required attendees are the same as for the CSMS Governance Committee (Section 11.5.3): Executive Sponsor (chair); OT Security Manager; OT Engineering Liaison; Process Safety Liaison; IT Security Liaison; Operations Representative; and Incident Response Coordinator. For the annual management review, the organisation's finance officer or equivalent should also attend to facilitate budget decisions.</w:t>
      </w:r>
    </w:p>
    <w:p>
      <w:pPr>
        <w:pStyle w:val="Heading2"/>
        <w:spacing w:after="160" w:before="300"/>
      </w:pPr>
      <w:r>
        <w:rPr>
          <w:rFonts w:ascii="Arial" w:cs="Arial" w:eastAsia="Arial" w:hAnsi="Arial"/>
          <w:b/>
          <w:bCs/>
          <w:color w:val="2E75B6"/>
          <w:sz w:val="27"/>
          <w:szCs w:val="27"/>
        </w:rPr>
        <w:t xml:space="preserve">14.5.3  Management Review Outputs — What Must Be Documented</w:t>
      </w:r>
    </w:p>
    <w:p>
      <w:pPr>
        <w:spacing w:after="160" w:line="276"/>
        <w:jc w:val="both"/>
      </w:pPr>
      <w:r>
        <w:rPr>
          <w:rFonts w:ascii="Arial" w:cs="Arial" w:eastAsia="Arial" w:hAnsi="Arial"/>
          <w:b w:val="false"/>
          <w:bCs w:val="false"/>
          <w:color w:val="000000"/>
          <w:sz w:val="22"/>
          <w:szCs w:val="22"/>
        </w:rPr>
        <w:t xml:space="preserve">The management review must produce documented outputs — minutes, decisions, and action items — that provide the audit trail for IEC 62443-2-1 §4.4.3 conformance and that drive the improvement cycle. The following are the minimum required outputs:</w:t>
      </w:r>
    </w:p>
    <w:p>
      <w:pPr>
        <w:pStyle w:val="ListParagraph"/>
        <w:numPr>
          <w:ilvl w:val="0"/>
          <w:numId w:val="2"/>
        </w:numPr>
        <w:spacing w:after="100" w:line="276"/>
      </w:pPr>
      <w:r>
        <w:rPr>
          <w:rFonts w:ascii="Arial" w:cs="Arial" w:eastAsia="Arial" w:hAnsi="Arial"/>
          <w:sz w:val="22"/>
          <w:szCs w:val="22"/>
        </w:rPr>
        <w:t xml:space="preserve">Signed minutes: Formal minutes of the management review, signed by the Executive Sponsor, documenting attendance, agenda items covered, and the substance of each discussion.</w:t>
      </w:r>
    </w:p>
    <w:p>
      <w:pPr>
        <w:pStyle w:val="ListParagraph"/>
        <w:numPr>
          <w:ilvl w:val="0"/>
          <w:numId w:val="2"/>
        </w:numPr>
        <w:spacing w:after="100" w:line="276"/>
      </w:pPr>
      <w:r>
        <w:rPr>
          <w:rFonts w:ascii="Arial" w:cs="Arial" w:eastAsia="Arial" w:hAnsi="Arial"/>
          <w:sz w:val="22"/>
          <w:szCs w:val="22"/>
        </w:rPr>
        <w:t xml:space="preserve">Decision register: A formal record of each management decision made in the review — budget approvals, risk acceptance decisions, improvement programme authorisations, resource allocations. Each decision must be attributed to the decision-maker, not to 'the meeting'.</w:t>
      </w:r>
    </w:p>
    <w:p>
      <w:pPr>
        <w:pStyle w:val="ListParagraph"/>
        <w:numPr>
          <w:ilvl w:val="0"/>
          <w:numId w:val="2"/>
        </w:numPr>
        <w:spacing w:after="100" w:line="276"/>
      </w:pPr>
      <w:r>
        <w:rPr>
          <w:rFonts w:ascii="Arial" w:cs="Arial" w:eastAsia="Arial" w:hAnsi="Arial"/>
          <w:sz w:val="22"/>
          <w:szCs w:val="22"/>
        </w:rPr>
        <w:t xml:space="preserve">Action register: All actions arising from the management review, with: a specific, unambiguous description of the action; the assigned owner (a named individual, not a role or function); and a specific completion date. The action register from each management review feeds the CSMS improvement register, closing the PDCA loop.</w:t>
      </w:r>
    </w:p>
    <w:p>
      <w:pPr>
        <w:pStyle w:val="ListParagraph"/>
        <w:numPr>
          <w:ilvl w:val="0"/>
          <w:numId w:val="2"/>
        </w:numPr>
        <w:spacing w:after="100" w:line="276"/>
      </w:pPr>
      <w:r>
        <w:rPr>
          <w:rFonts w:ascii="Arial" w:cs="Arial" w:eastAsia="Arial" w:hAnsi="Arial"/>
          <w:sz w:val="22"/>
          <w:szCs w:val="22"/>
        </w:rPr>
        <w:t xml:space="preserve">Updated CSMS objectives: Where the management review identifies that CSMS objectives need to be updated — because the risk profile has changed, the regulatory requirements have changed, or the organisation's risk appetite has changed — the updated objectives must be documented and communicated to all CSMS role holders.</w:t>
      </w:r>
    </w:p>
    <w:p>
      <w:pPr>
        <w:pStyle w:val="ListParagraph"/>
        <w:numPr>
          <w:ilvl w:val="0"/>
          <w:numId w:val="2"/>
        </w:numPr>
        <w:spacing w:after="100" w:line="276"/>
      </w:pPr>
      <w:r>
        <w:rPr>
          <w:rFonts w:ascii="Arial" w:cs="Arial" w:eastAsia="Arial" w:hAnsi="Arial"/>
          <w:sz w:val="22"/>
          <w:szCs w:val="22"/>
        </w:rPr>
        <w:t xml:space="preserve">Improvement programme: The approved CSMS improvement programme for the coming period — the specific actions, in priority order, that the organisation will take to improve the CSMS beyond its current state. The improvement programme is the formal output of the Act phase of the PDCA cycle.</w:t>
      </w:r>
    </w:p>
    <w:p>
      <w:r>
        <w:br w:type="page"/>
      </w:r>
    </w:p>
    <w:p>
      <w:pPr>
        <w:pStyle w:val="Heading1"/>
        <w:spacing w:after="200" w:before="400"/>
      </w:pPr>
      <w:r>
        <w:rPr>
          <w:rFonts w:ascii="Arial" w:cs="Arial" w:eastAsia="Arial" w:hAnsi="Arial"/>
          <w:b/>
          <w:bCs/>
          <w:color w:val="1F3864"/>
          <w:sz w:val="34"/>
          <w:szCs w:val="34"/>
        </w:rPr>
        <w:t xml:space="preserve">14.6  CSMS Maturity Assessment</w:t>
      </w:r>
    </w:p>
    <w:p>
      <w:pPr>
        <w:spacing w:after="160" w:line="276"/>
        <w:jc w:val="both"/>
      </w:pPr>
      <w:r>
        <w:rPr>
          <w:rFonts w:ascii="Arial" w:cs="Arial" w:eastAsia="Arial" w:hAnsi="Arial"/>
          <w:b w:val="false"/>
          <w:bCs w:val="false"/>
          <w:color w:val="000000"/>
          <w:sz w:val="22"/>
          <w:szCs w:val="22"/>
        </w:rPr>
        <w:t xml:space="preserve">Maturity assessment provides a strategic framework for understanding where an organisation's CSMS stands in its development — not merely whether it conforms to defined requirements (the audit question) but how effectively and consistently it operates, how deeply it is embedded in the organisation's culture and management processes, and what the trajectory of improvement looks like. Maturity models complement audit and KPI measurement by providing a qualitative dimension that quantitative metrics cannot capture: the difference between a CSMS that is technically conformant but fragile (dependent on one or two key individuals, not embedded in organisational culture, likely to degrade without continuous active management) and one that is robust, self-sustaining, and improving.</w:t>
      </w:r>
    </w:p>
    <w:p>
      <w:pPr>
        <w:spacing w:after="160" w:line="276"/>
        <w:jc w:val="both"/>
      </w:pPr>
      <w:r>
        <w:rPr>
          <w:rFonts w:ascii="Arial" w:cs="Arial" w:eastAsia="Arial" w:hAnsi="Arial"/>
          <w:b w:val="false"/>
          <w:bCs w:val="false"/>
          <w:color w:val="000000"/>
          <w:sz w:val="22"/>
          <w:szCs w:val="22"/>
        </w:rPr>
        <w:t xml:space="preserve">The concept of process maturity was first formalised by the Software Engineering Institute's Capability Maturity Model (CMM) in the late 1980s (Paulk et al., 1993), and has since been adapted for numerous management disciplines including information security (CMMI for Security), OT security (ISA-62443 Security Assurance Levels, C2M2), and business continuity management. The common structure across all maturity models is a five-level hierarchy from ad-hoc (Level 1, where the process exists only in individual knowledge and is not documented or repeatable) to optimising (Level 5, where the process is continuously improved based on quantitative performance data and industry benchmarking).</w:t>
      </w:r>
    </w:p>
    <w:p>
      <w:pPr>
        <w:pStyle w:val="Heading2"/>
        <w:spacing w:after="160" w:before="300"/>
      </w:pPr>
      <w:r>
        <w:rPr>
          <w:rFonts w:ascii="Arial" w:cs="Arial" w:eastAsia="Arial" w:hAnsi="Arial"/>
          <w:b/>
          <w:bCs/>
          <w:color w:val="2E75B6"/>
          <w:sz w:val="27"/>
          <w:szCs w:val="27"/>
        </w:rPr>
        <w:t xml:space="preserve">14.6.1  The OT Security Maturity Model</w:t>
      </w:r>
    </w:p>
    <w:p>
      <w:pPr>
        <w:spacing w:after="160" w:line="276"/>
        <w:jc w:val="both"/>
      </w:pPr>
      <w:r>
        <w:rPr>
          <w:rFonts w:ascii="Arial" w:cs="Arial" w:eastAsia="Arial" w:hAnsi="Arial"/>
          <w:b w:val="false"/>
          <w:bCs w:val="false"/>
          <w:color w:val="000000"/>
          <w:sz w:val="22"/>
          <w:szCs w:val="22"/>
        </w:rPr>
        <w:t xml:space="preserve">The following maturity model is adapted for OT security management, drawing on the ISA-62443 framework, the US Department of Energy's Cybersecurity Capability Maturity Model (C2M2), and the author's experience of conducting CSMS maturity assessments across critical infrastructure, process industry, and manufacturing OT environments. It defines five maturity levels across six CSMS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32"/>
        <w:gridCol w:w="1632"/>
        <w:gridCol w:w="1632"/>
        <w:gridCol w:w="1632"/>
        <w:gridCol w:w="1632"/>
      </w:tblGrid>
      <w:tr>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1632"/>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 1
Initial</w:t>
            </w:r>
          </w:p>
        </w:tc>
        <w:tc>
          <w:tcPr>
            <w:tcW w:type="dxa" w:w="1632"/>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 2
Repeatable</w:t>
            </w:r>
          </w:p>
        </w:tc>
        <w:tc>
          <w:tcPr>
            <w:tcW w:type="dxa" w:w="1632"/>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 3
Defined</w:t>
            </w:r>
          </w:p>
        </w:tc>
        <w:tc>
          <w:tcPr>
            <w:tcW w:type="dxa" w:w="1632"/>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 4
Managed</w:t>
            </w:r>
          </w:p>
        </w:tc>
        <w:tc>
          <w:tcPr>
            <w:tcW w:type="dxa" w:w="1632"/>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 5
Optimising</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Risk Management</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Risk assessment conducted reactively — in response to incidents or regulatory pressure. No documented risk register. Risk treatment decisions made intuitively.</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Risk assessment conducted periodically but without consistent methodology. Risk register exists but is rarely updated. Treatment decisions documented but not systematically tracked.</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Risk assessment conducted using defined methodology (IEC 62443-3-2). Risk register maintained and reviewed quarterly. Treatment plans with assigned owners and due dates. Reassessment triggers defined.</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Risk register integrated into operational decision-making. Quantitative risk metrics tracked. Reassessment triggers actively monitored and acted upon. Risk tolerance criteria formally documented and applied.</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Predictive risk intelligence — threat landscape monitoring drives proactive risk register updates before incidents occur. Risk metrics inform automated alerting. External benchmarking against sector peers.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Governance &amp; Policy</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formal CSMS governance structure. Security responsibilities implicit and widely misunderstood. No security policy.</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CSMS security policy exists. Key roles defined. CSMS Governance Committee established but meets irregularly. Executive sponsor identified but not actively engaged.</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Complete Tier 1/2 policy suite implemented and reviewed annually. CSMS Governance Committee meets regularly with documented minutes. Executive Sponsor actively chairs management review at required frequency.</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Policy compliance measured through KPIs. Policy violations consistently identified and addressed. Executive engagement measured and verified. CSMS Governance Committee resolving cross-functional conflicts effectively.</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Governance culture deeply embedded — security compliance is an organisational norm, not a management requirement. Policy suite is a strategic competitive differentiator with customers and regulators. Governance structure is self-correcting.</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Technical Controls</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systematic technical controls. OT network flat and unmonitored. No patch management. Authentication dependent on default credentials.</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Basic perimeter segmentation. OT-IDS deployed but alerts frequently untriaged. Patch management ad hoc — patches applied opportunistically, not systematically. MFA on some remote access.</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Zone and conduit architecture implemented per IEC 62443-3-2. OT-IDS operational with defined alert policies and response procedures. Risk-based patch management programme with defined classification and timelines. MFA on all remote access.</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technical controls measured through KPIs. Control effectiveness tested through technical audit and exercise. SL-T requirements mapped to specific SR implementations with documented evidence. Compensating controls for all known gaps.</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Adaptive technical controls — automatically adjusting to threat intelligence. Continuous technical control effectiveness measurement. Machine learning-assisted anomaly detection. Technical controls integrated with physical emergency response systems.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Operational Processes</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documented operational security processes. Incident response improvised. Change management non-existent. Vendor access uncontrolled.</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Incident response plan documented but untested. Change management process defined but inconsistently followed. Vendor access partially controlled. Basic training programme.</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Incident response plan exercised at least annually. Change management consistently followed with documented security review. Vendor security lifecycle programme implemented. Role-based training programme current.</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Operational processes measured through KPIs. Incident response exercises include functional exercises. Change management compliance ≥ 98%. Vendor security assessments conducted for all significant vendors. Training effectiveness evaluated.</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Operational processes continuously improving based on performance data. Incident response exercises include red team assessments. Vendor security programme drives vendor improvement, not just compliance verification. Training programme is industry benchmark.</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Monitoring &amp; Measurement</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security monitoring. KPIs not defined. No audit programme. Management review non-existent.</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Basic security monitoring (OT-IDS deployed). Some KPIs defined but not consistently measured. Internal audit conducted irregularly. Management review conducted annually but not documented.</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Comprehensive KPI framework (all 20 KPIs in Table 14.2). Internal audit programme with defined schedule and finding classification. Management review conducted at required frequency with documented outputs. Reassessment trigger framework defined.</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KPI trends analysed and used to drive improvement decisions. Audit findings consistently closed within required timelines. Management review decisions tracked to completion. Reassessment triggers actively monitored.</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Predictive analytics on KPI data — identifying degradation trends before they become failures. Benchmark KPIs against sector peers. Automated KPI data collection. Management review is a strategic planning forum, not a reporting session.</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Security Culture</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Security is not a cultural value. Personnel view security as IT's problem. Security incidents are concealed. No psychological safety for reporting concerns.</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Security awareness growing. Some personnel understand their security obligations. Security incidents reported internally but post-hoc. Training programme exists but attendance inconsistent.</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Security culture embedded in OT operations. Operators and engineers report security concerns proactively. Near-misses reported and analysed. Security behaviour observed and reinforced by operations management.</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Security culture measured — through behavioural indicators, near-miss reporting rates, training quality assessments. Culture improvement included in CSMS improvement programme. Executive behaviour actively models security values.</w:t>
            </w:r>
          </w:p>
        </w:tc>
        <w:tc>
          <w:tcPr>
            <w:tcW w:type="dxa" w:w="16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Security is an undisputed organisational value — as embedded as process safety. Security improvement ideas come from the operational workforce, not just the security function. Organisation is recognised as sector leader in OT security culture.</w:t>
            </w:r>
          </w:p>
        </w:tc>
      </w:tr>
    </w:tbl>
    <w:p>
      <w:pPr>
        <w:spacing w:after="220" w:before="80"/>
        <w:jc w:val="center"/>
      </w:pPr>
      <w:r>
        <w:rPr>
          <w:rFonts w:ascii="Arial" w:cs="Arial" w:eastAsia="Arial" w:hAnsi="Arial"/>
          <w:b/>
          <w:bCs/>
          <w:i/>
          <w:iCs/>
          <w:color w:val="1F3864"/>
          <w:sz w:val="20"/>
          <w:szCs w:val="20"/>
        </w:rPr>
        <w:t xml:space="preserve">Table 14.7: OT Security CSMS Maturity Model — Five Levels Across Six Dimensions</w:t>
      </w:r>
    </w:p>
    <w:p>
      <w:pPr>
        <w:spacing w:after="200"/>
      </w:pPr>
      <w:r>
        <w:t xml:space="preserve"/>
      </w:r>
    </w:p>
    <w:p>
      <w:pPr>
        <w:pStyle w:val="Heading2"/>
        <w:spacing w:after="160" w:before="300"/>
      </w:pPr>
      <w:r>
        <w:rPr>
          <w:rFonts w:ascii="Arial" w:cs="Arial" w:eastAsia="Arial" w:hAnsi="Arial"/>
          <w:b/>
          <w:bCs/>
          <w:color w:val="2E75B6"/>
          <w:sz w:val="27"/>
          <w:szCs w:val="27"/>
        </w:rPr>
        <w:t xml:space="preserve">14.6.2  Conducting the Maturity Assessment</w:t>
      </w:r>
    </w:p>
    <w:p>
      <w:pPr>
        <w:spacing w:after="160" w:line="276"/>
        <w:jc w:val="both"/>
      </w:pPr>
      <w:r>
        <w:rPr>
          <w:rFonts w:ascii="Arial" w:cs="Arial" w:eastAsia="Arial" w:hAnsi="Arial"/>
          <w:b w:val="false"/>
          <w:bCs w:val="false"/>
          <w:color w:val="000000"/>
          <w:sz w:val="22"/>
          <w:szCs w:val="22"/>
        </w:rPr>
        <w:t xml:space="preserve">The maturity assessment is conducted through a structured combination of document review, interview, observation, and technical testing — using the same evidence-gathering approach as the internal audit (Section 14.3.2). For each of the six dimensions in Table 14.7, the assessor identifies the current maturity level by comparing the observed evidence against the level descriptors.</w:t>
      </w:r>
    </w:p>
    <w:p>
      <w:pPr>
        <w:spacing w:after="160" w:line="276"/>
        <w:jc w:val="both"/>
      </w:pPr>
      <w:r>
        <w:rPr>
          <w:rFonts w:ascii="Arial" w:cs="Arial" w:eastAsia="Arial" w:hAnsi="Arial"/>
          <w:b w:val="false"/>
          <w:bCs w:val="false"/>
          <w:color w:val="000000"/>
          <w:sz w:val="22"/>
          <w:szCs w:val="22"/>
        </w:rPr>
        <w:t xml:space="preserve">Two important principles govern the maturity level assignment:</w:t>
      </w:r>
    </w:p>
    <w:p>
      <w:pPr>
        <w:pStyle w:val="ListParagraph"/>
        <w:numPr>
          <w:ilvl w:val="0"/>
          <w:numId w:val="2"/>
        </w:numPr>
        <w:spacing w:after="100" w:line="276"/>
      </w:pPr>
      <w:r>
        <w:rPr>
          <w:rFonts w:ascii="Arial" w:cs="Arial" w:eastAsia="Arial" w:hAnsi="Arial"/>
          <w:sz w:val="22"/>
          <w:szCs w:val="22"/>
        </w:rPr>
        <w:t xml:space="preserve">Substantive evidence required: The maturity level is determined by what the organisation actually does, not what its documents say it does. An organisation with a beautifully documented Level 3 change management procedure that is never followed has a Level 2 (Repeatable at best) change management maturity — because the process is not consistently applied. The assessor must verify that documented processes are being followed in practice.</w:t>
      </w:r>
    </w:p>
    <w:p>
      <w:pPr>
        <w:pStyle w:val="ListParagraph"/>
        <w:numPr>
          <w:ilvl w:val="0"/>
          <w:numId w:val="2"/>
        </w:numPr>
        <w:spacing w:after="100" w:line="276"/>
      </w:pPr>
      <w:r>
        <w:rPr>
          <w:rFonts w:ascii="Arial" w:cs="Arial" w:eastAsia="Arial" w:hAnsi="Arial"/>
          <w:sz w:val="22"/>
          <w:szCs w:val="22"/>
        </w:rPr>
        <w:t xml:space="preserve">All criteria for a level must be met: The organisation cannot be assessed at Level 3 if any Level 3 criterion is not met, even if some Level 4 criteria are met. Maturity levels represent a cumulative hierarchy — each level builds on the previous. A gap at Level 3 means the organisation is assessed at Level 2, regardless of any Level 4 capabilities.</w:t>
      </w:r>
    </w:p>
    <w:p>
      <w:pPr>
        <w:spacing w:after="160" w:line="276"/>
        <w:jc w:val="both"/>
      </w:pPr>
      <w:r>
        <w:rPr>
          <w:rFonts w:ascii="Arial" w:cs="Arial" w:eastAsia="Arial" w:hAnsi="Arial"/>
          <w:b w:val="false"/>
          <w:bCs w:val="false"/>
          <w:color w:val="000000"/>
          <w:sz w:val="22"/>
          <w:szCs w:val="22"/>
        </w:rPr>
        <w:t xml:space="preserve">The maturity assessment output should include: a maturity profile (the current maturity level for each of the six dimensions, displayed as a radar chart or table); a gap analysis (the specific evidence gaps and practice gaps that prevent the organisation from achieving the next maturity level in each dimension); a maturity improvement roadmap (the specific actions required to progress to the next maturity level, in priority order, with resource estimates and implementation timelines); and a comparison with the previous maturity assessment (if one has been conducted) to demonstrate the improvement trajectory.</w:t>
      </w:r>
    </w:p>
    <w:p>
      <w:pPr>
        <w:pStyle w:val="Heading2"/>
        <w:spacing w:after="160" w:before="300"/>
      </w:pPr>
      <w:r>
        <w:rPr>
          <w:rFonts w:ascii="Arial" w:cs="Arial" w:eastAsia="Arial" w:hAnsi="Arial"/>
          <w:b/>
          <w:bCs/>
          <w:color w:val="2E75B6"/>
          <w:sz w:val="27"/>
          <w:szCs w:val="27"/>
        </w:rPr>
        <w:t xml:space="preserve">14.6.3  Calibrating Maturity Targets to Risk Profile</w:t>
      </w:r>
    </w:p>
    <w:p>
      <w:pPr>
        <w:spacing w:after="160" w:line="276"/>
        <w:jc w:val="both"/>
      </w:pPr>
      <w:r>
        <w:rPr>
          <w:rFonts w:ascii="Arial" w:cs="Arial" w:eastAsia="Arial" w:hAnsi="Arial"/>
          <w:b w:val="false"/>
          <w:bCs w:val="false"/>
          <w:color w:val="000000"/>
          <w:sz w:val="22"/>
          <w:szCs w:val="22"/>
        </w:rPr>
        <w:t xml:space="preserve">Not every industrial facility needs to achieve Level 5 maturity in all six dimensions. The maturity target should be calibrated to the facility's risk profile — its consequence potential, its threat exposure, and its regulatory obligations. The following guidance provides a starting point for maturity target setting:</w:t>
      </w:r>
    </w:p>
    <w:p>
      <w:pPr>
        <w:pStyle w:val="ListParagraph"/>
        <w:numPr>
          <w:ilvl w:val="0"/>
          <w:numId w:val="2"/>
        </w:numPr>
        <w:spacing w:after="100" w:line="276"/>
      </w:pPr>
      <w:r>
        <w:rPr>
          <w:rFonts w:ascii="Arial" w:cs="Arial" w:eastAsia="Arial" w:hAnsi="Arial"/>
          <w:sz w:val="22"/>
          <w:szCs w:val="22"/>
        </w:rPr>
        <w:t xml:space="preserve">CRITICAL national infrastructure (electricity transmission, major oil/gas processing, large water systems): Level 4 as minimum target across all dimensions, with Level 5 aspirational for Risk Management and Technical Controls. The consequence and threat profile of critical national infrastructure justifies the investment in the highest maturity levels.</w:t>
      </w:r>
    </w:p>
    <w:p>
      <w:pPr>
        <w:pStyle w:val="ListParagraph"/>
        <w:numPr>
          <w:ilvl w:val="0"/>
          <w:numId w:val="2"/>
        </w:numPr>
        <w:spacing w:after="100" w:line="276"/>
      </w:pPr>
      <w:r>
        <w:rPr>
          <w:rFonts w:ascii="Arial" w:cs="Arial" w:eastAsia="Arial" w:hAnsi="Arial"/>
          <w:sz w:val="22"/>
          <w:szCs w:val="22"/>
        </w:rPr>
        <w:t xml:space="preserve">COMAH Top Tier / High-hazard process industry (major refinery, large chemical plant, LNG terminal): Level 3 as minimum target across all dimensions, with Level 4 target for Risk Management, Technical Controls, and Governance. The regulatory requirements and consequence profile of COMAH Top Tier facilities establish a high baseline expectation.</w:t>
      </w:r>
    </w:p>
    <w:p>
      <w:pPr>
        <w:pStyle w:val="ListParagraph"/>
        <w:numPr>
          <w:ilvl w:val="0"/>
          <w:numId w:val="2"/>
        </w:numPr>
        <w:spacing w:after="100" w:line="276"/>
      </w:pPr>
      <w:r>
        <w:rPr>
          <w:rFonts w:ascii="Arial" w:cs="Arial" w:eastAsia="Arial" w:hAnsi="Arial"/>
          <w:sz w:val="22"/>
          <w:szCs w:val="22"/>
        </w:rPr>
        <w:t xml:space="preserve">COMAH Lower Tier / Medium-hazard process industry: Level 3 as target across all dimensions. Level 3 represents the 'defined' state — documented, consistently applied, and meeting the IEC 62443-2-1 SHALL requirements — which is the appropriate target for facilities with significant but manageable hazard potential.</w:t>
      </w:r>
    </w:p>
    <w:p>
      <w:pPr>
        <w:pStyle w:val="ListParagraph"/>
        <w:numPr>
          <w:ilvl w:val="0"/>
          <w:numId w:val="2"/>
        </w:numPr>
        <w:spacing w:after="100" w:line="276"/>
      </w:pPr>
      <w:r>
        <w:rPr>
          <w:rFonts w:ascii="Arial" w:cs="Arial" w:eastAsia="Arial" w:hAnsi="Arial"/>
          <w:sz w:val="22"/>
          <w:szCs w:val="22"/>
        </w:rPr>
        <w:t xml:space="preserve">Manufacturing and industrial facilities without major hazard potential: Level 2–3 as target. Level 2 provides a functional security baseline; Level 3 provides the documented, systematic approach that protects against the most common and consequential OT attack types.</w:t>
      </w:r>
    </w:p>
    <w:p>
      <w:pPr>
        <w:spacing w:after="160" w:line="276"/>
        <w:jc w:val="both"/>
      </w:pPr>
      <w:r>
        <w:rPr>
          <w:rFonts w:ascii="Arial" w:cs="Arial" w:eastAsia="Arial" w:hAnsi="Arial"/>
          <w:b w:val="false"/>
          <w:bCs w:val="false"/>
          <w:color w:val="000000"/>
          <w:sz w:val="22"/>
          <w:szCs w:val="22"/>
        </w:rPr>
        <w:t xml:space="preserve">The maturity target is not a static goal — it should be reviewed and updated as part of the annual management review, reflecting changes in the facility's risk profile, regulatory requirements, and the maturity of the broader OT security discipline. A Level 3 target that was appropriate five years ago may be inadequate today as the sophistication of OT threats has increased and the regulatory expectations have risen.</w:t>
      </w:r>
    </w:p>
    <w:p>
      <w:r>
        <w:br w:type="page"/>
      </w:r>
    </w:p>
    <w:p>
      <w:pPr>
        <w:pStyle w:val="Heading1"/>
        <w:spacing w:after="200" w:before="400"/>
      </w:pPr>
      <w:r>
        <w:rPr>
          <w:rFonts w:ascii="Arial" w:cs="Arial" w:eastAsia="Arial" w:hAnsi="Arial"/>
          <w:b/>
          <w:bCs/>
          <w:color w:val="1F3864"/>
          <w:sz w:val="34"/>
          <w:szCs w:val="34"/>
        </w:rPr>
        <w:t xml:space="preserve">14.7  Synthesising the PDCA Cycle — The Complete CSMS Improvement Loop</w:t>
      </w:r>
    </w:p>
    <w:p>
      <w:pPr>
        <w:spacing w:after="160" w:line="276"/>
        <w:jc w:val="both"/>
      </w:pPr>
      <w:r>
        <w:rPr>
          <w:rFonts w:ascii="Arial" w:cs="Arial" w:eastAsia="Arial" w:hAnsi="Arial"/>
          <w:b w:val="false"/>
          <w:bCs w:val="false"/>
          <w:color w:val="000000"/>
          <w:sz w:val="22"/>
          <w:szCs w:val="22"/>
        </w:rPr>
        <w:t xml:space="preserve">The Plan-Do-Check-Act cycle provides the conceptual architecture for understanding how all elements of the CSMS relate to each other and how the CSMS improves over time. Having developed each phase of the CSMS across Parts II and III of this textbook, it is now possible to map every element of the CSMS to its position in the PDCA cycle and to describe the feedback mechanisms that close the loop between performance measurement and programme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PDCA Phase</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CSMS Component</w:t>
            </w:r>
          </w:p>
        </w:tc>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Chapter Reference</w:t>
            </w:r>
          </w:p>
        </w:tc>
        <w:tc>
          <w:tcPr>
            <w:tcW w:type="dxa" w:w="45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to next phase</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PLAN
(Establish objectives and processes)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Risk assessment — hazard identification, consequence analysis, likelihood assessment, risk evaluation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Chapters 2–10 (Parts I &amp; II)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Risk register with SL-T determinations, treatment priorities, and residual risk profile. → Inputs to DO: defines what technical controls and operational processes are required.</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PLAN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CSMS governance framework — policies, roles, RACI, management commitment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Chapter 11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Policy suite, governance committee, management review schedule, CSMS scope. → Inputs to DO: defines who is responsible for implementing controls and processes.</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DO
(Implement processes)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Technical countermeasure implementation — network segmentation, IAM, OT-IDS, patch management, remote access, data flow controls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Chapter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Deployed technical controls with documented implementation evidence. → Inputs to CHECK: provides the implemented controls against which audit and KPI measurement are conducted.</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DO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Operational security processes — incident response, change management, vendor security, personnel security, physical security, exercises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Chapter 13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Operational process records, incident logs, exercise findings, audit evidence. → Inputs to CHECK: provides the operational performance data against which KPIs are assessed.</w:t>
            </w:r>
          </w:p>
        </w:tc>
      </w:tr>
      <w:tr>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CHECK
(Monitor and measure)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KPI framework — 20 indicators across five domains (Table 14.2)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Chapter 14 §14.2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Monthly/quarterly KPI dashboard with trend data. → Inputs to ACT: identifies process performance gaps requiring management attention.</w:t>
            </w:r>
          </w:p>
        </w:tc>
      </w:tr>
      <w:tr>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CHECK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OT security audit programme — internal compliance, IEC 62443 gap assessment, third-party audit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Chapter 14 §14.3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Audit reports with finding classification and corrective action plans. → Inputs to ACT: identifies CSMS conformance gaps requiring systematic correction.</w:t>
            </w:r>
          </w:p>
        </w:tc>
      </w:tr>
      <w:tr>
        <w:tc>
          <w:tcPr>
            <w:tcW w:type="dxa" w:w="1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Reassessment trigger framework — periodic and event-triggered risk register reassessment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Chapter 14 §14.4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Updated risk register with revised residual risk profile and updated treatment plans. → Inputs to PLAN: triggers updates to treatment plans and control requirements.</w:t>
            </w:r>
          </w:p>
        </w:tc>
      </w:tr>
      <w:tr>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center"/>
            </w:pPr>
            <w:r>
              <w:rPr>
                <w:rFonts w:ascii="Arial" w:cs="Arial" w:eastAsia="Arial" w:hAnsi="Arial"/>
                <w:b/>
                <w:bCs/>
                <w:sz w:val="18"/>
                <w:szCs w:val="18"/>
              </w:rPr>
              <w:t xml:space="preserve">ACT
(Improve and correct)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Management review — governance forum for converting monitoring data into management decisions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Chapter 14 §14.5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Decision register, action register, updated CSMS objectives, approved improvement programme. → Inputs to PLAN: updated treatment priorities and CSMS improvement requirements drive next PDCA cycle.</w:t>
            </w:r>
          </w:p>
        </w:tc>
      </w:tr>
      <w:tr>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jc w:val="center"/>
            </w:pPr>
            <w:r>
              <w:rPr>
                <w:rFonts w:ascii="Arial" w:cs="Arial" w:eastAsia="Arial" w:hAnsi="Arial"/>
                <w:b/>
                <w:bCs/>
                <w:sz w:val="18"/>
                <w:szCs w:val="18"/>
              </w:rPr>
              <w:t xml:space="preserve">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CSMS maturity assessment — strategic framework for improvement planning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Chapter 14 §14.6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Maturity profile, gap analysis, improvement roadmap. → Inputs to PLAN: defines the strategic improvement trajectory for the next CSMS programme period.</w:t>
            </w:r>
          </w:p>
        </w:tc>
      </w:tr>
    </w:tbl>
    <w:p>
      <w:pPr>
        <w:spacing w:after="220" w:before="80"/>
        <w:jc w:val="center"/>
      </w:pPr>
      <w:r>
        <w:rPr>
          <w:rFonts w:ascii="Arial" w:cs="Arial" w:eastAsia="Arial" w:hAnsi="Arial"/>
          <w:b/>
          <w:bCs/>
          <w:i/>
          <w:iCs/>
          <w:color w:val="1F3864"/>
          <w:sz w:val="20"/>
          <w:szCs w:val="20"/>
        </w:rPr>
        <w:t xml:space="preserve">Table 14.8: CSMS PDCA Cycle Mapping — All Elements Across the Complete Textbook</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The PDCA mapping in Table 14.8 reveals a critical architectural feature of the CSMS that is not always appreciated by practitioners: the CSMS is not a linear programme with a beginning, middle, and end — it is a continuous cycle with no defined completion state. The risk assessment (PLAN) informs the controls (DO); the controls generate performance data (CHECK); the performance data drives improvement (ACT); the improvement feeds back into an updated plan (PLAN). At no point in this cycle is the CSMS 'done'. This is the fundamental reason why the monitoring and improvement processes of this chapter are not optional enhancements to an otherwise complete security programme — they are the mechanism by which the CSMS remains effective in a world that does not stand still.</w:t>
      </w:r>
    </w:p>
    <w:p>
      <w:pPr>
        <w:spacing w:after="160" w:line="276"/>
        <w:jc w:val="both"/>
      </w:pPr>
      <w:r>
        <w:rPr>
          <w:rFonts w:ascii="Arial" w:cs="Arial" w:eastAsia="Arial" w:hAnsi="Arial"/>
          <w:b w:val="false"/>
          <w:bCs w:val="false"/>
          <w:color w:val="000000"/>
          <w:sz w:val="22"/>
          <w:szCs w:val="22"/>
        </w:rPr>
        <w:t xml:space="preserve">The practical implication of the continuous improvement architecture is that CSMS programme budgets and resources must be sustained indefinitely, not just for the initial implementation period. The most common CSMS investment pattern in industrial organisations — front-loaded investment in the initial implementation, followed by a reduction in resource as the 'project' is considered complete — is fundamentally inconsistent with the CSMS model and reliably produces programmes that were initially effective and then progressively degraded. The management review process (Section 14.5) and the maturity assessment (Section 14.6) are the governance mechanisms that make the sustained investment requirement visible and accountable.</w:t>
      </w:r>
    </w:p>
    <w:p>
      <w:r>
        <w:br w:type="page"/>
      </w:r>
    </w:p>
    <w:p>
      <w:pPr>
        <w:pStyle w:val="Heading1"/>
        <w:spacing w:after="200" w:before="400"/>
      </w:pPr>
      <w:r>
        <w:rPr>
          <w:rFonts w:ascii="Arial" w:cs="Arial" w:eastAsia="Arial" w:hAnsi="Arial"/>
          <w:b/>
          <w:bCs/>
          <w:color w:val="1F3864"/>
          <w:sz w:val="34"/>
          <w:szCs w:val="34"/>
        </w:rPr>
        <w:t xml:space="preserve">14.8  Worked Example: Monitoring and Improvement — Sunrise Refinery (Month 24)</w:t>
      </w:r>
    </w:p>
    <w:p>
      <w:pPr>
        <w:spacing w:after="160" w:line="276"/>
        <w:jc w:val="both"/>
      </w:pPr>
      <w:r>
        <w:rPr>
          <w:rFonts w:ascii="Arial" w:cs="Arial" w:eastAsia="Arial" w:hAnsi="Arial"/>
          <w:b w:val="false"/>
          <w:bCs w:val="false"/>
          <w:color w:val="000000"/>
          <w:sz w:val="22"/>
          <w:szCs w:val="22"/>
        </w:rPr>
        <w:t xml:space="preserve">The Sunrise Refinery CSMS has now completed its first full operational cycle — 24 months from the point at which the governance framework was established (Chapter 11, Month 0) through the implementation of primary technical controls (Chapter 12, Month 12) and the first full year of operational security process execution (Chapter 13, Months 12–24). Month 24 represents the first comprehensive management review cycle — the point at which the CSMS looks back at what it has achieved, assesses its performance honestly, and plans the next improvement cycle.</w:t>
      </w:r>
    </w:p>
    <w:p>
      <w:pPr>
        <w:pStyle w:val="Heading2"/>
        <w:spacing w:after="160" w:before="300"/>
      </w:pPr>
      <w:r>
        <w:rPr>
          <w:rFonts w:ascii="Arial" w:cs="Arial" w:eastAsia="Arial" w:hAnsi="Arial"/>
          <w:b/>
          <w:bCs/>
          <w:color w:val="2E75B6"/>
          <w:sz w:val="27"/>
          <w:szCs w:val="27"/>
        </w:rPr>
        <w:t xml:space="preserve">14.8.1  KPI Performance — Year 1 Summary</w:t>
      </w:r>
    </w:p>
    <w:p>
      <w:pPr>
        <w:spacing w:after="160" w:line="276"/>
        <w:jc w:val="both"/>
      </w:pPr>
      <w:r>
        <w:rPr>
          <w:rFonts w:ascii="Arial" w:cs="Arial" w:eastAsia="Arial" w:hAnsi="Arial"/>
          <w:b w:val="false"/>
          <w:bCs w:val="false"/>
          <w:color w:val="000000"/>
          <w:sz w:val="22"/>
          <w:szCs w:val="22"/>
        </w:rPr>
        <w:t xml:space="preserve">The following table presents the Sunrise Refinery KPI performance for the first full operational year (Months 13–24), showing performance against target and the trend observed over the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800"/>
        <w:gridCol w:w="800"/>
        <w:gridCol w:w="800"/>
        <w:gridCol w:w="800"/>
        <w:gridCol w:w="800"/>
        <w:gridCol w:w="800"/>
        <w:gridCol w:w="1560"/>
      </w:tblGrid>
      <w:tr>
        <w:tc>
          <w:tcPr>
            <w:tcW w:type="dxa" w:w="7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Name</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Q1 Actual</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Q2 Actual</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Q3 Actual</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Q4 Actual</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RAG</w:t>
            </w:r>
          </w:p>
        </w:tc>
        <w:tc>
          <w:tcPr>
            <w:tcW w:type="dxa" w:w="15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Commentary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KPI-G1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Management Review Completion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GREEN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4 quarterly reviews completed on schedule.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KPI-R1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Patch Compliance — Emergency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GREEN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Emergency patches in period.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KPI-R1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Patch Compliance — CRITICAL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AMBER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Q1 low due to vendor coordination delays. Trend improving.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KPI-R3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Unmitigated CRITICAL Risks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GREEN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 CRITICAL risks from Month 16 incident closed by Q3.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KPI-T1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Alert Response — SEV 2 (≤30min)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94%</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AMBER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Out-of-hours coverage gap identified and partially addressed.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KPI-T3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Remote Access MFA Compliance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99%</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GREEN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 legacy vendor accounts remediated in Q1.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KPI-O1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Change Management Compliance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99%</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GREEN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Q1 low following Month 16 incident (emergency changes). Process reinforced.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KPI-O2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Vendor Access via PAM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89%</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98%</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GREEN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 vendors migrated to PAM in Q1; full compliance by Q3.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KPI-O3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Training Completion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GREEN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Q1 low — new OT Security Analyst onboarding. Q4 full compliance.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KPI-S1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Incident Rate (SEV 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GREEN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SEV 1 incidents in Year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KPI-S1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Incident Rate (SEV 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AMBER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Month 16 incident (SEV 2). Post-incident corrective actions completed.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KPI-S2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MTTD — SEV 2</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&lt;4 hours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4.5h</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AMBER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Month 16 incident: 4.5 hour MTTD. Alert response procedure updated.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KPI-S4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Unplanned OT Downtime (Security)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 hours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GREEN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security-attributed unplanned downtime in Year 1.</w:t>
            </w:r>
          </w:p>
        </w:tc>
      </w:tr>
    </w:tbl>
    <w:p>
      <w:pPr>
        <w:spacing w:after="220" w:before="80"/>
        <w:jc w:val="center"/>
      </w:pPr>
      <w:r>
        <w:rPr>
          <w:rFonts w:ascii="Arial" w:cs="Arial" w:eastAsia="Arial" w:hAnsi="Arial"/>
          <w:b/>
          <w:bCs/>
          <w:i/>
          <w:iCs/>
          <w:color w:val="1F3864"/>
          <w:sz w:val="20"/>
          <w:szCs w:val="20"/>
        </w:rPr>
        <w:t xml:space="preserve">Table 14.9: Sunrise Refinery KPI Performance — Year 1 (Months 13–24)</w:t>
      </w:r>
    </w:p>
    <w:p>
      <w:pPr>
        <w:spacing w:after="200"/>
      </w:pPr>
      <w:r>
        <w:t xml:space="preserve"/>
      </w:r>
    </w:p>
    <w:p>
      <w:pPr>
        <w:pStyle w:val="Heading2"/>
        <w:spacing w:after="160" w:before="300"/>
      </w:pPr>
      <w:r>
        <w:rPr>
          <w:rFonts w:ascii="Arial" w:cs="Arial" w:eastAsia="Arial" w:hAnsi="Arial"/>
          <w:b/>
          <w:bCs/>
          <w:color w:val="2E75B6"/>
          <w:sz w:val="27"/>
          <w:szCs w:val="27"/>
        </w:rPr>
        <w:t xml:space="preserve">14.8.2  Maturity Assessment — Month 24</w:t>
      </w:r>
    </w:p>
    <w:p>
      <w:pPr>
        <w:spacing w:after="160" w:line="276"/>
        <w:jc w:val="both"/>
      </w:pPr>
      <w:r>
        <w:rPr>
          <w:rFonts w:ascii="Arial" w:cs="Arial" w:eastAsia="Arial" w:hAnsi="Arial"/>
          <w:b w:val="false"/>
          <w:bCs w:val="false"/>
          <w:color w:val="000000"/>
          <w:sz w:val="22"/>
          <w:szCs w:val="22"/>
        </w:rPr>
        <w:t xml:space="preserve">The Month 24 maturity assessment was conducted by an external OT security consultant — providing independent assessment consistent with the principle that self-assessment has inherent limitations. The assessment used the six-dimension model from Table 14.7 and produced the following maturity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200"/>
        <w:gridCol w:w="2960"/>
      </w:tblGrid>
      <w:tr>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CSMS Dimension</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Assessed
Level</w:t>
            </w:r>
          </w:p>
        </w:tc>
        <w:tc>
          <w:tcPr>
            <w:tcW w:type="dxa" w:w="3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Evidence</w:t>
            </w:r>
          </w:p>
        </w:tc>
        <w:tc>
          <w:tcPr>
            <w:tcW w:type="dxa" w:w="29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to Next Level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Risk Management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Level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Documented risk assessment methodology (IEC 62443-3-2); risk register with 42 items, reviewed quarterly; treatment plans with owners and due dates; reassessment triggers defined and one trigger event acted upon (Month 16 incident).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Risk register not yet integrated into operational decision-making dashboard. Quantitative risk metrics not yet defined. External peer benchmarking not yet in place.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Governance &amp; Policy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Level 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Complete Tier 1 and 5 Tier 2 policy suite; CSMS Governance Committee meeting monthly with documented minutes; Executive Sponsor chairing quarterly management review; all governance committee roles filled.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Policy compliance not yet measured through KPIs (KPI-G2 only measures currency, not compliance). Cross-functional conflict resolution through governance committee still requires OT Security Manager facilitation.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Technical Controls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Level 3 (approaching Level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Zone and conduit architecture substantially complete (SIS zone, Level 2 process zone complete; Level 3 in progress); OT-IDS operational with 23 alert policies; MFA on all remote access; PAM solution operational; risk-based patch management programme.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KPI-T1 (alert response) not yet consistently meeting target (94% in Q4 — approaching but not at target). Technical control effectiveness not yet formally tested through red team assessment. OPC-UA data diode commissioning still in progress.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Operational Processes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Level 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Incident response plan exercised (Month 16 real incident; Month 18 tabletop); change management consistently followed (99% compliance in Q4); vendor security lifecycle programme operational for 11 vendors; role-based training programme current for all roles.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Change management compliance measured but not yet at consistent ≥ 98% over a full 12-month period (Q1 was 91%). Vendor security programme not yet extended to SBOM requirements. Exercise programme does not yet include functional exercise — tabletop only.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Monitoring &amp; Measurement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Level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KPI framework with 20 indicators operational; internal audit programme with defined schedule (first internal audit completed Month 20); management review documented and conducted quarterly; reassessment trigger framework operational.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KPI trends not yet used for predictive improvement planning — currently reactive (address KPIs that are already below target). Internal audit findings from Month 20 audit not all closed within required timelines. IEC 62443 gap assessment not yet conducted (planned Month 27).</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Security Culture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Level 2 (approaching Level 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Security awareness training completed for all roles. Near-miss reporting procedure defined. Month 16 incident reported promptly by OT Security Analyst. Operator involvement in Month 18 tabletop exercise positive.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Near-miss reporting rate very low (3 in Year 1) — consistent with under-reporting rather than absence of near-misses. Operations management not yet consistently reinforcing security behaviour. Security culture not yet measured. Psychological safety for reporting concerns not yet established across all shifts.</w:t>
            </w:r>
          </w:p>
        </w:tc>
      </w:tr>
    </w:tbl>
    <w:p>
      <w:pPr>
        <w:spacing w:after="220" w:before="80"/>
        <w:jc w:val="center"/>
      </w:pPr>
      <w:r>
        <w:rPr>
          <w:rFonts w:ascii="Arial" w:cs="Arial" w:eastAsia="Arial" w:hAnsi="Arial"/>
          <w:b/>
          <w:bCs/>
          <w:i/>
          <w:iCs/>
          <w:color w:val="1F3864"/>
          <w:sz w:val="20"/>
          <w:szCs w:val="20"/>
        </w:rPr>
        <w:t xml:space="preserve">Table 14.10: Sunrise Refinery CSMS Maturity Assessment — Month 24</w:t>
      </w:r>
    </w:p>
    <w:p>
      <w:pPr>
        <w:spacing w:after="200"/>
      </w:pPr>
      <w:r>
        <w:t xml:space="preserve"/>
      </w:r>
    </w:p>
    <w:p>
      <w:pPr>
        <w:pStyle w:val="Heading2"/>
        <w:spacing w:after="160" w:before="300"/>
      </w:pPr>
      <w:r>
        <w:rPr>
          <w:rFonts w:ascii="Arial" w:cs="Arial" w:eastAsia="Arial" w:hAnsi="Arial"/>
          <w:b/>
          <w:bCs/>
          <w:color w:val="2E75B6"/>
          <w:sz w:val="27"/>
          <w:szCs w:val="27"/>
        </w:rPr>
        <w:t xml:space="preserve">14.8.3  Year 2 Improvement Programme</w:t>
      </w:r>
    </w:p>
    <w:p>
      <w:pPr>
        <w:spacing w:after="160" w:line="276"/>
        <w:jc w:val="both"/>
      </w:pPr>
      <w:r>
        <w:rPr>
          <w:rFonts w:ascii="Arial" w:cs="Arial" w:eastAsia="Arial" w:hAnsi="Arial"/>
          <w:b w:val="false"/>
          <w:bCs w:val="false"/>
          <w:color w:val="000000"/>
          <w:sz w:val="22"/>
          <w:szCs w:val="22"/>
        </w:rPr>
        <w:t xml:space="preserve">The Month 24 management review approved the following Year 2 (Months 25–36) improvement programme, developed from the maturity assessment findings, the KPI performance data, and the audit findings:</w:t>
      </w:r>
    </w:p>
    <w:p>
      <w:pPr>
        <w:pStyle w:val="ListParagraph"/>
        <w:numPr>
          <w:ilvl w:val="0"/>
          <w:numId w:val="2"/>
        </w:numPr>
        <w:spacing w:after="100" w:line="276"/>
      </w:pPr>
      <w:r>
        <w:rPr>
          <w:rFonts w:ascii="Arial" w:cs="Arial" w:eastAsia="Arial" w:hAnsi="Arial"/>
          <w:sz w:val="22"/>
          <w:szCs w:val="22"/>
        </w:rPr>
        <w:t xml:space="preserve">Priority 1 — Security Culture Programme (closes most significant maturity gap): Engage operations management in a structured security culture programme, modelled on the process safety culture programme. Implement a near-miss reporting incentive scheme. Introduce security behaviour observation programme (similar to safety observation tours). Target: security culture maturity from Level 2 to Level 3 by Month 36.</w:t>
      </w:r>
    </w:p>
    <w:p>
      <w:pPr>
        <w:pStyle w:val="ListParagraph"/>
        <w:numPr>
          <w:ilvl w:val="0"/>
          <w:numId w:val="2"/>
        </w:numPr>
        <w:spacing w:after="100" w:line="276"/>
      </w:pPr>
      <w:r>
        <w:rPr>
          <w:rFonts w:ascii="Arial" w:cs="Arial" w:eastAsia="Arial" w:hAnsi="Arial"/>
          <w:sz w:val="22"/>
          <w:szCs w:val="22"/>
        </w:rPr>
        <w:t xml:space="preserve">Priority 2 — IEC 62443 Gap Assessment (Month 27): Conduct the first formal IEC 62443 gap assessment, using an external specialist consultant. The gap assessment will provide the independent benchmark needed for the Year 3 regulatory submission and will identify any technical control gaps not yet identified through internal audit.</w:t>
      </w:r>
    </w:p>
    <w:p>
      <w:pPr>
        <w:pStyle w:val="ListParagraph"/>
        <w:numPr>
          <w:ilvl w:val="0"/>
          <w:numId w:val="2"/>
        </w:numPr>
        <w:spacing w:after="100" w:line="276"/>
      </w:pPr>
      <w:r>
        <w:rPr>
          <w:rFonts w:ascii="Arial" w:cs="Arial" w:eastAsia="Arial" w:hAnsi="Arial"/>
          <w:sz w:val="22"/>
          <w:szCs w:val="22"/>
        </w:rPr>
        <w:t xml:space="preserve">Priority 3 — Red Team Assessment (Month 30): Engage an OT specialist red team to conduct the first adversarial assessment of the Sunrise Refinery OT security controls. This will provide the first external validation of technical control effectiveness beyond design verification.</w:t>
      </w:r>
    </w:p>
    <w:p>
      <w:pPr>
        <w:pStyle w:val="ListParagraph"/>
        <w:numPr>
          <w:ilvl w:val="0"/>
          <w:numId w:val="2"/>
        </w:numPr>
        <w:spacing w:after="100" w:line="276"/>
      </w:pPr>
      <w:r>
        <w:rPr>
          <w:rFonts w:ascii="Arial" w:cs="Arial" w:eastAsia="Arial" w:hAnsi="Arial"/>
          <w:sz w:val="22"/>
          <w:szCs w:val="22"/>
        </w:rPr>
        <w:t xml:space="preserve">Priority 4 — Out-of-Hours Alert Coverage (closes KPI-T1 gap): Implement automated escalation for SEV 1 and SEV 2 OT-IDS alerts outside business hours to the OT Security Manager's mobile device, with automatic escalation to the external OT security monitoring service if not acknowledged within 15 minutes.</w:t>
      </w:r>
    </w:p>
    <w:p>
      <w:pPr>
        <w:pStyle w:val="ListParagraph"/>
        <w:numPr>
          <w:ilvl w:val="0"/>
          <w:numId w:val="2"/>
        </w:numPr>
        <w:spacing w:after="100" w:line="276"/>
      </w:pPr>
      <w:r>
        <w:rPr>
          <w:rFonts w:ascii="Arial" w:cs="Arial" w:eastAsia="Arial" w:hAnsi="Arial"/>
          <w:sz w:val="22"/>
          <w:szCs w:val="22"/>
        </w:rPr>
        <w:t xml:space="preserve">Priority 5 — OPC-UA Data Diode Commissioning (closes open CRITICAL risk): Commission the OPC-UA data diode for the historian IT/OT boundary (installation Month 13, commissioning delayed to Month 26 due to vendor availability). This closes the final CRITICAL risk from the original risk assessment.</w:t>
      </w:r>
    </w:p>
    <w:p>
      <w:pPr>
        <w:pStyle w:val="ListParagraph"/>
        <w:numPr>
          <w:ilvl w:val="0"/>
          <w:numId w:val="2"/>
        </w:numPr>
        <w:spacing w:after="100" w:line="276"/>
      </w:pPr>
      <w:r>
        <w:rPr>
          <w:rFonts w:ascii="Arial" w:cs="Arial" w:eastAsia="Arial" w:hAnsi="Arial"/>
          <w:sz w:val="22"/>
          <w:szCs w:val="22"/>
        </w:rPr>
        <w:t xml:space="preserve">Priority 6 — Functional Exercise (Month 32): Conduct the first functional exercise — an upgrade from the tabletop exercises conducted in Years 1 and 2 — involving actual execution of notification procedures, actual engagement with the external OT forensics vendor, and actual regulatory notification template completion.</w:t>
      </w:r>
    </w:p>
    <w:p>
      <w:r>
        <w:br w:type="page"/>
      </w:r>
    </w:p>
    <w:p>
      <w:pPr>
        <w:pStyle w:val="Heading1"/>
        <w:spacing w:after="200" w:before="400"/>
      </w:pPr>
      <w:r>
        <w:rPr>
          <w:rFonts w:ascii="Arial" w:cs="Arial" w:eastAsia="Arial" w:hAnsi="Arial"/>
          <w:b/>
          <w:bCs/>
          <w:color w:val="1F3864"/>
          <w:sz w:val="34"/>
          <w:szCs w:val="34"/>
        </w:rPr>
        <w:t xml:space="preserve">14.9  Chapter Summary and Textbook Synthesis</w:t>
      </w:r>
    </w:p>
    <w:p>
      <w:pPr>
        <w:spacing w:after="160" w:line="276"/>
        <w:jc w:val="both"/>
      </w:pPr>
      <w:r>
        <w:rPr>
          <w:rFonts w:ascii="Arial" w:cs="Arial" w:eastAsia="Arial" w:hAnsi="Arial"/>
          <w:b w:val="false"/>
          <w:bCs w:val="false"/>
          <w:color w:val="000000"/>
          <w:sz w:val="22"/>
          <w:szCs w:val="22"/>
        </w:rPr>
        <w:t xml:space="preserve">This chapter has addressed the final and arguably most important component of the CSMS framework: the monitoring, measurement, and continuous improvement processes that determine whether the CSMS delivers sustained security improvement or progressively degrades into a set of obsolete documents and misconfigured controls. IEC 62443-2-1 Category 3 — the monitoring and improvement category — provides the regulatory basis for these processes; the PDCA cycle provides the conceptual architecture; and the five process domains of this chapter (KPI measurement, audit, reassessment, management review, and maturity assessment) provide the operational mechanisms.</w:t>
      </w:r>
    </w:p>
    <w:p>
      <w:pPr>
        <w:spacing w:after="160" w:line="276"/>
        <w:jc w:val="both"/>
      </w:pPr>
      <w:r>
        <w:rPr>
          <w:rFonts w:ascii="Arial" w:cs="Arial" w:eastAsia="Arial" w:hAnsi="Arial"/>
          <w:b w:val="false"/>
          <w:bCs w:val="false"/>
          <w:color w:val="000000"/>
          <w:sz w:val="22"/>
          <w:szCs w:val="22"/>
        </w:rPr>
        <w:t xml:space="preserve">The OT security KPI framework — 20 indicators across five domains, combining leading process metrics with lagging outcome metrics — provides the quantitative evidence base for CSMS performance assessment. The distinction between leading and lagging indicators is not merely academic; it has direct practical implications for how the KPI framework is used. Leading indicators enable proactive management — identifying process degradation before it produces security failures. Lagging indicators provide the ground truth of security outcomes — the evidence that leading indicator investment is or is not producing the intended results. Both are necessary; neither is sufficient alone.</w:t>
      </w:r>
    </w:p>
    <w:p>
      <w:pPr>
        <w:spacing w:after="160" w:line="276"/>
        <w:jc w:val="both"/>
      </w:pPr>
      <w:r>
        <w:rPr>
          <w:rFonts w:ascii="Arial" w:cs="Arial" w:eastAsia="Arial" w:hAnsi="Arial"/>
          <w:b w:val="false"/>
          <w:bCs w:val="false"/>
          <w:color w:val="000000"/>
          <w:sz w:val="22"/>
          <w:szCs w:val="22"/>
        </w:rPr>
        <w:t xml:space="preserve">The OT security audit programme — combining internal compliance audit, IEC 62443 gap assessment, third-party certification audit, technical security assessment, and regulatory audit — provides the independent, structured assessment of CSMS conformance that KPI measurement alone cannot provide. Effective audit requires document review, records examination, interview, observation, and technical testing — not merely desk review of documents. Finding classification (Major Non-Conformance, Minor Non-Conformance, Observation) enables prioritised corrective action management. The corrective action register closes the loop between audit findings and CSMS improvement.</w:t>
      </w:r>
    </w:p>
    <w:p>
      <w:pPr>
        <w:spacing w:after="160" w:line="276"/>
        <w:jc w:val="both"/>
      </w:pPr>
      <w:r>
        <w:rPr>
          <w:rFonts w:ascii="Arial" w:cs="Arial" w:eastAsia="Arial" w:hAnsi="Arial"/>
          <w:b w:val="false"/>
          <w:bCs w:val="false"/>
          <w:color w:val="000000"/>
          <w:sz w:val="22"/>
          <w:szCs w:val="22"/>
        </w:rPr>
        <w:t xml:space="preserve">The reassessment trigger framework addresses the dynamic nature of OT security risk — the reality that the threat, vulnerability, and consequence landscape changes continuously and that a risk assessment conducted two years ago may not accurately represent the current risk. Five trigger categories (threat landscape change, OT environment change, regulatory change, security incident, and organisational change) define the events that require unscheduled risk register review, supplementing the periodic reassessment schedule. The trigger framework is the mechanism by which the CSMS maintains the currency of its risk intelligence.</w:t>
      </w:r>
    </w:p>
    <w:p>
      <w:pPr>
        <w:spacing w:after="160" w:line="276"/>
        <w:jc w:val="both"/>
      </w:pPr>
      <w:r>
        <w:rPr>
          <w:rFonts w:ascii="Arial" w:cs="Arial" w:eastAsia="Arial" w:hAnsi="Arial"/>
          <w:b w:val="false"/>
          <w:bCs w:val="false"/>
          <w:color w:val="000000"/>
          <w:sz w:val="22"/>
          <w:szCs w:val="22"/>
        </w:rPr>
        <w:t xml:space="preserve">The management review is the governance forum through which monitoring data is converted into management decisions. Its effectiveness depends on the right people (Executive Sponsor as chair), the right information (complete KPI dashboard, risk register, incident summary, audit findings, improvement proposals), and the right decisions (risk acceptance, resource allocation, improvement programme authorisation). The documented outputs of the management review — signed minutes, decision register, action register, approved improvement programme — provide both the audit trail for IEC 62443-2-1 conformance and the accountability mechanism for CSMS improvement.</w:t>
      </w:r>
    </w:p>
    <w:p>
      <w:pPr>
        <w:spacing w:after="160" w:line="276"/>
        <w:jc w:val="both"/>
      </w:pPr>
      <w:r>
        <w:rPr>
          <w:rFonts w:ascii="Arial" w:cs="Arial" w:eastAsia="Arial" w:hAnsi="Arial"/>
          <w:b w:val="false"/>
          <w:bCs w:val="false"/>
          <w:color w:val="000000"/>
          <w:sz w:val="22"/>
          <w:szCs w:val="22"/>
        </w:rPr>
        <w:t xml:space="preserve">The CSMS maturity model provides the strategic framework for understanding where the organisation's OT security programme stands in its development and what the improvement trajectory should be. The six-dimension model (risk management, governance, technical controls, operational processes, monitoring, and security culture) reflects the full scope of the CSMS framework and provides a qualitative assessment that complements the quantitative KPI measurement. Maturity targets should be calibrated to the facility's risk profile — not every facility needs Level 5 maturity in all dimensions, but every facility with significant OT security risk should have a clearly defined maturity target and a credible improvement plan to achieve it.</w:t>
      </w:r>
    </w:p>
    <w:p>
      <w:pPr>
        <w:spacing w:after="160" w:line="276"/>
        <w:jc w:val="both"/>
      </w:pPr>
      <w:r>
        <w:rPr>
          <w:rFonts w:ascii="Arial" w:cs="Arial" w:eastAsia="Arial" w:hAnsi="Arial"/>
          <w:b w:val="false"/>
          <w:bCs w:val="false"/>
          <w:color w:val="000000"/>
          <w:sz w:val="22"/>
          <w:szCs w:val="22"/>
        </w:rPr>
        <w:t xml:space="preserve">The Sunrise Refinery worked example at Month 24 demonstrates the first complete PDCA cycle of a real CSMS programme — showing both the achievements (full technical control implementation, incident response capability tested by a real incident, KPI framework operational, management review conducted quarterly) and the remaining gaps (security culture at Level 2, alert response not yet consistently meeting target, IEC 62443 gap assessment not yet conducted). The Year 2 improvement programme, developed from the maturity assessment findings and the KPI performance data, demonstrates how the monitoring and improvement processes generate a credible, evidence-based improvement trajectory.</w:t>
      </w:r>
    </w:p>
    <w:p>
      <w:pPr>
        <w:spacing w:after="160" w:line="276"/>
        <w:jc w:val="both"/>
      </w:pPr>
      <w:r>
        <w:rPr>
          <w:rFonts w:ascii="Arial" w:cs="Arial" w:eastAsia="Arial" w:hAnsi="Arial"/>
          <w:b w:val="false"/>
          <w:bCs w:val="false"/>
          <w:color w:val="000000"/>
          <w:sz w:val="22"/>
          <w:szCs w:val="22"/>
        </w:rPr>
        <w:t xml:space="preserve">This chapter also completes the synthesis of the complete textbook. Parts I and II developed the risk assessment capability — the analytical toolkit for identifying, quantifying, and prioritising OT security risk. Part III has developed the CSMS implementation and operational capability — the governance framework (Chapter 11), the technical controls (Chapter 12), the operational processes (Chapter 13), and the monitoring and improvement processes (Chapter 14) that convert analytical findings into managed, sustained risk reduction. Taken together, these four chapters provide the complete framework for establishing, operating, and continuously improving a CSMS that meets the requirements of IEC 62443-2-1 and that genuinely reduces OT security risk in the complex, dynamic, and consequence-laden environment of industrial automation and control systems.</w:t>
      </w:r>
    </w:p>
    <w:p>
      <w:pPr>
        <w:spacing w:after="160" w:line="276"/>
        <w:jc w:val="both"/>
      </w:pPr>
      <w:r>
        <w:rPr>
          <w:rFonts w:ascii="Arial" w:cs="Arial" w:eastAsia="Arial" w:hAnsi="Arial"/>
          <w:b w:val="false"/>
          <w:bCs w:val="false"/>
          <w:color w:val="000000"/>
          <w:sz w:val="22"/>
          <w:szCs w:val="22"/>
        </w:rPr>
        <w:t xml:space="preserve">The student who has engaged with this textbook in its entirety possesses the analytical and management capabilities required to: conduct a rigorous OT security risk assessment using the IEC 62443 methodology; design and implement the governance structures, technical controls, and operational processes of a compliant CSMS; monitor and measure CSMS performance using a KPI framework grounded in both leading and lagging indicators; manage the audit and reassessment processes that maintain CSMS currency; and plan and execute the continuous improvement programme that sustains CSMS effectiveness over time. These capabilities define the competence expected of the OT security professional operating in critical infrastructure and process industry environments — environments where the consequences of security failure are measured not in financial loss alone, but in process safety, environmental harm, and the health and safety of the communities that depend on the reliable, secure operation of industrial systems.</w:t>
      </w:r>
    </w:p>
    <w:p>
      <w:r>
        <w:br w:type="page"/>
      </w:r>
    </w:p>
    <w:p>
      <w:pPr>
        <w:pStyle w:val="Heading1"/>
        <w:spacing w:after="200" w:before="400"/>
      </w:pPr>
      <w:r>
        <w:rPr>
          <w:rFonts w:ascii="Arial" w:cs="Arial" w:eastAsia="Arial" w:hAnsi="Arial"/>
          <w:b/>
          <w:bCs/>
          <w:color w:val="1F3864"/>
          <w:sz w:val="34"/>
          <w:szCs w:val="34"/>
        </w:rPr>
        <w:t xml:space="preserve">References</w:t>
      </w:r>
    </w:p>
    <w:p>
      <w:pPr>
        <w:pStyle w:val="ListParagraph"/>
        <w:numPr>
          <w:ilvl w:val="0"/>
          <w:numId w:val="3"/>
        </w:numPr>
        <w:spacing w:after="80" w:line="276"/>
      </w:pPr>
      <w:r>
        <w:rPr>
          <w:rFonts w:ascii="Arial" w:cs="Arial" w:eastAsia="Arial" w:hAnsi="Arial"/>
          <w:sz w:val="20"/>
          <w:szCs w:val="20"/>
        </w:rPr>
        <w:t xml:space="preserve">Anderson, R. (2020). Security Engineering: A Guide to Building Dependable Distributed Systems (3rd ed.). Hoboken, NJ: Wiley.</w:t>
      </w:r>
    </w:p>
    <w:p>
      <w:pPr>
        <w:pStyle w:val="ListParagraph"/>
        <w:numPr>
          <w:ilvl w:val="0"/>
          <w:numId w:val="3"/>
        </w:numPr>
        <w:spacing w:after="80" w:line="276"/>
      </w:pPr>
      <w:r>
        <w:rPr>
          <w:rFonts w:ascii="Arial" w:cs="Arial" w:eastAsia="Arial" w:hAnsi="Arial"/>
          <w:sz w:val="20"/>
          <w:szCs w:val="20"/>
        </w:rPr>
        <w:t xml:space="preserve">Australian Government Department of Home Affairs (2022). Security of Critical Infrastructure (Critical Infrastructure Risk Management Program) Rules (LIN 22/026) 2022. Canberra: Commonwealth of Australia.</w:t>
      </w:r>
    </w:p>
    <w:p>
      <w:pPr>
        <w:pStyle w:val="ListParagraph"/>
        <w:numPr>
          <w:ilvl w:val="0"/>
          <w:numId w:val="3"/>
        </w:numPr>
        <w:spacing w:after="80" w:line="276"/>
      </w:pPr>
      <w:r>
        <w:rPr>
          <w:rFonts w:ascii="Arial" w:cs="Arial" w:eastAsia="Arial" w:hAnsi="Arial"/>
          <w:sz w:val="20"/>
          <w:szCs w:val="20"/>
        </w:rPr>
        <w:t xml:space="preserve">Axelos (2019). ITIL 4 Foundation. Norwich: The Stationery Office.</w:t>
      </w:r>
    </w:p>
    <w:p>
      <w:pPr>
        <w:pStyle w:val="ListParagraph"/>
        <w:numPr>
          <w:ilvl w:val="0"/>
          <w:numId w:val="3"/>
        </w:numPr>
        <w:spacing w:after="80" w:line="276"/>
      </w:pPr>
      <w:r>
        <w:rPr>
          <w:rFonts w:ascii="Arial" w:cs="Arial" w:eastAsia="Arial" w:hAnsi="Arial"/>
          <w:sz w:val="20"/>
          <w:szCs w:val="20"/>
        </w:rPr>
        <w:t xml:space="preserve">Bodungen, C., Singer, B., Shbeeb, A., Wilhoit, K., and Hilt, S. (2017). Hacking Exposed: Industrial Control Systems. New York: McGraw-Hill.</w:t>
      </w:r>
    </w:p>
    <w:p>
      <w:pPr>
        <w:pStyle w:val="ListParagraph"/>
        <w:numPr>
          <w:ilvl w:val="0"/>
          <w:numId w:val="3"/>
        </w:numPr>
        <w:spacing w:after="80" w:line="276"/>
      </w:pPr>
      <w:r>
        <w:rPr>
          <w:rFonts w:ascii="Arial" w:cs="Arial" w:eastAsia="Arial" w:hAnsi="Arial"/>
          <w:sz w:val="20"/>
          <w:szCs w:val="20"/>
        </w:rPr>
        <w:t xml:space="preserve">Carnegie Mellon University Software Engineering Institute (2021). Cybersecurity Capability Maturity Model (C2M2), Version 2.0. Pittsburgh, PA: Carnegie Mellon University. Retrieved from https://c2m2.doe.gov</w:t>
      </w:r>
    </w:p>
    <w:p>
      <w:pPr>
        <w:pStyle w:val="ListParagraph"/>
        <w:numPr>
          <w:ilvl w:val="0"/>
          <w:numId w:val="3"/>
        </w:numPr>
        <w:spacing w:after="80" w:line="276"/>
      </w:pPr>
      <w:r>
        <w:rPr>
          <w:rFonts w:ascii="Arial" w:cs="Arial" w:eastAsia="Arial" w:hAnsi="Arial"/>
          <w:sz w:val="20"/>
          <w:szCs w:val="20"/>
        </w:rPr>
        <w:t xml:space="preserve">CISA (Cybersecurity and Infrastructure Security Agency) (2022). Cross-Sector Cybersecurity Performance Goals. Washington DC: CISA. Retrieved from https://www.cisa.gov/cpg</w:t>
      </w:r>
    </w:p>
    <w:p>
      <w:pPr>
        <w:pStyle w:val="ListParagraph"/>
        <w:numPr>
          <w:ilvl w:val="0"/>
          <w:numId w:val="3"/>
        </w:numPr>
        <w:spacing w:after="80" w:line="276"/>
      </w:pPr>
      <w:r>
        <w:rPr>
          <w:rFonts w:ascii="Arial" w:cs="Arial" w:eastAsia="Arial" w:hAnsi="Arial"/>
          <w:sz w:val="20"/>
          <w:szCs w:val="20"/>
        </w:rPr>
        <w:t xml:space="preserve">Deming, W.E. (1986). Out of the Crisis. Cambridge, MA: MIT Center for Advanced Engineering Study.</w:t>
      </w:r>
    </w:p>
    <w:p>
      <w:pPr>
        <w:pStyle w:val="ListParagraph"/>
        <w:numPr>
          <w:ilvl w:val="0"/>
          <w:numId w:val="3"/>
        </w:numPr>
        <w:spacing w:after="80" w:line="276"/>
      </w:pPr>
      <w:r>
        <w:rPr>
          <w:rFonts w:ascii="Arial" w:cs="Arial" w:eastAsia="Arial" w:hAnsi="Arial"/>
          <w:sz w:val="20"/>
          <w:szCs w:val="20"/>
        </w:rPr>
        <w:t xml:space="preserve">Dragos (2023). ICS/OT Cybersecurity Year in Review 2022. Hanover, MD: Dragos, Inc.</w:t>
      </w:r>
    </w:p>
    <w:p>
      <w:pPr>
        <w:pStyle w:val="ListParagraph"/>
        <w:numPr>
          <w:ilvl w:val="0"/>
          <w:numId w:val="3"/>
        </w:numPr>
        <w:spacing w:after="80" w:line="276"/>
      </w:pPr>
      <w:r>
        <w:rPr>
          <w:rFonts w:ascii="Arial" w:cs="Arial" w:eastAsia="Arial" w:hAnsi="Arial"/>
          <w:sz w:val="20"/>
          <w:szCs w:val="20"/>
        </w:rPr>
        <w:t xml:space="preserve">European Parliament (2022). Directive (EU) 2022/2555 (NIS2 Directive) on Measures for a High Common Level of Cybersecurity Across the Union. Official Journal of the European Union, L 333, 80–152.</w:t>
      </w:r>
    </w:p>
    <w:p>
      <w:pPr>
        <w:pStyle w:val="ListParagraph"/>
        <w:numPr>
          <w:ilvl w:val="0"/>
          <w:numId w:val="3"/>
        </w:numPr>
        <w:spacing w:after="80" w:line="276"/>
      </w:pPr>
      <w:r>
        <w:rPr>
          <w:rFonts w:ascii="Arial" w:cs="Arial" w:eastAsia="Arial" w:hAnsi="Arial"/>
          <w:sz w:val="20"/>
          <w:szCs w:val="20"/>
        </w:rPr>
        <w:t xml:space="preserve">Health and Safety Executive (HSE) (2001). Reducing Risks, Protecting People (R2P2). Norwich: HMSO.</w:t>
      </w:r>
    </w:p>
    <w:p>
      <w:pPr>
        <w:pStyle w:val="ListParagraph"/>
        <w:numPr>
          <w:ilvl w:val="0"/>
          <w:numId w:val="3"/>
        </w:numPr>
        <w:spacing w:after="80" w:line="276"/>
      </w:pPr>
      <w:r>
        <w:rPr>
          <w:rFonts w:ascii="Arial" w:cs="Arial" w:eastAsia="Arial" w:hAnsi="Arial"/>
          <w:sz w:val="20"/>
          <w:szCs w:val="20"/>
        </w:rPr>
        <w:t xml:space="preserve">Hopkins, A. (2009). Thinking about Process Safety Indicators. Safety Science, 47(4), 460–465. https://doi.org/10.1016/j.ssci.2008.07.016</w:t>
      </w:r>
    </w:p>
    <w:p>
      <w:pPr>
        <w:pStyle w:val="ListParagraph"/>
        <w:numPr>
          <w:ilvl w:val="0"/>
          <w:numId w:val="3"/>
        </w:numPr>
        <w:spacing w:after="80" w:line="276"/>
      </w:pPr>
      <w:r>
        <w:rPr>
          <w:rFonts w:ascii="Arial" w:cs="Arial" w:eastAsia="Arial" w:hAnsi="Arial"/>
          <w:sz w:val="20"/>
          <w:szCs w:val="20"/>
        </w:rPr>
        <w:t xml:space="preserve">IEC (2010). IEC 62443-2-1:2010: Security for Industrial Automation and Control Systems — Part 2-1: Establishing an Industrial Automation and Control System Security Programme.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(2013). IEC 62443-3-3:2013: Industrial Communication Networks — Network and System Security — Part 3-3: System Security Requirements and Security Levels.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(2020). IEC 62443-3-2:2020: Security for Industrial Automation and Control Systems — Part 3-2: Security Risk Assessment for System Design. Geneva: International Electrotechnical Commission.</w:t>
      </w:r>
    </w:p>
    <w:p>
      <w:pPr>
        <w:pStyle w:val="ListParagraph"/>
        <w:numPr>
          <w:ilvl w:val="0"/>
          <w:numId w:val="3"/>
        </w:numPr>
        <w:spacing w:after="80" w:line="276"/>
      </w:pPr>
      <w:r>
        <w:rPr>
          <w:rFonts w:ascii="Arial" w:cs="Arial" w:eastAsia="Arial" w:hAnsi="Arial"/>
          <w:sz w:val="20"/>
          <w:szCs w:val="20"/>
        </w:rPr>
        <w:t xml:space="preserve">ISO (2015). ISO 9001:2015: Quality Management Systems — Requirements. Geneva: International Organization for Standardization.</w:t>
      </w:r>
    </w:p>
    <w:p>
      <w:pPr>
        <w:pStyle w:val="ListParagraph"/>
        <w:numPr>
          <w:ilvl w:val="0"/>
          <w:numId w:val="3"/>
        </w:numPr>
        <w:spacing w:after="80" w:line="276"/>
      </w:pPr>
      <w:r>
        <w:rPr>
          <w:rFonts w:ascii="Arial" w:cs="Arial" w:eastAsia="Arial" w:hAnsi="Arial"/>
          <w:sz w:val="20"/>
          <w:szCs w:val="20"/>
        </w:rPr>
        <w:t xml:space="preserve">ISO (2013). ISO/IEC 27001:2013: Information Technology — Security Techniques — Information Security Management Systems — Requirements. Geneva: International Organization for Standardization.</w:t>
      </w:r>
    </w:p>
    <w:p>
      <w:pPr>
        <w:pStyle w:val="ListParagraph"/>
        <w:numPr>
          <w:ilvl w:val="0"/>
          <w:numId w:val="3"/>
        </w:numPr>
        <w:spacing w:after="80" w:line="276"/>
      </w:pPr>
      <w:r>
        <w:rPr>
          <w:rFonts w:ascii="Arial" w:cs="Arial" w:eastAsia="Arial" w:hAnsi="Arial"/>
          <w:sz w:val="20"/>
          <w:szCs w:val="20"/>
        </w:rPr>
        <w:t xml:space="preserve">ISO (2018). ISO 31000:2018: Risk Management — Guidelines. Geneva: International Organization for Standardization.</w:t>
      </w:r>
    </w:p>
    <w:p>
      <w:pPr>
        <w:pStyle w:val="ListParagraph"/>
        <w:numPr>
          <w:ilvl w:val="0"/>
          <w:numId w:val="3"/>
        </w:numPr>
        <w:spacing w:after="80" w:line="276"/>
      </w:pPr>
      <w:r>
        <w:rPr>
          <w:rFonts w:ascii="Arial" w:cs="Arial" w:eastAsia="Arial" w:hAnsi="Arial"/>
          <w:sz w:val="20"/>
          <w:szCs w:val="20"/>
        </w:rPr>
        <w:t xml:space="preserve">ISA (International Society of Automation) (2018). ISA-62443-2-1-2018: Security for Industrial Automation and Control Systems — Part 2-1: Establishing an Industrial Automation and Control System Security Program. Research Triangle Park, NC: ISA.</w:t>
      </w:r>
    </w:p>
    <w:p>
      <w:pPr>
        <w:pStyle w:val="ListParagraph"/>
        <w:numPr>
          <w:ilvl w:val="0"/>
          <w:numId w:val="3"/>
        </w:numPr>
        <w:spacing w:after="80" w:line="276"/>
      </w:pPr>
      <w:r>
        <w:rPr>
          <w:rFonts w:ascii="Arial" w:cs="Arial" w:eastAsia="Arial" w:hAnsi="Arial"/>
          <w:sz w:val="20"/>
          <w:szCs w:val="20"/>
        </w:rPr>
        <w:t xml:space="preserve">Juran, J.M. and Godfrey, A.B. (Eds.) (1999). Juran's Quality Handbook (5th ed.). New York: McGraw-Hill.</w:t>
      </w:r>
    </w:p>
    <w:p>
      <w:pPr>
        <w:pStyle w:val="ListParagraph"/>
        <w:numPr>
          <w:ilvl w:val="0"/>
          <w:numId w:val="3"/>
        </w:numPr>
        <w:spacing w:after="80" w:line="276"/>
      </w:pPr>
      <w:r>
        <w:rPr>
          <w:rFonts w:ascii="Arial" w:cs="Arial" w:eastAsia="Arial" w:hAnsi="Arial"/>
          <w:sz w:val="20"/>
          <w:szCs w:val="20"/>
        </w:rPr>
        <w:t xml:space="preserve">Kaplan, R.S. and Norton, D.P. (1996). The Balanced Scorecard: Translating Strategy into Action. Boston, MA: Harvard Business School Press.</w:t>
      </w:r>
    </w:p>
    <w:p>
      <w:pPr>
        <w:pStyle w:val="ListParagraph"/>
        <w:numPr>
          <w:ilvl w:val="0"/>
          <w:numId w:val="3"/>
        </w:numPr>
        <w:spacing w:after="80" w:line="276"/>
      </w:pPr>
      <w:r>
        <w:rPr>
          <w:rFonts w:ascii="Arial" w:cs="Arial" w:eastAsia="Arial" w:hAnsi="Arial"/>
          <w:sz w:val="20"/>
          <w:szCs w:val="20"/>
        </w:rPr>
        <w:t xml:space="preserve">Lees, F.P. (2005). Loss Prevention in the Process Industries: Hazard Identification, Assessment and Control (3rd ed.). Oxford: Butterworth-Heinemann.</w:t>
      </w:r>
    </w:p>
    <w:p>
      <w:pPr>
        <w:pStyle w:val="ListParagraph"/>
        <w:numPr>
          <w:ilvl w:val="0"/>
          <w:numId w:val="3"/>
        </w:numPr>
        <w:spacing w:after="80" w:line="276"/>
      </w:pPr>
      <w:r>
        <w:rPr>
          <w:rFonts w:ascii="Arial" w:cs="Arial" w:eastAsia="Arial" w:hAnsi="Arial"/>
          <w:sz w:val="20"/>
          <w:szCs w:val="20"/>
        </w:rPr>
        <w:t xml:space="preserve">Manuele, F.A. (2009). Leading and Lagging Indicators: Do They Add Value to the Practice of Safety? Professional Safety, 54(12), 28–33.</w:t>
      </w:r>
    </w:p>
    <w:p>
      <w:pPr>
        <w:pStyle w:val="ListParagraph"/>
        <w:numPr>
          <w:ilvl w:val="0"/>
          <w:numId w:val="3"/>
        </w:numPr>
        <w:spacing w:after="80" w:line="276"/>
      </w:pPr>
      <w:r>
        <w:rPr>
          <w:rFonts w:ascii="Arial" w:cs="Arial" w:eastAsia="Arial" w:hAnsi="Arial"/>
          <w:sz w:val="20"/>
          <w:szCs w:val="20"/>
        </w:rPr>
        <w:t xml:space="preserve">NIST (2018). Framework for Improving Critical Infrastructure Cybersecurity, Version 1.1. Gaithersburg, MD: National Institute of Standards and Technology.</w:t>
      </w:r>
    </w:p>
    <w:p>
      <w:pPr>
        <w:pStyle w:val="ListParagraph"/>
        <w:numPr>
          <w:ilvl w:val="0"/>
          <w:numId w:val="3"/>
        </w:numPr>
        <w:spacing w:after="80" w:line="276"/>
      </w:pPr>
      <w:r>
        <w:rPr>
          <w:rFonts w:ascii="Arial" w:cs="Arial" w:eastAsia="Arial" w:hAnsi="Arial"/>
          <w:sz w:val="20"/>
          <w:szCs w:val="20"/>
        </w:rPr>
        <w:t xml:space="preserve">NIST (2020). Special Publication 800-55 Rev.1: Performance Measurement Guide for Information Security. Gaithersburg, MD: National Institute of Standards and Technology.</w:t>
      </w:r>
    </w:p>
    <w:p>
      <w:pPr>
        <w:pStyle w:val="ListParagraph"/>
        <w:numPr>
          <w:ilvl w:val="0"/>
          <w:numId w:val="3"/>
        </w:numPr>
        <w:spacing w:after="80" w:line="276"/>
      </w:pPr>
      <w:r>
        <w:rPr>
          <w:rFonts w:ascii="Arial" w:cs="Arial" w:eastAsia="Arial" w:hAnsi="Arial"/>
          <w:sz w:val="20"/>
          <w:szCs w:val="20"/>
        </w:rPr>
        <w:t xml:space="preserve">NIST (2020). Special Publication 800-137A: Assessing Information Security Continuous Monitoring (ISCM) Programs. Gaithersburg, MD: National Institute of Standards and Technology.</w:t>
      </w:r>
    </w:p>
    <w:p>
      <w:pPr>
        <w:pStyle w:val="ListParagraph"/>
        <w:numPr>
          <w:ilvl w:val="0"/>
          <w:numId w:val="3"/>
        </w:numPr>
        <w:spacing w:after="80" w:line="276"/>
      </w:pPr>
      <w:r>
        <w:rPr>
          <w:rFonts w:ascii="Arial" w:cs="Arial" w:eastAsia="Arial" w:hAnsi="Arial"/>
          <w:sz w:val="20"/>
          <w:szCs w:val="20"/>
        </w:rPr>
        <w:t xml:space="preserve">Paulk, M.C., Curtis, B., Chrissis, M.B., and Weber, C.V. (1993). Capability Maturity Model for Software, Version 1.1 (CMU/SEI-93-TR-024). Pittsburgh, PA: Carnegie Mellon University Software Engineering Institute.</w:t>
      </w:r>
    </w:p>
    <w:p>
      <w:pPr>
        <w:pStyle w:val="ListParagraph"/>
        <w:numPr>
          <w:ilvl w:val="0"/>
          <w:numId w:val="3"/>
        </w:numPr>
        <w:spacing w:after="80" w:line="276"/>
      </w:pPr>
      <w:r>
        <w:rPr>
          <w:rFonts w:ascii="Arial" w:cs="Arial" w:eastAsia="Arial" w:hAnsi="Arial"/>
          <w:sz w:val="20"/>
          <w:szCs w:val="20"/>
        </w:rPr>
        <w:t xml:space="preserve">Reason, J. (1997). Managing the Risks of Organisational Accidents. Aldershot: Ashgate.</w:t>
      </w:r>
    </w:p>
    <w:p>
      <w:pPr>
        <w:pStyle w:val="ListParagraph"/>
        <w:numPr>
          <w:ilvl w:val="0"/>
          <w:numId w:val="3"/>
        </w:numPr>
        <w:spacing w:after="80" w:line="276"/>
      </w:pPr>
      <w:r>
        <w:rPr>
          <w:rFonts w:ascii="Arial" w:cs="Arial" w:eastAsia="Arial" w:hAnsi="Arial"/>
          <w:sz w:val="20"/>
          <w:szCs w:val="20"/>
        </w:rPr>
        <w:t xml:space="preserve">Stoneburner, G., Goguen, A., and Feringa, A. (2002). NIST Special Publication 800-30: Risk Management Guide for Information Technology Systems. Gaithersburg, MD: National Institute of Standards and Technology.</w:t>
      </w:r>
    </w:p>
    <w:p>
      <w:pPr>
        <w:pStyle w:val="ListParagraph"/>
        <w:numPr>
          <w:ilvl w:val="0"/>
          <w:numId w:val="3"/>
        </w:numPr>
        <w:spacing w:after="80" w:line="276"/>
      </w:pPr>
      <w:r>
        <w:rPr>
          <w:rFonts w:ascii="Arial" w:cs="Arial" w:eastAsia="Arial" w:hAnsi="Arial"/>
          <w:sz w:val="20"/>
          <w:szCs w:val="20"/>
        </w:rPr>
        <w:t xml:space="preserve">US Department of Energy (2021). Cybersecurity Capability Maturity Model (C2M2), Version 2.0. Washington DC: US Department of Energy.</w:t>
      </w:r>
    </w:p>
    <w:p>
      <w:pPr>
        <w:pStyle w:val="ListParagraph"/>
        <w:numPr>
          <w:ilvl w:val="0"/>
          <w:numId w:val="3"/>
        </w:numPr>
        <w:spacing w:after="80" w:line="276"/>
      </w:pPr>
      <w:r>
        <w:rPr>
          <w:rFonts w:ascii="Arial" w:cs="Arial" w:eastAsia="Arial" w:hAnsi="Arial"/>
          <w:sz w:val="20"/>
          <w:szCs w:val="20"/>
        </w:rPr>
        <w:t xml:space="preserve">von Solms, R. and van Niekerk, J. (2013). From Information Security to Cyber Security. Computers and Security, 38, 97–102. https://doi.org/10.1016/j.cose.2013.04.004</w:t>
      </w:r>
    </w:p>
    <w:p>
      <w:pPr>
        <w:pStyle w:val="ListParagraph"/>
        <w:numPr>
          <w:ilvl w:val="0"/>
          <w:numId w:val="3"/>
        </w:numPr>
        <w:spacing w:after="80" w:line="276"/>
      </w:pPr>
      <w:r>
        <w:rPr>
          <w:rFonts w:ascii="Arial" w:cs="Arial" w:eastAsia="Arial" w:hAnsi="Arial"/>
          <w:sz w:val="20"/>
          <w:szCs w:val="20"/>
        </w:rPr>
        <w:t xml:space="preserve">Williams, T.J. (1994). The Purdue Enterprise Reference Architecture. Computers in Industry, 24(2–3), 141–158. https://doi.org/10.1016/0166-3615(94)90017-5</w:t>
      </w:r>
    </w:p>
    <w:p>
      <w:pPr>
        <w:pStyle w:val="ListParagraph"/>
        <w:numPr>
          <w:ilvl w:val="0"/>
          <w:numId w:val="3"/>
        </w:numPr>
        <w:spacing w:after="80" w:line="276"/>
      </w:pPr>
      <w:r>
        <w:rPr>
          <w:rFonts w:ascii="Arial" w:cs="Arial" w:eastAsia="Arial" w:hAnsi="Arial"/>
          <w:sz w:val="20"/>
          <w:szCs w:val="20"/>
        </w:rPr>
        <w:t xml:space="preserve">Zetter, K. (2014). Countdown to Zero Day: Stuxnet and the Launch of the World's First Digital Weapon. New York: Crown Publishers.</w:t>
      </w:r>
    </w:p>
    <w:p>
      <w:pPr>
        <w:spacing w:after="200"/>
      </w:pPr>
      <w:r>
        <w:t xml:space="preserve"/>
      </w:r>
    </w:p>
    <w:p>
      <w:pPr>
        <w:pStyle w:val="Heading1"/>
        <w:spacing w:after="200" w:before="400"/>
      </w:pPr>
      <w:r>
        <w:rPr>
          <w:rFonts w:ascii="Arial" w:cs="Arial" w:eastAsia="Arial" w:hAnsi="Arial"/>
          <w:b/>
          <w:bCs/>
          <w:color w:val="1F3864"/>
          <w:sz w:val="34"/>
          <w:szCs w:val="34"/>
        </w:rPr>
        <w:t xml:space="preserve">Additional Resources for Further Study</w:t>
      </w:r>
    </w:p>
    <w:p>
      <w:pPr>
        <w:pStyle w:val="Heading2"/>
        <w:spacing w:after="160" w:before="300"/>
      </w:pPr>
      <w:r>
        <w:rPr>
          <w:rFonts w:ascii="Arial" w:cs="Arial" w:eastAsia="Arial" w:hAnsi="Arial"/>
          <w:b/>
          <w:bCs/>
          <w:color w:val="2E75B6"/>
          <w:sz w:val="27"/>
          <w:szCs w:val="27"/>
        </w:rPr>
        <w:t xml:space="preserve">Primary Standards and Frameworks</w:t>
      </w:r>
    </w:p>
    <w:p>
      <w:pPr>
        <w:pStyle w:val="ListParagraph"/>
        <w:numPr>
          <w:ilvl w:val="0"/>
          <w:numId w:val="2"/>
        </w:numPr>
        <w:spacing w:after="100" w:line="276"/>
      </w:pPr>
      <w:r>
        <w:rPr>
          <w:rFonts w:ascii="Arial" w:cs="Arial" w:eastAsia="Arial" w:hAnsi="Arial"/>
          <w:sz w:val="22"/>
          <w:szCs w:val="22"/>
        </w:rPr>
        <w:t xml:space="preserve">IEC 62443-2-1:2010 §4.4 — Monitoring and Improving the CSMS. [The primary regulatory basis for this chapter — §4.4.1 (monitoring), §4.4.2 (internal audit), §4.4.3 (management review), and §4.4.4 (continual improvement) are directly implemented in Sections 14.2–14.5.]</w:t>
      </w:r>
    </w:p>
    <w:p>
      <w:pPr>
        <w:pStyle w:val="ListParagraph"/>
        <w:numPr>
          <w:ilvl w:val="0"/>
          <w:numId w:val="2"/>
        </w:numPr>
        <w:spacing w:after="100" w:line="276"/>
      </w:pPr>
      <w:r>
        <w:rPr>
          <w:rFonts w:ascii="Arial" w:cs="Arial" w:eastAsia="Arial" w:hAnsi="Arial"/>
          <w:sz w:val="22"/>
          <w:szCs w:val="22"/>
        </w:rPr>
        <w:t xml:space="preserve">NIST SP 800-55 Rev.1 — Performance Measurement Guide for Information Security. [The foundational reference for information security KPI design; the leading/lagging indicator framework in Section 14.2.1 draws on this guidance.]</w:t>
      </w:r>
    </w:p>
    <w:p>
      <w:pPr>
        <w:pStyle w:val="ListParagraph"/>
        <w:numPr>
          <w:ilvl w:val="0"/>
          <w:numId w:val="2"/>
        </w:numPr>
        <w:spacing w:after="100" w:line="276"/>
      </w:pPr>
      <w:r>
        <w:rPr>
          <w:rFonts w:ascii="Arial" w:cs="Arial" w:eastAsia="Arial" w:hAnsi="Arial"/>
          <w:sz w:val="22"/>
          <w:szCs w:val="22"/>
        </w:rPr>
        <w:t xml:space="preserve">US DoE C2M2 Version 2.0 — Cybersecurity Capability Maturity Model. [The most widely used OT-applicable cybersecurity maturity model; the six-dimension framework in Section 14.6 is adapted from C2M2.]</w:t>
      </w:r>
    </w:p>
    <w:p>
      <w:pPr>
        <w:pStyle w:val="ListParagraph"/>
        <w:numPr>
          <w:ilvl w:val="0"/>
          <w:numId w:val="2"/>
        </w:numPr>
        <w:spacing w:after="100" w:line="276"/>
      </w:pPr>
      <w:r>
        <w:rPr>
          <w:rFonts w:ascii="Arial" w:cs="Arial" w:eastAsia="Arial" w:hAnsi="Arial"/>
          <w:sz w:val="22"/>
          <w:szCs w:val="22"/>
        </w:rPr>
        <w:t xml:space="preserve">CISA Cross-Sector Cybersecurity Performance Goals (CPGs). [CISA's practical performance goal framework for critical infrastructure — directly applicable as a KPI reference for US-regulated OT operators.]</w:t>
      </w:r>
    </w:p>
    <w:p>
      <w:pPr>
        <w:pStyle w:val="Heading2"/>
        <w:spacing w:after="160" w:before="300"/>
      </w:pPr>
      <w:r>
        <w:rPr>
          <w:rFonts w:ascii="Arial" w:cs="Arial" w:eastAsia="Arial" w:hAnsi="Arial"/>
          <w:b/>
          <w:bCs/>
          <w:color w:val="2E75B6"/>
          <w:sz w:val="27"/>
          <w:szCs w:val="27"/>
        </w:rPr>
        <w:t xml:space="preserve">Reference Texts</w:t>
      </w:r>
    </w:p>
    <w:p>
      <w:pPr>
        <w:pStyle w:val="ListParagraph"/>
        <w:numPr>
          <w:ilvl w:val="0"/>
          <w:numId w:val="2"/>
        </w:numPr>
        <w:spacing w:after="100" w:line="276"/>
      </w:pPr>
      <w:r>
        <w:rPr>
          <w:rFonts w:ascii="Arial" w:cs="Arial" w:eastAsia="Arial" w:hAnsi="Arial"/>
          <w:sz w:val="22"/>
          <w:szCs w:val="22"/>
        </w:rPr>
        <w:t xml:space="preserve">Kaplan, R.S. and Norton, D.P. (1996). The Balanced Scorecard. Harvard Business School Press. [The foundational reference for multi-domain KPI frameworks — the five-domain structure of Table 14.2 reflects Balanced Scorecard thinking applied to OT security.]</w:t>
      </w:r>
    </w:p>
    <w:p>
      <w:pPr>
        <w:pStyle w:val="ListParagraph"/>
        <w:numPr>
          <w:ilvl w:val="0"/>
          <w:numId w:val="2"/>
        </w:numPr>
        <w:spacing w:after="100" w:line="276"/>
      </w:pPr>
      <w:r>
        <w:rPr>
          <w:rFonts w:ascii="Arial" w:cs="Arial" w:eastAsia="Arial" w:hAnsi="Arial"/>
          <w:sz w:val="22"/>
          <w:szCs w:val="22"/>
        </w:rPr>
        <w:t xml:space="preserve">Deming, W.E. (1986). Out of the Crisis. MIT Press. [Chapter 3 on the PDCA cycle provides the theoretical foundation for Section 14.7. Essential reading for understanding continuous improvement as a management discipline rather than a compliance exercise.]</w:t>
      </w:r>
    </w:p>
    <w:p>
      <w:pPr>
        <w:pStyle w:val="ListParagraph"/>
        <w:numPr>
          <w:ilvl w:val="0"/>
          <w:numId w:val="2"/>
        </w:numPr>
        <w:spacing w:after="100" w:line="276"/>
      </w:pPr>
      <w:r>
        <w:rPr>
          <w:rFonts w:ascii="Arial" w:cs="Arial" w:eastAsia="Arial" w:hAnsi="Arial"/>
          <w:sz w:val="22"/>
          <w:szCs w:val="22"/>
        </w:rPr>
        <w:t xml:space="preserve">Hopkins, A. (2009). Thinking about Process Safety Indicators. Safety Science, 47(4). [The process safety equivalent of OT security KPI design — Hopkins' analysis of the limitations of lagging safety indicators is directly applicable to OT security measurement.]</w:t>
      </w:r>
    </w:p>
    <w:p>
      <w:pPr>
        <w:pStyle w:val="Heading2"/>
        <w:spacing w:after="160" w:before="300"/>
      </w:pPr>
      <w:r>
        <w:rPr>
          <w:rFonts w:ascii="Arial" w:cs="Arial" w:eastAsia="Arial" w:hAnsi="Arial"/>
          <w:b/>
          <w:bCs/>
          <w:color w:val="2E75B6"/>
          <w:sz w:val="27"/>
          <w:szCs w:val="27"/>
        </w:rPr>
        <w:t xml:space="preserve">Practical Resources</w:t>
      </w:r>
    </w:p>
    <w:p>
      <w:pPr>
        <w:pStyle w:val="ListParagraph"/>
        <w:numPr>
          <w:ilvl w:val="0"/>
          <w:numId w:val="2"/>
        </w:numPr>
        <w:spacing w:after="100" w:line="276"/>
      </w:pPr>
      <w:r>
        <w:rPr>
          <w:rFonts w:ascii="Arial" w:cs="Arial" w:eastAsia="Arial" w:hAnsi="Arial"/>
          <w:sz w:val="22"/>
          <w:szCs w:val="22"/>
        </w:rPr>
        <w:t xml:space="preserve">CISA CPG Self-Assessment: https://www.cisa.gov/cpg — Free self-assessment tool for measuring performance against the CISA Cross-Sector Cybersecurity Performance Goals; directly applicable as a leading indicator measurement tool.</w:t>
      </w:r>
    </w:p>
    <w:p>
      <w:pPr>
        <w:pStyle w:val="ListParagraph"/>
        <w:numPr>
          <w:ilvl w:val="0"/>
          <w:numId w:val="2"/>
        </w:numPr>
        <w:spacing w:after="100" w:line="276"/>
      </w:pPr>
      <w:r>
        <w:rPr>
          <w:rFonts w:ascii="Arial" w:cs="Arial" w:eastAsia="Arial" w:hAnsi="Arial"/>
          <w:sz w:val="22"/>
          <w:szCs w:val="22"/>
        </w:rPr>
        <w:t xml:space="preserve">ICS-CERT Evaluation Programme: https://www.cisa.gov/ics — CISA's no-cost Industrial Control Systems security assessments for critical infrastructure operators; applicable as a gap assessment input.</w:t>
      </w:r>
    </w:p>
    <w:p>
      <w:pPr>
        <w:pStyle w:val="ListParagraph"/>
        <w:numPr>
          <w:ilvl w:val="0"/>
          <w:numId w:val="2"/>
        </w:numPr>
        <w:spacing w:after="100" w:line="276"/>
      </w:pPr>
      <w:r>
        <w:rPr>
          <w:rFonts w:ascii="Arial" w:cs="Arial" w:eastAsia="Arial" w:hAnsi="Arial"/>
          <w:sz w:val="22"/>
          <w:szCs w:val="22"/>
        </w:rPr>
        <w:t xml:space="preserve">ISA Global Cybersecurity Alliance (ISAGCA) Conformance Programme: https://isagca.org — Guidance on IEC 62443 certification pathways and conformance assessment for both asset owners and service providers.</w:t>
      </w:r>
    </w:p>
    <w:p>
      <w:r>
        <w:br w:type="page"/>
      </w:r>
    </w:p>
    <w:p>
      <w:pPr>
        <w:pStyle w:val="Heading1"/>
        <w:spacing w:after="200" w:before="400"/>
      </w:pPr>
      <w:r>
        <w:rPr>
          <w:rFonts w:ascii="Arial" w:cs="Arial" w:eastAsia="Arial" w:hAnsi="Arial"/>
          <w:b/>
          <w:bCs/>
          <w:color w:val="1F3864"/>
          <w:sz w:val="34"/>
          <w:szCs w:val="34"/>
        </w:rPr>
        <w:t xml:space="preserve">Review Questions and Exercises</w:t>
      </w:r>
    </w:p>
    <w:p>
      <w:pPr>
        <w:spacing w:after="160" w:line="276"/>
        <w:jc w:val="both"/>
      </w:pPr>
      <w:r>
        <w:rPr>
          <w:rFonts w:ascii="Arial" w:cs="Arial" w:eastAsia="Arial" w:hAnsi="Arial"/>
          <w:b w:val="false"/>
          <w:bCs w:val="false"/>
          <w:color w:val="000000"/>
          <w:sz w:val="22"/>
          <w:szCs w:val="22"/>
        </w:rPr>
        <w:t xml:space="preserve">The following questions are structured at three cognitive levels: Level 1 (knowledge and comprehension), Level 2 (application and analysis), and Level 3 (synthesis and critical evaluation).</w:t>
      </w:r>
    </w:p>
    <w:p>
      <w:pPr>
        <w:pStyle w:val="Heading2"/>
        <w:spacing w:after="160" w:before="300"/>
      </w:pPr>
      <w:r>
        <w:rPr>
          <w:rFonts w:ascii="Arial" w:cs="Arial" w:eastAsia="Arial" w:hAnsi="Arial"/>
          <w:b/>
          <w:bCs/>
          <w:color w:val="2E75B6"/>
          <w:sz w:val="27"/>
          <w:szCs w:val="27"/>
        </w:rPr>
        <w:t xml:space="preserve">Part A — Knowledge and Comprehension (Level 1)</w:t>
      </w:r>
    </w:p>
    <w:p>
      <w:pPr>
        <w:pStyle w:val="Heading3"/>
        <w:spacing w:after="120" w:before="220"/>
      </w:pPr>
      <w:r>
        <w:rPr>
          <w:rFonts w:ascii="Arial" w:cs="Arial" w:eastAsia="Arial" w:hAnsi="Arial"/>
          <w:b/>
          <w:bCs/>
          <w:color w:val="1F3864"/>
          <w:sz w:val="23"/>
          <w:szCs w:val="23"/>
        </w:rPr>
        <w:t xml:space="preserve">A1.</w:t>
      </w:r>
    </w:p>
    <w:p>
      <w:pPr>
        <w:spacing w:after="160" w:line="276"/>
        <w:jc w:val="both"/>
      </w:pPr>
      <w:r>
        <w:rPr>
          <w:rFonts w:ascii="Arial" w:cs="Arial" w:eastAsia="Arial" w:hAnsi="Arial"/>
          <w:b w:val="false"/>
          <w:bCs w:val="false"/>
          <w:color w:val="000000"/>
          <w:sz w:val="22"/>
          <w:szCs w:val="22"/>
        </w:rPr>
        <w:t xml:space="preserve">Explain the distinction between leading and lagging indicators of OT security performance, as described in Section 14.2.1 and Table 14.1. For each indicator class, provide three specific examples from the KPI framework in Table 14.2 and explain: (i) what the indicator measures; (ii) why it is classified as leading or lagging; and (iii) the specific management decision it informs. Explain why an OT security KPI framework that contains only lagging indicators is insufficient for effective security programme management.</w:t>
      </w:r>
    </w:p>
    <w:p>
      <w:pPr>
        <w:pStyle w:val="Heading3"/>
        <w:spacing w:after="120" w:before="220"/>
      </w:pPr>
      <w:r>
        <w:rPr>
          <w:rFonts w:ascii="Arial" w:cs="Arial" w:eastAsia="Arial" w:hAnsi="Arial"/>
          <w:b/>
          <w:bCs/>
          <w:color w:val="1F3864"/>
          <w:sz w:val="23"/>
          <w:szCs w:val="23"/>
        </w:rPr>
        <w:t xml:space="preserve">A2.</w:t>
      </w:r>
    </w:p>
    <w:p>
      <w:pPr>
        <w:spacing w:after="160" w:line="276"/>
        <w:jc w:val="both"/>
      </w:pPr>
      <w:r>
        <w:rPr>
          <w:rFonts w:ascii="Arial" w:cs="Arial" w:eastAsia="Arial" w:hAnsi="Arial"/>
          <w:b w:val="false"/>
          <w:bCs w:val="false"/>
          <w:color w:val="000000"/>
          <w:sz w:val="22"/>
          <w:szCs w:val="22"/>
        </w:rPr>
        <w:t xml:space="preserve">Describe the five types of OT security audit in the audit programme (Table 14.3). For each type, explain: (i) the scope and purpose of the audit; (ii) who conducts it; (iii) its typical frequency; and (iv) its primary output. Why is the IEC 62443 gap assessment considered strategically more important than the internal compliance audit, even though the internal audit is conducted more frequently? In what circumstances would a third-party certification audit be mandatory rather than optional?</w:t>
      </w:r>
    </w:p>
    <w:p>
      <w:pPr>
        <w:pStyle w:val="Heading3"/>
        <w:spacing w:after="120" w:before="220"/>
      </w:pPr>
      <w:r>
        <w:rPr>
          <w:rFonts w:ascii="Arial" w:cs="Arial" w:eastAsia="Arial" w:hAnsi="Arial"/>
          <w:b/>
          <w:bCs/>
          <w:color w:val="1F3864"/>
          <w:sz w:val="23"/>
          <w:szCs w:val="23"/>
        </w:rPr>
        <w:t xml:space="preserve">A3.</w:t>
      </w:r>
    </w:p>
    <w:p>
      <w:pPr>
        <w:spacing w:after="160" w:line="276"/>
        <w:jc w:val="both"/>
      </w:pPr>
      <w:r>
        <w:rPr>
          <w:rFonts w:ascii="Arial" w:cs="Arial" w:eastAsia="Arial" w:hAnsi="Arial"/>
          <w:b w:val="false"/>
          <w:bCs w:val="false"/>
          <w:color w:val="000000"/>
          <w:sz w:val="22"/>
          <w:szCs w:val="22"/>
        </w:rPr>
        <w:t xml:space="preserve">Describe the three audit finding classifications (Major Non-Conformance, Minor Non-Conformance, and Observation) from Table 14.4. For each classification, explain: (i) the defining criteria; (ii) the required response timeline; and (iii) the governance mechanism for tracking corrective actions to completion. Give one specific example from an OT environment (not from the textbook) that would be classified at each level, with justification. Why is an Observation finding that is repeatedly raised across successive audits more concerning than its classification suggests?</w:t>
      </w:r>
    </w:p>
    <w:p>
      <w:pPr>
        <w:pStyle w:val="Heading3"/>
        <w:spacing w:after="120" w:before="220"/>
      </w:pPr>
      <w:r>
        <w:rPr>
          <w:rFonts w:ascii="Arial" w:cs="Arial" w:eastAsia="Arial" w:hAnsi="Arial"/>
          <w:b/>
          <w:bCs/>
          <w:color w:val="1F3864"/>
          <w:sz w:val="23"/>
          <w:szCs w:val="23"/>
        </w:rPr>
        <w:t xml:space="preserve">A4.</w:t>
      </w:r>
    </w:p>
    <w:p>
      <w:pPr>
        <w:spacing w:after="160" w:line="276"/>
        <w:jc w:val="both"/>
      </w:pPr>
      <w:r>
        <w:rPr>
          <w:rFonts w:ascii="Arial" w:cs="Arial" w:eastAsia="Arial" w:hAnsi="Arial"/>
          <w:b w:val="false"/>
          <w:bCs w:val="false"/>
          <w:color w:val="000000"/>
          <w:sz w:val="22"/>
          <w:szCs w:val="22"/>
        </w:rPr>
        <w:t xml:space="preserve">Explain the five trigger categories of the reassessment trigger framework (Table 14.5). For each category, describe a specific trigger event and explain what reassessment scope it requires and within what timeframe. Why does IEC 62443-2-1 require both periodic reassessment AND event-triggered reassessment, rather than relying on either one alone? What is the risk of relying solely on periodic reassessment in a rapidly evolving threat environment?</w:t>
      </w:r>
    </w:p>
    <w:p>
      <w:pPr>
        <w:pStyle w:val="Heading3"/>
        <w:spacing w:after="120" w:before="220"/>
      </w:pPr>
      <w:r>
        <w:rPr>
          <w:rFonts w:ascii="Arial" w:cs="Arial" w:eastAsia="Arial" w:hAnsi="Arial"/>
          <w:b/>
          <w:bCs/>
          <w:color w:val="1F3864"/>
          <w:sz w:val="23"/>
          <w:szCs w:val="23"/>
        </w:rPr>
        <w:t xml:space="preserve">A5.</w:t>
      </w:r>
    </w:p>
    <w:p>
      <w:pPr>
        <w:spacing w:after="160" w:line="276"/>
        <w:jc w:val="both"/>
      </w:pPr>
      <w:r>
        <w:rPr>
          <w:rFonts w:ascii="Arial" w:cs="Arial" w:eastAsia="Arial" w:hAnsi="Arial"/>
          <w:b w:val="false"/>
          <w:bCs w:val="false"/>
          <w:color w:val="000000"/>
          <w:sz w:val="22"/>
          <w:szCs w:val="22"/>
        </w:rPr>
        <w:t xml:space="preserve">Describe the management review process required by IEC 62443-2-1 §4.4.3, as specified in Table 14.6. For each of the eight agenda items, explain: (i) the required data input; (ii) the management decision that must be made; and (iii) the output that must be documented. Explain the specific characteristics that distinguish an effective management review from a performative compliance exercise, with reference to the indicators of genuine management commitment from Chapter 11.</w:t>
      </w:r>
    </w:p>
    <w:p>
      <w:pPr>
        <w:pStyle w:val="Heading3"/>
        <w:spacing w:after="120" w:before="220"/>
      </w:pPr>
      <w:r>
        <w:rPr>
          <w:rFonts w:ascii="Arial" w:cs="Arial" w:eastAsia="Arial" w:hAnsi="Arial"/>
          <w:b/>
          <w:bCs/>
          <w:color w:val="1F3864"/>
          <w:sz w:val="23"/>
          <w:szCs w:val="23"/>
        </w:rPr>
        <w:t xml:space="preserve">A6.</w:t>
      </w:r>
    </w:p>
    <w:p>
      <w:pPr>
        <w:spacing w:after="160" w:line="276"/>
        <w:jc w:val="both"/>
      </w:pPr>
      <w:r>
        <w:rPr>
          <w:rFonts w:ascii="Arial" w:cs="Arial" w:eastAsia="Arial" w:hAnsi="Arial"/>
          <w:b w:val="false"/>
          <w:bCs w:val="false"/>
          <w:color w:val="000000"/>
          <w:sz w:val="22"/>
          <w:szCs w:val="22"/>
        </w:rPr>
        <w:t xml:space="preserve">Describe the five maturity levels (Initial, Repeatable, Defined, Managed, Optimising) of the OT security maturity model, as applied to the Technical Controls dimension of Table 14.7. For each level, describe: (i) the defining characteristics; (ii) the specific evidence that would demonstrate that level; and (iii) the typical organisational conditions that produce that level of maturity. At what maturity level does a CSMS first meet the IEC 62443-2-1 SHALL requirements, and why is this the appropriate minimum for a COMAH Top Tier facility?</w:t>
      </w:r>
    </w:p>
    <w:p>
      <w:pPr>
        <w:pStyle w:val="Heading2"/>
        <w:spacing w:after="160" w:before="300"/>
      </w:pPr>
      <w:r>
        <w:rPr>
          <w:rFonts w:ascii="Arial" w:cs="Arial" w:eastAsia="Arial" w:hAnsi="Arial"/>
          <w:b/>
          <w:bCs/>
          <w:color w:val="2E75B6"/>
          <w:sz w:val="27"/>
          <w:szCs w:val="27"/>
        </w:rPr>
        <w:t xml:space="preserve">Part B — Application and Analysis (Level 2)</w:t>
      </w:r>
    </w:p>
    <w:p>
      <w:pPr>
        <w:pStyle w:val="Heading3"/>
        <w:spacing w:after="120" w:before="220"/>
      </w:pPr>
      <w:r>
        <w:rPr>
          <w:rFonts w:ascii="Arial" w:cs="Arial" w:eastAsia="Arial" w:hAnsi="Arial"/>
          <w:b/>
          <w:bCs/>
          <w:color w:val="1F3864"/>
          <w:sz w:val="23"/>
          <w:szCs w:val="23"/>
        </w:rPr>
        <w:t xml:space="preserve">B1. — KPI Framework Design</w:t>
      </w:r>
    </w:p>
    <w:p>
      <w:pPr>
        <w:spacing w:after="160" w:line="276"/>
        <w:jc w:val="both"/>
      </w:pPr>
      <w:r>
        <w:rPr>
          <w:rFonts w:ascii="Arial" w:cs="Arial" w:eastAsia="Arial" w:hAnsi="Arial"/>
          <w:b w:val="false"/>
          <w:bCs w:val="false"/>
          <w:color w:val="000000"/>
          <w:sz w:val="22"/>
          <w:szCs w:val="22"/>
        </w:rPr>
        <w:t xml:space="preserve">You have been engaged as the OT Security Manager at a major water utility serving 2.5 million customers. The utility operates 12 water treatment plants, 340 pumping stations, and a central SCADA control room. It is classified as Critical Infrastructure under the Australian Security of Critical Infrastructure Act 2018. The CSMS has been operating for 18 months and you are designing the KPI framework for the first formal management review.</w:t>
      </w:r>
    </w:p>
    <w:p>
      <w:pPr>
        <w:spacing w:after="160" w:line="276"/>
        <w:jc w:val="both"/>
      </w:pPr>
      <w:r>
        <w:rPr>
          <w:rFonts w:ascii="Arial" w:cs="Arial" w:eastAsia="Arial" w:hAnsi="Arial"/>
          <w:b w:val="false"/>
          <w:bCs w:val="false"/>
          <w:color w:val="000000"/>
          <w:sz w:val="22"/>
          <w:szCs w:val="22"/>
        </w:rPr>
        <w:t xml:space="preserve">Design the complete OT security KPI framework for the utility. Your framework must:</w:t>
      </w:r>
    </w:p>
    <w:p>
      <w:pPr>
        <w:pStyle w:val="ListParagraph"/>
        <w:numPr>
          <w:ilvl w:val="0"/>
          <w:numId w:val="3"/>
        </w:numPr>
        <w:spacing w:after="100" w:line="276"/>
      </w:pPr>
      <w:r>
        <w:rPr>
          <w:rFonts w:ascii="Arial" w:cs="Arial" w:eastAsia="Arial" w:hAnsi="Arial"/>
          <w:sz w:val="22"/>
          <w:szCs w:val="22"/>
        </w:rPr>
        <w:t xml:space="preserve">Include at least 15 KPIs, organised into the five domains of Table 14.2 (Governance and Policy; Risk and Vulnerability; Technical Controls; Operational Processes; Security Outcomes).</w:t>
      </w:r>
    </w:p>
    <w:p>
      <w:pPr>
        <w:pStyle w:val="ListParagraph"/>
        <w:numPr>
          <w:ilvl w:val="0"/>
          <w:numId w:val="3"/>
        </w:numPr>
        <w:spacing w:after="100" w:line="276"/>
      </w:pPr>
      <w:r>
        <w:rPr>
          <w:rFonts w:ascii="Arial" w:cs="Arial" w:eastAsia="Arial" w:hAnsi="Arial"/>
          <w:sz w:val="22"/>
          <w:szCs w:val="22"/>
        </w:rPr>
        <w:t xml:space="preserve">For each KPI, specify: the KPI name; the precise measurement definition (what data is collected, how it is calculated); the target value; the measurement frequency; and the indicator classification (Leading or Lagging).</w:t>
      </w:r>
    </w:p>
    <w:p>
      <w:pPr>
        <w:pStyle w:val="ListParagraph"/>
        <w:numPr>
          <w:ilvl w:val="0"/>
          <w:numId w:val="3"/>
        </w:numPr>
        <w:spacing w:after="100" w:line="276"/>
      </w:pPr>
      <w:r>
        <w:rPr>
          <w:rFonts w:ascii="Arial" w:cs="Arial" w:eastAsia="Arial" w:hAnsi="Arial"/>
          <w:sz w:val="22"/>
          <w:szCs w:val="22"/>
        </w:rPr>
        <w:t xml:space="preserve">Identify the three KPIs you consider most important for this specific utility context (water critical infrastructure, 12 geographically distributed sites, cloud SCADA integration) and explain why they are the highest priority for this environment.</w:t>
      </w:r>
    </w:p>
    <w:p>
      <w:pPr>
        <w:pStyle w:val="ListParagraph"/>
        <w:numPr>
          <w:ilvl w:val="0"/>
          <w:numId w:val="3"/>
        </w:numPr>
        <w:spacing w:after="100" w:line="276"/>
      </w:pPr>
      <w:r>
        <w:rPr>
          <w:rFonts w:ascii="Arial" w:cs="Arial" w:eastAsia="Arial" w:hAnsi="Arial"/>
          <w:sz w:val="22"/>
          <w:szCs w:val="22"/>
        </w:rPr>
        <w:t xml:space="preserve">Explain how the KPI framework would be reported at the management review — what format, what level of detail, and what the management decisions are that the KPI data is intended to inform.</w:t>
      </w:r>
    </w:p>
    <w:p>
      <w:pPr>
        <w:pStyle w:val="ListParagraph"/>
        <w:numPr>
          <w:ilvl w:val="0"/>
          <w:numId w:val="3"/>
        </w:numPr>
        <w:spacing w:after="100" w:line="276"/>
      </w:pPr>
      <w:r>
        <w:rPr>
          <w:rFonts w:ascii="Arial" w:cs="Arial" w:eastAsia="Arial" w:hAnsi="Arial"/>
          <w:sz w:val="22"/>
          <w:szCs w:val="22"/>
        </w:rPr>
        <w:t xml:space="preserve">Identify two KPIs from Table 14.2 that you would not include in this utility's framework, with justification based on the specific operational context.</w:t>
      </w:r>
    </w:p>
    <w:p>
      <w:pPr>
        <w:pStyle w:val="Heading3"/>
        <w:spacing w:after="120" w:before="220"/>
      </w:pPr>
      <w:r>
        <w:rPr>
          <w:rFonts w:ascii="Arial" w:cs="Arial" w:eastAsia="Arial" w:hAnsi="Arial"/>
          <w:b/>
          <w:bCs/>
          <w:color w:val="1F3864"/>
          <w:sz w:val="23"/>
          <w:szCs w:val="23"/>
        </w:rPr>
        <w:t xml:space="preserve">B2. — Internal Audit Design and Execution</w:t>
      </w:r>
    </w:p>
    <w:p>
      <w:pPr>
        <w:spacing w:after="160" w:line="276"/>
        <w:jc w:val="both"/>
      </w:pPr>
      <w:r>
        <w:rPr>
          <w:rFonts w:ascii="Arial" w:cs="Arial" w:eastAsia="Arial" w:hAnsi="Arial"/>
          <w:b w:val="false"/>
          <w:bCs w:val="false"/>
          <w:color w:val="000000"/>
          <w:sz w:val="22"/>
          <w:szCs w:val="22"/>
        </w:rPr>
        <w:t xml:space="preserve">You are conducting the first internal compliance audit of the Sunrise Refinery CSMS at Month 20. The audit scope covers the change management process (Section 13.3) and the vendor access management process (Section 13.4). You have access to: the OT Change Management Policy and Procedure; the change management records for Months 13–20 (52 RFCs submitted); the OT Vendor and Third-Party Security Policy; the PAM session logs for Months 13–20; and the vendor contract register.</w:t>
      </w:r>
    </w:p>
    <w:p>
      <w:pPr>
        <w:spacing w:after="160" w:line="276"/>
        <w:jc w:val="both"/>
      </w:pPr>
      <w:r>
        <w:rPr>
          <w:rFonts w:ascii="Arial" w:cs="Arial" w:eastAsia="Arial" w:hAnsi="Arial"/>
          <w:b w:val="false"/>
          <w:bCs w:val="false"/>
          <w:color w:val="000000"/>
          <w:sz w:val="22"/>
          <w:szCs w:val="22"/>
        </w:rPr>
        <w:t xml:space="preserve">Design and conduct the audit. Your answer must include:</w:t>
      </w:r>
    </w:p>
    <w:p>
      <w:pPr>
        <w:pStyle w:val="ListParagraph"/>
        <w:numPr>
          <w:ilvl w:val="0"/>
          <w:numId w:val="3"/>
        </w:numPr>
        <w:spacing w:after="100" w:line="276"/>
      </w:pPr>
      <w:r>
        <w:rPr>
          <w:rFonts w:ascii="Arial" w:cs="Arial" w:eastAsia="Arial" w:hAnsi="Arial"/>
          <w:sz w:val="22"/>
          <w:szCs w:val="22"/>
        </w:rPr>
        <w:t xml:space="preserve">An audit plan: the specific audit objectives; the evidence to be collected for each audit objective; the audit method for each evidence type (document review, records examination, interview, observation, or technical testing); and the audit schedule (which activities, in what order, with what estimated duration).</w:t>
      </w:r>
    </w:p>
    <w:p>
      <w:pPr>
        <w:pStyle w:val="ListParagraph"/>
        <w:numPr>
          <w:ilvl w:val="0"/>
          <w:numId w:val="3"/>
        </w:numPr>
        <w:spacing w:after="100" w:line="276"/>
      </w:pPr>
      <w:r>
        <w:rPr>
          <w:rFonts w:ascii="Arial" w:cs="Arial" w:eastAsia="Arial" w:hAnsi="Arial"/>
          <w:sz w:val="22"/>
          <w:szCs w:val="22"/>
        </w:rPr>
        <w:t xml:space="preserve">From the change management records, you observe: 52 RFCs submitted; 47 have a completed security review form; 5 do not; all 52 were implemented. From OT-IDS configuration monitoring, you detect that 3 OT system configuration changes occurred in the period that have no corresponding RFC. Write up the specific findings arising from these observations, classified according to Table 14.4.</w:t>
      </w:r>
    </w:p>
    <w:p>
      <w:pPr>
        <w:pStyle w:val="ListParagraph"/>
        <w:numPr>
          <w:ilvl w:val="0"/>
          <w:numId w:val="3"/>
        </w:numPr>
        <w:spacing w:after="100" w:line="276"/>
      </w:pPr>
      <w:r>
        <w:rPr>
          <w:rFonts w:ascii="Arial" w:cs="Arial" w:eastAsia="Arial" w:hAnsi="Arial"/>
          <w:sz w:val="22"/>
          <w:szCs w:val="22"/>
        </w:rPr>
        <w:t xml:space="preserve">From the PAM session logs, you observe: 11 vendors; 9 vendors conducted all sessions through PAM; 1 vendor (Honeywell, DCS maintenance) conducted 3 sessions through direct VPN without PAM, with evidence that MFA was used for all 3 sessions; 1 vendor (a minor instrumentation contractor) conducted 1 session without PAM and without MFA. Write up the specific findings for each vendor observation, classified according to Table 14.4.</w:t>
      </w:r>
    </w:p>
    <w:p>
      <w:pPr>
        <w:pStyle w:val="ListParagraph"/>
        <w:numPr>
          <w:ilvl w:val="0"/>
          <w:numId w:val="3"/>
        </w:numPr>
        <w:spacing w:after="100" w:line="276"/>
      </w:pPr>
      <w:r>
        <w:rPr>
          <w:rFonts w:ascii="Arial" w:cs="Arial" w:eastAsia="Arial" w:hAnsi="Arial"/>
          <w:sz w:val="22"/>
          <w:szCs w:val="22"/>
        </w:rPr>
        <w:t xml:space="preserve">Write the corrective action plan for all Major Non-Conformance findings, specifying: the root cause analysis; the corrective action; the assigned owner; the implementation deadline; and the verification method.</w:t>
      </w:r>
    </w:p>
    <w:p>
      <w:pPr>
        <w:pStyle w:val="Heading3"/>
        <w:spacing w:after="120" w:before="220"/>
      </w:pPr>
      <w:r>
        <w:rPr>
          <w:rFonts w:ascii="Arial" w:cs="Arial" w:eastAsia="Arial" w:hAnsi="Arial"/>
          <w:b/>
          <w:bCs/>
          <w:color w:val="1F3864"/>
          <w:sz w:val="23"/>
          <w:szCs w:val="23"/>
        </w:rPr>
        <w:t xml:space="preserve">B3. — Management Review Preparation</w:t>
      </w:r>
    </w:p>
    <w:p>
      <w:pPr>
        <w:spacing w:after="160" w:line="276"/>
        <w:jc w:val="both"/>
      </w:pPr>
      <w:r>
        <w:rPr>
          <w:rFonts w:ascii="Arial" w:cs="Arial" w:eastAsia="Arial" w:hAnsi="Arial"/>
          <w:b w:val="false"/>
          <w:bCs w:val="false"/>
          <w:color w:val="000000"/>
          <w:sz w:val="22"/>
          <w:szCs w:val="22"/>
        </w:rPr>
        <w:t xml:space="preserve">You are the OT Security Manager at the Sunrise Refinery, preparing the Month 24 management review presentation for the Operations Director (Executive Sponsor). The management review data includes the KPI performance from Table 14.9 and the maturity assessment from Table 14.10.</w:t>
      </w:r>
    </w:p>
    <w:p>
      <w:pPr>
        <w:spacing w:after="160" w:line="276"/>
        <w:jc w:val="both"/>
      </w:pPr>
      <w:r>
        <w:rPr>
          <w:rFonts w:ascii="Arial" w:cs="Arial" w:eastAsia="Arial" w:hAnsi="Arial"/>
          <w:b w:val="false"/>
          <w:bCs w:val="false"/>
          <w:color w:val="000000"/>
          <w:sz w:val="22"/>
          <w:szCs w:val="22"/>
        </w:rPr>
        <w:t xml:space="preserve">Prepare the complete management review presentation package. Your package must include:</w:t>
      </w:r>
    </w:p>
    <w:p>
      <w:pPr>
        <w:pStyle w:val="ListParagraph"/>
        <w:numPr>
          <w:ilvl w:val="0"/>
          <w:numId w:val="3"/>
        </w:numPr>
        <w:spacing w:after="100" w:line="276"/>
      </w:pPr>
      <w:r>
        <w:rPr>
          <w:rFonts w:ascii="Arial" w:cs="Arial" w:eastAsia="Arial" w:hAnsi="Arial"/>
          <w:sz w:val="22"/>
          <w:szCs w:val="22"/>
        </w:rPr>
        <w:t xml:space="preserve">An executive summary (maximum 2 pages) that: summarises the CSMS programme status in Year 1; identifies the three most significant achievements; identifies the three most significant remaining gaps; and recommends three management decisions required from the Operations Director.</w:t>
      </w:r>
    </w:p>
    <w:p>
      <w:pPr>
        <w:pStyle w:val="ListParagraph"/>
        <w:numPr>
          <w:ilvl w:val="0"/>
          <w:numId w:val="3"/>
        </w:numPr>
        <w:spacing w:after="100" w:line="276"/>
      </w:pPr>
      <w:r>
        <w:rPr>
          <w:rFonts w:ascii="Arial" w:cs="Arial" w:eastAsia="Arial" w:hAnsi="Arial"/>
          <w:sz w:val="22"/>
          <w:szCs w:val="22"/>
        </w:rPr>
        <w:t xml:space="preserve">A KPI dashboard (suitable for presentation to an executive who is not an OT security specialist) that visualises the Year 1 KPI performance in a format that enables rapid identification of areas requiring attention. Explain the design choices you have made in the dashboard (what to include, what to exclude, how to visualise trends).</w:t>
      </w:r>
    </w:p>
    <w:p>
      <w:pPr>
        <w:pStyle w:val="ListParagraph"/>
        <w:numPr>
          <w:ilvl w:val="0"/>
          <w:numId w:val="3"/>
        </w:numPr>
        <w:spacing w:after="100" w:line="276"/>
      </w:pPr>
      <w:r>
        <w:rPr>
          <w:rFonts w:ascii="Arial" w:cs="Arial" w:eastAsia="Arial" w:hAnsi="Arial"/>
          <w:sz w:val="22"/>
          <w:szCs w:val="22"/>
        </w:rPr>
        <w:t xml:space="preserve">A risk register status summary that presents the current CRITICAL and HIGH risk profile in executive terms — not technical vulnerability descriptions, but business consequence terms. Include the treatment progress for each CRITICAL risk and a clear statement of residual risk.</w:t>
      </w:r>
    </w:p>
    <w:p>
      <w:pPr>
        <w:pStyle w:val="ListParagraph"/>
        <w:numPr>
          <w:ilvl w:val="0"/>
          <w:numId w:val="3"/>
        </w:numPr>
        <w:spacing w:after="100" w:line="276"/>
      </w:pPr>
      <w:r>
        <w:rPr>
          <w:rFonts w:ascii="Arial" w:cs="Arial" w:eastAsia="Arial" w:hAnsi="Arial"/>
          <w:sz w:val="22"/>
          <w:szCs w:val="22"/>
        </w:rPr>
        <w:t xml:space="preserve">The Year 2 improvement programme proposal (from Section 14.8.3 as a starting point, but adapted with additional justification), presented as a business case with: the specific improvement actions; the business rationale for each; the estimated resource requirement; and the expected security improvement in measurable terms.</w:t>
      </w:r>
    </w:p>
    <w:p>
      <w:pPr>
        <w:pStyle w:val="ListParagraph"/>
        <w:numPr>
          <w:ilvl w:val="0"/>
          <w:numId w:val="3"/>
        </w:numPr>
        <w:spacing w:after="100" w:line="276"/>
      </w:pPr>
      <w:r>
        <w:rPr>
          <w:rFonts w:ascii="Arial" w:cs="Arial" w:eastAsia="Arial" w:hAnsi="Arial"/>
          <w:sz w:val="22"/>
          <w:szCs w:val="22"/>
        </w:rPr>
        <w:t xml:space="preserve">The three management decisions you need the Operations Director to make at this management review, with a recommendation for each decision and the information needed to make each decision.</w:t>
      </w:r>
    </w:p>
    <w:p>
      <w:pPr>
        <w:pStyle w:val="Heading3"/>
        <w:spacing w:after="120" w:before="220"/>
      </w:pPr>
      <w:r>
        <w:rPr>
          <w:rFonts w:ascii="Arial" w:cs="Arial" w:eastAsia="Arial" w:hAnsi="Arial"/>
          <w:b/>
          <w:bCs/>
          <w:color w:val="1F3864"/>
          <w:sz w:val="23"/>
          <w:szCs w:val="23"/>
        </w:rPr>
        <w:t xml:space="preserve">B4. — CSMS Maturity Assessment</w:t>
      </w:r>
    </w:p>
    <w:p>
      <w:pPr>
        <w:spacing w:after="160" w:line="276"/>
        <w:jc w:val="both"/>
      </w:pPr>
      <w:r>
        <w:rPr>
          <w:rFonts w:ascii="Arial" w:cs="Arial" w:eastAsia="Arial" w:hAnsi="Arial"/>
          <w:b w:val="false"/>
          <w:bCs w:val="false"/>
          <w:color w:val="000000"/>
          <w:sz w:val="22"/>
          <w:szCs w:val="22"/>
        </w:rPr>
        <w:t xml:space="preserve">A regional port authority has been operating a CSMS for 3 years at its automated container terminal. The following evidence is available from the maturity assessment:</w:t>
      </w:r>
    </w:p>
    <w:p>
      <w:pPr>
        <w:pStyle w:val="ListParagraph"/>
        <w:numPr>
          <w:ilvl w:val="0"/>
          <w:numId w:val="2"/>
        </w:numPr>
        <w:spacing w:after="100" w:line="276"/>
      </w:pPr>
      <w:r>
        <w:rPr>
          <w:rFonts w:ascii="Arial" w:cs="Arial" w:eastAsia="Arial" w:hAnsi="Arial"/>
          <w:sz w:val="22"/>
          <w:szCs w:val="22"/>
        </w:rPr>
        <w:t xml:space="preserve">Risk Management: Risk assessment conducted 3 years ago. Risk register has not been updated since initial assessment. No reassessment triggers defined. Three ICS-CERT advisories applicable to deployed systems have not been actioned. Two CRITICAL risks have no treatment plans.</w:t>
      </w:r>
    </w:p>
    <w:p>
      <w:pPr>
        <w:pStyle w:val="ListParagraph"/>
        <w:numPr>
          <w:ilvl w:val="0"/>
          <w:numId w:val="2"/>
        </w:numPr>
        <w:spacing w:after="100" w:line="276"/>
      </w:pPr>
      <w:r>
        <w:rPr>
          <w:rFonts w:ascii="Arial" w:cs="Arial" w:eastAsia="Arial" w:hAnsi="Arial"/>
          <w:sz w:val="22"/>
          <w:szCs w:val="22"/>
        </w:rPr>
        <w:t xml:space="preserve">Technical Controls: Zone and conduit architecture fully implemented and documented. OT-IDS operational across all zones with 31 alert policies. Patch compliance rate 87% for CRITICAL patches. MFA on all remote access. PAM operational for vendor sessions. However: OT-IDS alerts triaged reactively — average response time 6.2 hours for all severities. Red team assessment never conducted.</w:t>
      </w:r>
    </w:p>
    <w:p>
      <w:pPr>
        <w:pStyle w:val="ListParagraph"/>
        <w:numPr>
          <w:ilvl w:val="0"/>
          <w:numId w:val="2"/>
        </w:numPr>
        <w:spacing w:after="100" w:line="276"/>
      </w:pPr>
      <w:r>
        <w:rPr>
          <w:rFonts w:ascii="Arial" w:cs="Arial" w:eastAsia="Arial" w:hAnsi="Arial"/>
          <w:sz w:val="22"/>
          <w:szCs w:val="22"/>
        </w:rPr>
        <w:t xml:space="preserve">Governance and Policy: Complete policy suite implemented and reviewed annually. CSMS Governance Committee meets monthly. Executive Sponsor (COO) attends quarterly management review but typically leaves after 20 minutes and delegates decisions to the OT Security Manager.</w:t>
      </w:r>
    </w:p>
    <w:p>
      <w:pPr>
        <w:pStyle w:val="ListParagraph"/>
        <w:numPr>
          <w:ilvl w:val="0"/>
          <w:numId w:val="2"/>
        </w:numPr>
        <w:spacing w:after="100" w:line="276"/>
      </w:pPr>
      <w:r>
        <w:rPr>
          <w:rFonts w:ascii="Arial" w:cs="Arial" w:eastAsia="Arial" w:hAnsi="Arial"/>
          <w:sz w:val="22"/>
          <w:szCs w:val="22"/>
        </w:rPr>
        <w:t xml:space="preserve">Operational Processes: Incident response plan current. Change management compliance 96%. Vendor security lifecycle programme operational. Training completion 100%. However: incident response plan tested only once in 3 years (tabletop at Month 6). No functional exercise or red team assessment conducted.</w:t>
      </w:r>
    </w:p>
    <w:p>
      <w:pPr>
        <w:pStyle w:val="ListParagraph"/>
        <w:numPr>
          <w:ilvl w:val="0"/>
          <w:numId w:val="2"/>
        </w:numPr>
        <w:spacing w:after="100" w:line="276"/>
      </w:pPr>
      <w:r>
        <w:rPr>
          <w:rFonts w:ascii="Arial" w:cs="Arial" w:eastAsia="Arial" w:hAnsi="Arial"/>
          <w:sz w:val="22"/>
          <w:szCs w:val="22"/>
        </w:rPr>
        <w:t xml:space="preserve">Monitoring and Measurement: KPI framework operational with 12 KPIs. Internal audit completed annually. IEC 62443 gap assessment never conducted. Management review conducted quarterly with documented minutes and decisions.</w:t>
      </w:r>
    </w:p>
    <w:p>
      <w:pPr>
        <w:pStyle w:val="ListParagraph"/>
        <w:numPr>
          <w:ilvl w:val="0"/>
          <w:numId w:val="2"/>
        </w:numPr>
        <w:spacing w:after="100" w:line="276"/>
      </w:pPr>
      <w:r>
        <w:rPr>
          <w:rFonts w:ascii="Arial" w:cs="Arial" w:eastAsia="Arial" w:hAnsi="Arial"/>
          <w:sz w:val="22"/>
          <w:szCs w:val="22"/>
        </w:rPr>
        <w:t xml:space="preserve">Security Culture: Near-miss reporting rate 12 in 3 years. Operators consistently report security concerns to the day shift supervisor. Day shift supervisor does not always forward concerns to OT Security. Security behaviour is not observed or reinforced by operations management.</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Using the maturity model from Table 14.7, conduct the maturity assessment for this port authority:</w:t>
      </w:r>
    </w:p>
    <w:p>
      <w:pPr>
        <w:pStyle w:val="ListParagraph"/>
        <w:numPr>
          <w:ilvl w:val="0"/>
          <w:numId w:val="3"/>
        </w:numPr>
        <w:spacing w:after="100" w:line="276"/>
      </w:pPr>
      <w:r>
        <w:rPr>
          <w:rFonts w:ascii="Arial" w:cs="Arial" w:eastAsia="Arial" w:hAnsi="Arial"/>
          <w:sz w:val="22"/>
          <w:szCs w:val="22"/>
        </w:rPr>
        <w:t xml:space="preserve">Assign a maturity level to each of the six dimensions, with justification referencing the specific evidence provided.</w:t>
      </w:r>
    </w:p>
    <w:p>
      <w:pPr>
        <w:pStyle w:val="ListParagraph"/>
        <w:numPr>
          <w:ilvl w:val="0"/>
          <w:numId w:val="3"/>
        </w:numPr>
        <w:spacing w:after="100" w:line="276"/>
      </w:pPr>
      <w:r>
        <w:rPr>
          <w:rFonts w:ascii="Arial" w:cs="Arial" w:eastAsia="Arial" w:hAnsi="Arial"/>
          <w:sz w:val="22"/>
          <w:szCs w:val="22"/>
        </w:rPr>
        <w:t xml:space="preserve">Identify the three most significant gaps between the current maturity level and the next level, across all dimensions.</w:t>
      </w:r>
    </w:p>
    <w:p>
      <w:pPr>
        <w:pStyle w:val="ListParagraph"/>
        <w:numPr>
          <w:ilvl w:val="0"/>
          <w:numId w:val="3"/>
        </w:numPr>
        <w:spacing w:after="100" w:line="276"/>
      </w:pPr>
      <w:r>
        <w:rPr>
          <w:rFonts w:ascii="Arial" w:cs="Arial" w:eastAsia="Arial" w:hAnsi="Arial"/>
          <w:sz w:val="22"/>
          <w:szCs w:val="22"/>
        </w:rPr>
        <w:t xml:space="preserve">Develop a 12-month maturity improvement roadmap that addresses the most significant gaps, with specific actions, assigned owners (from the CSMS role descriptions in Chapter 11), and completion targets.</w:t>
      </w:r>
    </w:p>
    <w:p>
      <w:pPr>
        <w:pStyle w:val="ListParagraph"/>
        <w:numPr>
          <w:ilvl w:val="0"/>
          <w:numId w:val="3"/>
        </w:numPr>
        <w:spacing w:after="100" w:line="276"/>
      </w:pPr>
      <w:r>
        <w:rPr>
          <w:rFonts w:ascii="Arial" w:cs="Arial" w:eastAsia="Arial" w:hAnsi="Arial"/>
          <w:sz w:val="22"/>
          <w:szCs w:val="22"/>
        </w:rPr>
        <w:t xml:space="preserve">Assess the overall maturity profile — is this port authority well-balanced across all dimensions, or are there significant maturity dimension mismatches? What are the security implications of maturity dimension mismatches (e.g., high Technical Controls maturity combined with low Risk Management maturity)?</w:t>
      </w:r>
    </w:p>
    <w:p>
      <w:pPr>
        <w:pStyle w:val="Heading2"/>
        <w:spacing w:after="160" w:before="300"/>
      </w:pPr>
      <w:r>
        <w:rPr>
          <w:rFonts w:ascii="Arial" w:cs="Arial" w:eastAsia="Arial" w:hAnsi="Arial"/>
          <w:b/>
          <w:bCs/>
          <w:color w:val="2E75B6"/>
          <w:sz w:val="27"/>
          <w:szCs w:val="27"/>
        </w:rPr>
        <w:t xml:space="preserve">Part C — Synthesis and Critical Evaluation (Level 3)</w:t>
      </w:r>
    </w:p>
    <w:p>
      <w:pPr>
        <w:pStyle w:val="Heading3"/>
        <w:spacing w:after="120" w:before="220"/>
      </w:pPr>
      <w:r>
        <w:rPr>
          <w:rFonts w:ascii="Arial" w:cs="Arial" w:eastAsia="Arial" w:hAnsi="Arial"/>
          <w:b/>
          <w:bCs/>
          <w:color w:val="1F3864"/>
          <w:sz w:val="23"/>
          <w:szCs w:val="23"/>
        </w:rPr>
        <w:t xml:space="preserve">C1. — Critical Essay: The Measurement Problem in OT Security</w:t>
      </w:r>
    </w:p>
    <w:p>
      <w:pPr>
        <w:spacing w:after="160" w:line="276"/>
        <w:jc w:val="both"/>
      </w:pPr>
      <w:r>
        <w:rPr>
          <w:rFonts w:ascii="Arial" w:cs="Arial" w:eastAsia="Arial" w:hAnsi="Arial"/>
          <w:b w:val="false"/>
          <w:bCs w:val="false"/>
          <w:color w:val="000000"/>
          <w:sz w:val="22"/>
          <w:szCs w:val="22"/>
        </w:rPr>
        <w:t xml:space="preserve">Write a critical essay (minimum 1,500 words) addressing the following proposition:</w:t>
      </w:r>
    </w:p>
    <w:p>
      <w:pPr>
        <w:spacing w:after="160" w:line="276"/>
        <w:jc w:val="both"/>
      </w:pPr>
      <w:r>
        <w:rPr>
          <w:rFonts w:ascii="Arial" w:cs="Arial" w:eastAsia="Arial" w:hAnsi="Arial"/>
          <w:b w:val="false"/>
          <w:bCs w:val="false"/>
          <w:color w:val="000000"/>
          <w:sz w:val="22"/>
          <w:szCs w:val="22"/>
        </w:rPr>
        <w:t xml:space="preserve">'The fundamental problem with OT security measurement is that the most important security outcome — the absence of successful attacks — is precisely what cannot be measured with confidence. A year with no recorded OT security incidents could mean the CSMS is working; it could mean the attacks are happening but are not being detected; or it could mean the organisation has simply been lucky. Leading indicators offer some improvement, but they measure process compliance, not security outcomes, and a process that is 100% compliant can still be systematically ineffective. The honest conclusion is that OT security KPIs provide the appearance of rigorous management without the substance — they are a comfort to boards and regulators, not a genuine basis for security decisions.'</w:t>
      </w:r>
    </w:p>
    <w:p>
      <w:pPr>
        <w:spacing w:after="160" w:line="276"/>
        <w:jc w:val="both"/>
      </w:pPr>
      <w:r>
        <w:rPr>
          <w:rFonts w:ascii="Arial" w:cs="Arial" w:eastAsia="Arial" w:hAnsi="Arial"/>
          <w:b w:val="false"/>
          <w:bCs w:val="false"/>
          <w:color w:val="000000"/>
          <w:sz w:val="22"/>
          <w:szCs w:val="22"/>
        </w:rPr>
        <w:t xml:space="preserve">Your essay should:</w:t>
      </w:r>
    </w:p>
    <w:p>
      <w:pPr>
        <w:pStyle w:val="ListParagraph"/>
        <w:numPr>
          <w:ilvl w:val="0"/>
          <w:numId w:val="2"/>
        </w:numPr>
        <w:spacing w:after="100" w:line="276"/>
      </w:pPr>
      <w:r>
        <w:rPr>
          <w:rFonts w:ascii="Arial" w:cs="Arial" w:eastAsia="Arial" w:hAnsi="Arial"/>
          <w:sz w:val="22"/>
          <w:szCs w:val="22"/>
        </w:rPr>
        <w:t xml:space="preserve">Assess the intellectual validity of the proposition. Is the measurement problem it describes genuinely intractable, or are there approaches to OT security measurement that produce reliable evidence of security effectiveness? What is the quality of evidence provided by the leading indicator and lagging indicator frameworks in Section 14.2, honestly assessed?</w:t>
      </w:r>
    </w:p>
    <w:p>
      <w:pPr>
        <w:pStyle w:val="ListParagraph"/>
        <w:numPr>
          <w:ilvl w:val="0"/>
          <w:numId w:val="2"/>
        </w:numPr>
        <w:spacing w:after="100" w:line="276"/>
      </w:pPr>
      <w:r>
        <w:rPr>
          <w:rFonts w:ascii="Arial" w:cs="Arial" w:eastAsia="Arial" w:hAnsi="Arial"/>
          <w:sz w:val="22"/>
          <w:szCs w:val="22"/>
        </w:rPr>
        <w:t xml:space="preserve">Examine the comparison with process safety measurement — an adjacent discipline that has wrestled with similar measurement challenges (measuring safety in the absence of accidents). What has the process safety community learned about the relationship between leading and lagging indicators (Hopkins, 2009; Manuele, 2009) that is directly applicable to OT security measurement? Where does the analogy hold and where does it break down?</w:t>
      </w:r>
    </w:p>
    <w:p>
      <w:pPr>
        <w:pStyle w:val="ListParagraph"/>
        <w:numPr>
          <w:ilvl w:val="0"/>
          <w:numId w:val="2"/>
        </w:numPr>
        <w:spacing w:after="100" w:line="276"/>
      </w:pPr>
      <w:r>
        <w:rPr>
          <w:rFonts w:ascii="Arial" w:cs="Arial" w:eastAsia="Arial" w:hAnsi="Arial"/>
          <w:sz w:val="22"/>
          <w:szCs w:val="22"/>
        </w:rPr>
        <w:t xml:space="preserve">Evaluate the specific OT security measurement approaches that most directly address the proposition's critique — specifically: red team assessments as a measure of security effectiveness rather than compliance; threat detection rate (the percentage of simulated attacks detected by the OT-IDS) as a more direct measure of monitoring effectiveness; and maturity assessment as a qualitative proxy for security resilience. To what extent do these approaches address the measurement problem?</w:t>
      </w:r>
    </w:p>
    <w:p>
      <w:pPr>
        <w:pStyle w:val="ListParagraph"/>
        <w:numPr>
          <w:ilvl w:val="0"/>
          <w:numId w:val="2"/>
        </w:numPr>
        <w:spacing w:after="100" w:line="276"/>
      </w:pPr>
      <w:r>
        <w:rPr>
          <w:rFonts w:ascii="Arial" w:cs="Arial" w:eastAsia="Arial" w:hAnsi="Arial"/>
          <w:sz w:val="22"/>
          <w:szCs w:val="22"/>
        </w:rPr>
        <w:t xml:space="preserve">Propose a measurement philosophy for OT security that acknowledges the genuine measurement limitations identified in the proposition while still providing actionable management information. What is the appropriate epistemic humility for a security manager presenting KPI data to a board, and how should that humility be expressed without undermining the credibility of the security programme?</w:t>
      </w:r>
    </w:p>
    <w:p>
      <w:pPr>
        <w:pStyle w:val="Heading3"/>
        <w:spacing w:after="120" w:before="220"/>
      </w:pPr>
      <w:r>
        <w:rPr>
          <w:rFonts w:ascii="Arial" w:cs="Arial" w:eastAsia="Arial" w:hAnsi="Arial"/>
          <w:b/>
          <w:bCs/>
          <w:color w:val="1F3864"/>
          <w:sz w:val="23"/>
          <w:szCs w:val="23"/>
        </w:rPr>
        <w:t xml:space="preserve">C2. — Design Exercise: Complete CSMS Lifecycle for a New Greenfield LNG Terminal</w:t>
      </w:r>
    </w:p>
    <w:p>
      <w:pPr>
        <w:spacing w:after="160" w:line="276"/>
        <w:jc w:val="both"/>
      </w:pPr>
      <w:r>
        <w:rPr>
          <w:rFonts w:ascii="Arial" w:cs="Arial" w:eastAsia="Arial" w:hAnsi="Arial"/>
          <w:b w:val="false"/>
          <w:bCs w:val="false"/>
          <w:color w:val="000000"/>
          <w:sz w:val="22"/>
          <w:szCs w:val="22"/>
        </w:rPr>
        <w:t xml:space="preserve">A major energy company is commissioning a new LNG export terminal with an annual export capacity of 15 million tonnes. The terminal will operate continuously (24/7) with a hazardous process involving liquefied natural gas at -162°C and high pressure. It will be subject to COMAH Top Tier regulations (UK) and the NIS2 Directive (classified as an essential entity in the energy sector). The terminal is currently in the detailed design phase — 18 months from first gas.</w:t>
      </w:r>
    </w:p>
    <w:p>
      <w:pPr>
        <w:spacing w:after="160" w:line="276"/>
        <w:jc w:val="both"/>
      </w:pPr>
      <w:r>
        <w:rPr>
          <w:rFonts w:ascii="Arial" w:cs="Arial" w:eastAsia="Arial" w:hAnsi="Arial"/>
          <w:b w:val="false"/>
          <w:bCs w:val="false"/>
          <w:color w:val="000000"/>
          <w:sz w:val="22"/>
          <w:szCs w:val="22"/>
        </w:rPr>
        <w:t xml:space="preserve">Design the complete CSMS lifecycle for the terminal's first five years of operation. Your answer must synthesise all four chapters of Part III:</w:t>
      </w:r>
    </w:p>
    <w:p>
      <w:pPr>
        <w:pStyle w:val="ListParagraph"/>
        <w:numPr>
          <w:ilvl w:val="0"/>
          <w:numId w:val="3"/>
        </w:numPr>
        <w:spacing w:after="100" w:line="276"/>
      </w:pPr>
      <w:r>
        <w:rPr>
          <w:rFonts w:ascii="Arial" w:cs="Arial" w:eastAsia="Arial" w:hAnsi="Arial"/>
          <w:sz w:val="22"/>
          <w:szCs w:val="22"/>
        </w:rPr>
        <w:t xml:space="preserve">CSMS Establishment Programme (Months 0–18, pre-commissioning): Drawing on the Annex B six-step process (Chapter 11), design the CSMS establishment programme for the 18 months before first gas. Include: governance structure establishment; initial risk assessment scope and methodology; technical control specification; and the specific monitoring framework that will be in place at first gas.</w:t>
      </w:r>
    </w:p>
    <w:p>
      <w:pPr>
        <w:pStyle w:val="ListParagraph"/>
        <w:numPr>
          <w:ilvl w:val="0"/>
          <w:numId w:val="3"/>
        </w:numPr>
        <w:spacing w:after="100" w:line="276"/>
      </w:pPr>
      <w:r>
        <w:rPr>
          <w:rFonts w:ascii="Arial" w:cs="Arial" w:eastAsia="Arial" w:hAnsi="Arial"/>
          <w:sz w:val="22"/>
          <w:szCs w:val="22"/>
        </w:rPr>
        <w:t xml:space="preserve">Year 1 — Commissioning and Early Operation (Months 1–12, post first gas): Identify the three highest-priority operational security challenges specific to the commissioning and early operation phase of an LNG terminal — the period when OT systems are being tested, vendor personnel are heavily present, and operational procedures are being refined. Design the specific CSMS operational process responses to each challenge.</w:t>
      </w:r>
    </w:p>
    <w:p>
      <w:pPr>
        <w:pStyle w:val="ListParagraph"/>
        <w:numPr>
          <w:ilvl w:val="0"/>
          <w:numId w:val="3"/>
        </w:numPr>
        <w:spacing w:after="100" w:line="276"/>
      </w:pPr>
      <w:r>
        <w:rPr>
          <w:rFonts w:ascii="Arial" w:cs="Arial" w:eastAsia="Arial" w:hAnsi="Arial"/>
          <w:sz w:val="22"/>
          <w:szCs w:val="22"/>
        </w:rPr>
        <w:t xml:space="preserve">Year 2–3 — CSMS Maturity Development: Specify the maturity targets for each of the six maturity dimensions at Year 3, with justification based on the LNG terminal's risk profile and regulatory obligations. Design the improvement programme that would achieve those targets, including the specific actions, sequence, and resource requirements.</w:t>
      </w:r>
    </w:p>
    <w:p>
      <w:pPr>
        <w:pStyle w:val="ListParagraph"/>
        <w:numPr>
          <w:ilvl w:val="0"/>
          <w:numId w:val="3"/>
        </w:numPr>
        <w:spacing w:after="100" w:line="276"/>
      </w:pPr>
      <w:r>
        <w:rPr>
          <w:rFonts w:ascii="Arial" w:cs="Arial" w:eastAsia="Arial" w:hAnsi="Arial"/>
          <w:sz w:val="22"/>
          <w:szCs w:val="22"/>
        </w:rPr>
        <w:t xml:space="preserve">Year 4–5 — Performance Demonstration: The terminal's operating licence requires a formal CSMS performance review at Year 5 as a condition of continued operation. Design the performance demonstration package — the specific evidence, assessments, and independent validations that would demonstrate to the HSE and the NIS2 national competent authority that the CSMS is performing effectively. Include: the KPI evidence package; the independent audit findings; the maturity assessment results; and the incident response exercise evidence.</w:t>
      </w:r>
    </w:p>
    <w:p>
      <w:pPr>
        <w:pStyle w:val="ListParagraph"/>
        <w:numPr>
          <w:ilvl w:val="0"/>
          <w:numId w:val="3"/>
        </w:numPr>
        <w:spacing w:after="100" w:line="276"/>
      </w:pPr>
      <w:r>
        <w:rPr>
          <w:rFonts w:ascii="Arial" w:cs="Arial" w:eastAsia="Arial" w:hAnsi="Arial"/>
          <w:sz w:val="22"/>
          <w:szCs w:val="22"/>
        </w:rPr>
        <w:t xml:space="preserve">Synthesis — The Continuous Improvement Architecture: Describe how the PDCA cycle operates for this terminal across the five-year period, showing specifically how each PDCA cycle builds on the previous and how the monitoring and improvement processes of Chapter 14 close the loop between risk assessment (Parts I and II) and operational security (Chapters 12 and 13). What would indicate that the CSMS has reached a genuinely self-sustaining improvement trajectory — the point at which continuous improvement is driven by the CSMS's own internal processes rather than by external requirements or management pressure?</w:t>
      </w:r>
    </w:p>
    <w:p>
      <w:pPr>
        <w:pStyle w:val="Heading3"/>
        <w:spacing w:after="120" w:before="220"/>
      </w:pPr>
      <w:r>
        <w:rPr>
          <w:rFonts w:ascii="Arial" w:cs="Arial" w:eastAsia="Arial" w:hAnsi="Arial"/>
          <w:b/>
          <w:bCs/>
          <w:color w:val="1F3864"/>
          <w:sz w:val="23"/>
          <w:szCs w:val="23"/>
        </w:rPr>
        <w:t xml:space="preserve">C3. — Integrative Case Study: The CSMS Performance Review</w:t>
      </w:r>
    </w:p>
    <w:p>
      <w:pPr>
        <w:spacing w:after="160" w:line="276"/>
        <w:jc w:val="both"/>
      </w:pPr>
      <w:r>
        <w:rPr>
          <w:rFonts w:ascii="Arial" w:cs="Arial" w:eastAsia="Arial" w:hAnsi="Arial"/>
          <w:b w:val="false"/>
          <w:bCs w:val="false"/>
          <w:color w:val="000000"/>
          <w:sz w:val="22"/>
          <w:szCs w:val="22"/>
        </w:rPr>
        <w:t xml:space="preserve">The IEC 62443-2-1 management review and the maturity assessment framework provide the governance structure for evaluating CSMS performance. But their effectiveness depends on the intellectual honesty with which they are conducted — the willingness of the OT Security Manager, the Executive Sponsor, and the CSMS Governance Committee to acknowledge genuine performance gaps rather than rationalising them away.</w:t>
      </w:r>
    </w:p>
    <w:p>
      <w:pPr>
        <w:spacing w:after="160" w:line="276"/>
        <w:jc w:val="both"/>
      </w:pPr>
      <w:r>
        <w:rPr>
          <w:rFonts w:ascii="Arial" w:cs="Arial" w:eastAsia="Arial" w:hAnsi="Arial"/>
          <w:b w:val="false"/>
          <w:bCs w:val="false"/>
          <w:color w:val="000000"/>
          <w:sz w:val="22"/>
          <w:szCs w:val="22"/>
        </w:rPr>
        <w:t xml:space="preserve">The following four statements were made by an OT Security Manager in a management review presentation at a major petrochemical facility:</w:t>
      </w:r>
    </w:p>
    <w:p>
      <w:pPr>
        <w:pStyle w:val="ListParagraph"/>
        <w:numPr>
          <w:ilvl w:val="0"/>
          <w:numId w:val="2"/>
        </w:numPr>
        <w:spacing w:after="100" w:line="276"/>
      </w:pPr>
      <w:r>
        <w:rPr>
          <w:rFonts w:ascii="Arial" w:cs="Arial" w:eastAsia="Arial" w:hAnsi="Arial"/>
          <w:sz w:val="22"/>
          <w:szCs w:val="22"/>
        </w:rPr>
        <w:t xml:space="preserve">Statement 1: 'KPI-T1 (Alert Response Time) is showing 68% compliance against our ≥ 95% target. However, the out-of-hours alerts that are driving the non-compliance are predominantly false positives from our new OT-IDS installation, so the security risk is lower than the KPI number suggests.'</w:t>
      </w:r>
    </w:p>
    <w:p>
      <w:pPr>
        <w:pStyle w:val="ListParagraph"/>
        <w:numPr>
          <w:ilvl w:val="0"/>
          <w:numId w:val="2"/>
        </w:numPr>
        <w:spacing w:after="100" w:line="276"/>
      </w:pPr>
      <w:r>
        <w:rPr>
          <w:rFonts w:ascii="Arial" w:cs="Arial" w:eastAsia="Arial" w:hAnsi="Arial"/>
          <w:sz w:val="22"/>
          <w:szCs w:val="22"/>
        </w:rPr>
        <w:t xml:space="preserve">Statement 2: 'We have not conducted the IEC 62443 gap assessment that was planned for this year. However, our internal audit has not identified any major non-conformances, which indicates we are broadly compliant with the standard.'</w:t>
      </w:r>
    </w:p>
    <w:p>
      <w:pPr>
        <w:pStyle w:val="ListParagraph"/>
        <w:numPr>
          <w:ilvl w:val="0"/>
          <w:numId w:val="2"/>
        </w:numPr>
        <w:spacing w:after="100" w:line="276"/>
      </w:pPr>
      <w:r>
        <w:rPr>
          <w:rFonts w:ascii="Arial" w:cs="Arial" w:eastAsia="Arial" w:hAnsi="Arial"/>
          <w:sz w:val="22"/>
          <w:szCs w:val="22"/>
        </w:rPr>
        <w:t xml:space="preserve">Statement 3: 'Our Security Culture maturity score of Level 2 reflects the fact that we are a relatively new CSMS programme — it is expected that security culture takes time to develop. Our training completion rate of 100% demonstrates that personnel are engaged with the programme.'</w:t>
      </w:r>
    </w:p>
    <w:p>
      <w:pPr>
        <w:pStyle w:val="ListParagraph"/>
        <w:numPr>
          <w:ilvl w:val="0"/>
          <w:numId w:val="2"/>
        </w:numPr>
        <w:spacing w:after="100" w:line="276"/>
      </w:pPr>
      <w:r>
        <w:rPr>
          <w:rFonts w:ascii="Arial" w:cs="Arial" w:eastAsia="Arial" w:hAnsi="Arial"/>
          <w:sz w:val="22"/>
          <w:szCs w:val="22"/>
        </w:rPr>
        <w:t xml:space="preserve">Statement 4: 'The two CRITICAL risks that remain open from the initial risk assessment are dependent on vendor patch release timelines that are outside our control. The compensating controls in place mean the residual risk is acceptable, and we should not be penalised for vendor delays.'</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For each statement, critically evaluate: (i) the extent to which the statement is factually accurate; (ii) the extent to which it represents appropriate rationalisation of a genuine complexity versus inappropriate minimisation of a real management failure; and (iii) what the Executive Sponsor should ask in response to each statement to get the information they actually need to make a sound management decision.</w:t>
      </w:r>
    </w:p>
    <w:p>
      <w:pPr>
        <w:spacing w:after="160" w:line="276"/>
        <w:jc w:val="both"/>
      </w:pPr>
      <w:r>
        <w:rPr>
          <w:rFonts w:ascii="Arial" w:cs="Arial" w:eastAsia="Arial" w:hAnsi="Arial"/>
          <w:b w:val="false"/>
          <w:bCs w:val="false"/>
          <w:color w:val="000000"/>
          <w:sz w:val="22"/>
          <w:szCs w:val="22"/>
        </w:rPr>
        <w:t xml:space="preserve">Then write the alternative management review section that an OT Security Manager with the highest standards of intellectual honesty would present — acknowledging the same facts but framing them in a way that produces better management decisions rather than more comfortable ones. Your alternative should demonstrate what genuine management accountability for OT security performance looks like, as distinct from performative compliance reporting.</w:t>
      </w:r>
    </w:p>
    <w:p>
      <w:r>
        <w:br w:type="page"/>
      </w:r>
    </w:p>
    <w:p>
      <w:pPr>
        <w:pStyle w:val="Heading1"/>
        <w:spacing w:after="200" w:before="400"/>
      </w:pPr>
      <w:r>
        <w:rPr>
          <w:rFonts w:ascii="Arial" w:cs="Arial" w:eastAsia="Arial" w:hAnsi="Arial"/>
          <w:b/>
          <w:bCs/>
          <w:color w:val="1F3864"/>
          <w:sz w:val="34"/>
          <w:szCs w:val="34"/>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Corrective Action Register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formal document tracking all open audit findings and management review action items, with the assigned owner, planned completion date, and current status. A standing agenda item for the CSMS Governance Committee. The mechanism by which audit findings are tracked to verified completion rather than merely documented and forgotten.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CSMS Maturity Model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five-level hierarchical framework (Initial, Repeatable, Defined, Managed, Optimising) that describes the progressive development of an OT security management system from ad hoc and reactive to systematically managed and continuously improving. Applied across six CSMS dimensions: Risk Management, Governance and Policy, Technical Controls, Operational Processes, Monitoring and Measurement, and Security Culture.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Gap Assessment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systematic comparison of the organisation's CSMS against the requirements of IEC 62443-2-1 and IEC 62443-3-3, producing a conformance profile (Compliant / Partially Compliant / Non-Compliant / Not Applicable) for each requirement and a risk-rated set of remediation recommendations. The strategic basis for CSMS improvement planning.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IEC 62443 Category 3</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Monitoring and Improving the CSMS category of IEC 62443-2-1 (§4.4), which includes requirements for monitoring CSMS performance (§4.4.1), conducting internal audits (§4.4.2), conducting management reviews (§4.4.3), and continually improving the CSMS (§4.4.4). These requirements are the regulatory basis for the content of this chapter.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Key Performance Indicator (KPI)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quantitative or qualitative measure that provides management information about the performance of a CSMS process or outcome. Effective OT security KPIs must be measurable without heroic effort, action-oriented, manipulation-resistant, and defined with both a target value and a threshold at which a management action is triggered.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Lagging Indicator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security performance metric that measures outcomes — security events that have already occurred, controls that have already failed, incidents that have already been detected. Accurately represents historical security performance but does not enable proactive management. Examples: OT incident rate, mean time to detect, unplanned downtime attributed to security causes.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Leading Indicator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security performance metric that measures process inputs and compliance — activities that are predictive of future security outcomes. Enables proactive management but is an indirect measure of security effectiveness. Examples: patch compliance rate, training completion rate, change management compliance rate, alert response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Major Non-Conformance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An audit finding that represents: failure to implement a SHALL requirement of IEC 62443-2-1 or the organisation's own CSMS documentation; a direct, unmitigated security risk of CRITICAL or HIGH classification; or a systematic failure indicating a process breakdown. Requires immediate executive notification, root cause analysis within 5 working days, and corrective action implementation within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Management Review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governance forum — chaired by the Executive Sponsor, conducted at defined intervals — in which monitoring data, audit findings, and improvement proposals are presented and converted into management decisions. Required by IEC 62443-2-1 §4.4.3 (SHALL). Effectiveness depends on the right people being present, the right information being provided, and the right decisions being made and documented.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Maturity Assessment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structured evaluation of the current development level of an OT security management system across multiple dimensions, using a maturity model framework. Provides a qualitative assessment that complements quantitative KPI measurement and supports strategic improvement planning. Requires substantive evidence of actual practice — not merely documentation of intended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PDCA Cycle (Plan-Do-Check-Act)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continuous improvement cycle first articulated by Deming (1986) and adopted as the structural framework for ISO management system standards. Applied to the CSMS: Plan (risk assessment and governance framework); Do (technical controls and operational processes); Check (KPI measurement, audit, and reassessment); Act (management review and improvement programme).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Reassessment Trigger Framework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set of defined events (threat landscape change, OT environment change, regulatory change, security incident, organisational change) that require an unscheduled review of the risk register, supplementing the periodic reassessment schedule. Required by IEC 62443-2-1 §4.2.3. The mechanism by which the CSMS maintains the currency of its risk intelligence between periodic reassessments.</w:t>
            </w:r>
          </w:p>
        </w:tc>
      </w:tr>
    </w:tbl>
    <w:p>
      <w:pPr>
        <w:spacing w:after="400"/>
      </w:pPr>
      <w:r>
        <w:t xml:space="preserve"/>
      </w:r>
    </w:p>
    <w:p>
      <w:pPr>
        <w:spacing w:after="120" w:before="200"/>
        <w:jc w:val="center"/>
      </w:pPr>
      <w:r>
        <w:rPr>
          <w:rFonts w:ascii="Arial" w:cs="Arial" w:eastAsia="Arial" w:hAnsi="Arial"/>
          <w:color w:val="2E75B6"/>
          <w:sz w:val="18"/>
          <w:szCs w:val="18"/>
        </w:rPr>
        <w:t xml:space="preserve">─────────────────────────────────────────────────────────────────────────────────</w:t>
      </w:r>
    </w:p>
    <w:p>
      <w:pPr>
        <w:spacing w:after="120"/>
        <w:jc w:val="center"/>
      </w:pPr>
      <w:r>
        <w:rPr>
          <w:rFonts w:ascii="Arial" w:cs="Arial" w:eastAsia="Arial" w:hAnsi="Arial"/>
          <w:b/>
          <w:bCs/>
          <w:i/>
          <w:iCs/>
          <w:color w:val="1F3864"/>
          <w:sz w:val="24"/>
          <w:szCs w:val="24"/>
        </w:rPr>
        <w:t xml:space="preserve">End of Chapter 14</w:t>
      </w:r>
    </w:p>
    <w:p>
      <w:pPr>
        <w:spacing w:after="80"/>
        <w:jc w:val="center"/>
      </w:pPr>
      <w:r>
        <w:rPr>
          <w:rFonts w:ascii="Arial" w:cs="Arial" w:eastAsia="Arial" w:hAnsi="Arial"/>
          <w:b/>
          <w:bCs/>
          <w:color w:val="2E75B6"/>
          <w:sz w:val="22"/>
          <w:szCs w:val="22"/>
        </w:rPr>
        <w:t xml:space="preserve">End of Part III: CSMS Implementation and Monitoring</w:t>
      </w:r>
    </w:p>
    <w:p>
      <w:pPr>
        <w:spacing w:after="80"/>
        <w:jc w:val="center"/>
      </w:pPr>
      <w:r>
        <w:rPr>
          <w:rFonts w:ascii="Arial" w:cs="Arial" w:eastAsia="Arial" w:hAnsi="Arial"/>
          <w:i/>
          <w:iCs/>
          <w:color w:val="2E75B6"/>
          <w:sz w:val="20"/>
          <w:szCs w:val="20"/>
        </w:rPr>
        <w:t xml:space="preserve">Risk Analysis and Assessment — Third Edition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pPr>
    <w:r>
      <w:rPr>
        <w:rFonts w:ascii="Arial" w:cs="Arial" w:eastAsia="Arial" w:hAnsi="Arial"/>
        <w:color w:val="2E75B6"/>
        <w:sz w:val="18"/>
        <w:szCs w:val="18"/>
      </w:rPr>
      <w:t xml:space="preserve">PART III: CSMS Implementation and Monitoring</w:t>
    </w:r>
    <w:r>
      <w:rPr>
        <w:rFonts w:ascii="Arial" w:cs="Arial" w:eastAsia="Arial" w:hAnsi="Arial"/>
        <w:sz w:val="18"/>
        <w:szCs w:val="18"/>
      </w:rPr>
      <w:t xml:space="preserve">	</w:t>
    </w:r>
    <w:r>
      <w:rPr>
        <w:rFonts w:ascii="Arial" w:cs="Arial" w:eastAsia="Arial" w:hAnsi="Arial"/>
        <w:color w:val="2E75B6"/>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i/>
        <w:iCs/>
        <w:color w:val="2E75B6"/>
        <w:sz w:val="18"/>
        <w:szCs w:val="18"/>
      </w:rPr>
      <w:t xml:space="preserve">Chapter 14: Monitoring, Measurement, and Continuous Improvement</w:t>
    </w:r>
    <w:r>
      <w:rPr>
        <w:rFonts w:ascii="Arial" w:cs="Arial" w:eastAsia="Arial" w:hAnsi="Arial"/>
        <w:sz w:val="18"/>
        <w:szCs w:val="18"/>
      </w:rPr>
      <w:t xml:space="preserve">	</w:t>
    </w:r>
    <w:r>
      <w:rPr>
        <w:rFonts w:ascii="Arial" w:cs="Arial" w:eastAsia="Arial" w:hAnsi="Arial"/>
        <w:i/>
        <w:iCs/>
        <w:color w:val="2E75B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1F3864"/>
      <w:sz w:val="23"/>
      <w:szCs w:val="23"/>
    </w:rPr>
  </w:style>
  <w:style w:type="paragraph" w:styleId="Heading4">
    <w:name w:val="Heading 4"/>
    <w:basedOn w:val="Normal"/>
    <w:next w:val="Normal"/>
    <w:qFormat/>
    <w:pPr>
      <w:spacing w:after="10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2026-05-14T01:27:12.636Z</dcterms:created>
  <dcterms:modified xsi:type="dcterms:W3CDTF">2026-05-14T01:27:12.652Z</dcterms:modified>
</cp:coreProperties>
</file>

<file path=docProps/custom.xml><?xml version="1.0" encoding="utf-8"?>
<Properties xmlns="http://schemas.openxmlformats.org/officeDocument/2006/custom-properties" xmlns:vt="http://schemas.openxmlformats.org/officeDocument/2006/docPropsVTypes"/>
</file>