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999999"/>
          <w:sz w:val="28"/>
          <w:szCs w:val="28"/>
        </w:rPr>
        <w:t xml:space="preserve">CHAPTER 6</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The ISA/IEC 62443 Risk Matrix in Operational Technology Security</w:t>
      </w:r>
    </w:p>
    <w:p>
      <w:pPr>
        <w:spacing w:after="720" w:before="240"/>
        <w:jc w:val="center"/>
      </w:pPr>
      <w:r>
        <w:rPr>
          <w:rFonts w:ascii="Arial" w:cs="Arial" w:eastAsia="Arial" w:hAnsi="Arial"/>
          <w:color w:val="006666"/>
          <w:sz w:val="28"/>
          <w:szCs w:val="28"/>
        </w:rPr>
        <w:t xml:space="preserve">A Purpose-Built Framework for IACS Cyber Security Risk Assessment</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Explain the intellectual and regulatory foundations of the ISA/IEC 62443</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assessment framework and its position within the broader CSMS lifecycle.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Define and apply the key concepts of the framework: zones, conduits,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Security Levels (SL), Foundational Requirements (FRs), and the distinction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between SL-T, SL-C, and SL-A.</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Construct and apply the IEC 62443 risk matrix, scoring likelihood 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consequence on defined scales to produce risk ratings for OT threats.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Determine Target Security Levels (SL-T) for IACS zones from risk matrix</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outputs and justify the determination with documented rationale.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Map risk register findings to IEC 62443-3-3 Foundational Requirements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at the specified SL-T, identifying required security capabilities.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Integrate the IEC 62443 risk matrix with complementary techniques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(HAZOP, STRIDE, LOPA) within a complete OT risk assessment programme.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Critically evaluate the advantages and limitations of the IEC 62443</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matrix and identify conditions under which supplementary or</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alternative approaches are required.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Apply the complete methodology to a realistic IACS case study, producing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 documented risk register, SL-T determination, and countermeasure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specification suitable for CSMS evidence purposes.</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6.1  Introduction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systematic assessment of cyber security risk in Industrial Automation and Control Systems (IACS) requires a methodology that reflects the fundamental characteristics of the OT environment: the primacy of availability and physical safety, the prevalence of legacy technology, the long operational lifecycles of industrial equipment, and the potentially catastrophic physical consequences of control system compromise. Standard IT security risk frameworks — while valuable in their intended domain — do not adequately address these characteristics. The ISA/IEC 62443 risk matrix framework was developed precisely to fill this gap.</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ISA/IEC 62443 series of standards — developed jointly by the International Society of Automation (ISA) and the International Electrotechnical Commission (IEC) — constitutes the most comprehensive and widely adopted international framework for IACS cyber security. Within this series, the risk assessment methodology specified in IEC 62443-3-2:2020 ('Security Risk Assessment for System Design') provides the primary tool for systematic cyber security risk assessment of IACS systems, producing quantified risk ratings and Target Security Level (SL-T) assignments that drive the selection and implementation of countermeasures throughout the Cyber Security Management System (CSMS) lifecycle.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provides a thorough academic treatment of the IEC 62443 risk matrix methodology, situating it within the standards framework, examining its theoretical foundations, and demonstrating its complete application through worked examples drawn from authentic industrial contexts. The chapter builds on the foundational concepts of risk analysis introduced in earlier chapters, and prepares the student for the detailed examination of complementary techniques — HAZOP (Chapter 7), STRIDE (Chapter 8), and Bow-Tie analysis (Chapter 9) — that together constitute a complete OT risk assessment programme.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central argument of this chapter is that the IEC 62443 risk matrix is not simply one technique among several equally valid alternatives. It is the primary, spine methodology for IACS cyber security risk assessment — the only technique that produces Target Security Level outputs required by the CSMS framework, and the integrating framework into which outputs from HAZOP, STRIDE, and LOPA are fed to produce a complete risk picture. Students who complete this chapter will understand not merely how to apply the matrix but why it occupies this central role and what its application requires in terms of antecedent analysis, team competence, and documentation.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6.2  The ISA/IEC 62443 Standards Series: Structure and Scope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Before examining the risk matrix methodology in detail, it is essential to understand the standards architecture within which it sits. The ISA/IEC 62443 series is organised into four groups of documents, each addressing a distinct aspect of IACS security. Familiarity with this architecture is a prerequisite for the informed application of any component of the series.</w:t>
      </w:r>
    </w:p>
    <w:p>
      <w:pPr>
        <w:pStyle w:val="Heading2"/>
        <w:spacing w:after="160" w:before="360"/>
      </w:pPr>
      <w:r>
        <w:rPr>
          <w:rFonts w:ascii="Arial" w:cs="Arial" w:eastAsia="Arial" w:hAnsi="Arial"/>
          <w:b/>
          <w:bCs/>
          <w:color w:val="006666"/>
          <w:sz w:val="28"/>
          <w:szCs w:val="28"/>
        </w:rPr>
        <w:t xml:space="preserve">6.2.1  Standards Architecture</w:t>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Structure of the ISA/IEC 62443 Standards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Group</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Title</w:t>
            </w:r>
          </w:p>
        </w:tc>
        <w:tc>
          <w:tcPr>
            <w:tcW w:type="dxa" w:w="5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Content and Purpose</w:t>
            </w:r>
          </w:p>
        </w:tc>
      </w:tr>
      <w:tr>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Group 1
General</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62443-1-x</w:t>
            </w:r>
          </w:p>
        </w:tc>
        <w:tc>
          <w:tcPr>
            <w:tcW w:type="dxa" w:w="5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Foundational concepts, terminology, and document series overview. IEC 62443-1-1 defines the security model and key concepts (zones, conduits, SL). IEC 62443-1-2 is a master glossary. IEC 62443-1-3 defines system security compliance metrics. IEC 62443-1-4 addresses the IACS security lifecycle.</w:t>
            </w:r>
          </w:p>
        </w:tc>
      </w:tr>
      <w:tr>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Group 2
Policies &amp; Procedures</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62443-2-x</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Requirements for the asset owner's security management programme. IEC 62443-2-1 (the CSMS standard) defines requirements for establishing, operating, and maintaining a Cyber Security Management System. IEC 62443-2-4 specifies security requirements for IACS service providers. IEC 62443-2-5 covers implementation guidance for asset owners.</w:t>
            </w:r>
          </w:p>
        </w:tc>
      </w:tr>
      <w:tr>
        <w:tc>
          <w:tcPr>
            <w:tcW w:type="dxa" w:w="1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Group 3
System</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62443-3-x</w:t>
            </w:r>
          </w:p>
        </w:tc>
        <w:tc>
          <w:tcPr>
            <w:tcW w:type="dxa" w:w="5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System-level security requirements. IEC 62443-3-2 (the primary risk assessment standard) defines the security risk assessment process for IACS system design, including zone/conduit modelling and SL-T determination. IEC 62443-3-3 specifies system security requirements and security levels (the FR framework).</w:t>
            </w:r>
          </w:p>
        </w:tc>
      </w:tr>
      <w:tr>
        <w:tc>
          <w:tcPr>
            <w:tcW w:type="dxa" w:w="1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Group 4
Component</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62443-4-x</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Component-level requirements for product suppliers. IEC 62443-4-1 specifies secure product development lifecycle requirements. IEC 62443-4-2 defines technical security requirements for IACS components.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risk matrix methodology that is the subject of this chapter is primarily specified in IEC 62443-3-2:2020, with the consequence framework for the risk scoring linked to the Security Level (SL) concept defined in IEC 62443-1-1 and IEC 62443-3-3. The asset owner's obligation to conduct risk assessment using this methodology is established in IEC 62443-2-1, Section 4.2 (the Risk Analysis category of the CSMS). The notation '§4.2.3.1 SHALL' in IEC 62443-2-1 indicates a mandatory requirement — the selection and documentation of a risk assessment methodology is non-negotiable under the standard.</w:t>
      </w:r>
    </w:p>
    <w:p>
      <w:pPr>
        <w:pStyle w:val="Heading2"/>
        <w:spacing w:after="160" w:before="360"/>
      </w:pPr>
      <w:r>
        <w:rPr>
          <w:rFonts w:ascii="Arial" w:cs="Arial" w:eastAsia="Arial" w:hAnsi="Arial"/>
          <w:b/>
          <w:bCs/>
          <w:color w:val="006666"/>
          <w:sz w:val="28"/>
          <w:szCs w:val="28"/>
        </w:rPr>
        <w:t xml:space="preserve">6.2.2  Relationship to the CSMS Lifecycle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IEC 62443 risk matrix sits at the centre of the CSMS lifecycle defined in IEC 62443-2-1. The Annex B six-step process — Initiate, High-Level Risk Assessment, Establish Policies and Organisation, Detailed Risk Assessment, Select Countermeasures, Maintain — positions the risk assessment as the analytical engine that drives every subsequent CSMS activity. The risk matrix is applied at both Step 2 (high-level assessment) and Step 4 (detailed risk assessment), with progressively more granular inputs at each stage.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outputs of the risk matrix — risk ratings and SL-T assignments — directly determine the security requirements for each zone and conduit in the IACS architecture. These requirements are then used to specify countermeasures (Step 5), and the implemented countermeasures are evaluated against the SL-T in the monitoring and improvement phase (Step 6). Without a rigorous risk matrix assessment, the CSMS lacks the evidence base needed to justify any of its subsequent activities.</w:t>
      </w:r>
    </w:p>
    <w:p>
      <w:pPr>
        <w:pStyle w:val="Heading2"/>
        <w:spacing w:after="160" w:before="360"/>
      </w:pPr>
      <w:r>
        <w:rPr>
          <w:rFonts w:ascii="Arial" w:cs="Arial" w:eastAsia="Arial" w:hAnsi="Arial"/>
          <w:b/>
          <w:bCs/>
          <w:color w:val="006666"/>
          <w:sz w:val="28"/>
          <w:szCs w:val="28"/>
        </w:rPr>
        <w:t xml:space="preserve">6.2.3  Key Regulatory and Industrial Adoption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ISA/IEC 62443 framework has achieved broad regulatory recognition across multiple sectors and jurisdictions: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Energy sector (global): Referenced in NERC CIP standards for bulk electric system security; adopted by IEC TC57 for smart grid security requirements.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Oil and Gas (global): Mandated or strongly referenced in offshore installation safety case requirements and major operator security programmes. The American Petroleum Institute (API) STD 1164 references IEC 62443 for pipeline SCADA security.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Nuclear (global): The International Atomic Energy Agency (IAEA) references IEC 62443 in its computer security guidance for nuclear power plants (IAEA, 2011).</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Water and wastewater (US): AWIA 2018 (America's Water Infrastructure Act) requires water systems to conduct risk assessments — IEC 62443 provides the methodology.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Manufacturing and process industries: Adopted as the reference framework by major process industry operators globally, including in IChemE and AIChE guidance documents.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European Union: Referenced in the NIS2 Directive (2022/2555/EU) guidance for operators of essential services; explicitly cited in ENISA guidelines for critical infrastructure protection.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6.3  Core Conceptual Framework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Before the risk matrix can be applied, the analyst must fully understand the conceptual architecture of IEC 62443. Five core concepts — zones, conduits, Security Levels, Foundational Requirements, and the SL taxonomy — form the analytical vocabulary within which the risk matrix operates.</w:t>
      </w:r>
    </w:p>
    <w:p>
      <w:pPr>
        <w:pStyle w:val="Heading2"/>
        <w:spacing w:after="160" w:before="360"/>
      </w:pPr>
      <w:r>
        <w:rPr>
          <w:rFonts w:ascii="Arial" w:cs="Arial" w:eastAsia="Arial" w:hAnsi="Arial"/>
          <w:b/>
          <w:bCs/>
          <w:color w:val="006666"/>
          <w:sz w:val="28"/>
          <w:szCs w:val="28"/>
        </w:rPr>
        <w:t xml:space="preserve">6.3.1  Zones and Conduits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zone and conduit model is the primary architectural abstraction used in IEC 62443 for defining the security boundaries of an IACS system. A zone is a grouping of logical or physical assets that share common security requirements — that is, assets that can be assigned the same Target Security Level. A conduit is a logical grouping of communication channels (and the assets that protect those channels) that connect two or more zones, enabling data exchange while enforcing security controls at the zone boundary.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practical implementation of zones corresponds to the concept of network segmentation in IT security — but with important differences. In OT, zone boundaries must be defined with reference to both cybersecurity requirements and operational process requirements. A zone boundary that interrupts a real-time control loop may introduce unacceptable latency; a zone boundary that separates a PLC from its redundant backup may impair the process safety case. The zone designer must therefore achieve the security objective of limiting attack propagation while preserving the operational continuity requirements of the process.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IEC 62443-3-2 defines the process of zone and conduit design as the primary output of the risk assessment. The analyst first defines candidate zones based on the system architecture (typically following the Purdue Reference Model for process control), then assigns an SL-T to each zone based on the risk assessment results, and finally defines conduits between zones with security controls appropriate to the SL-T of the higher-security zone on either side of the boundary.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The Purdue Reference Model and IEC 62443 Zone Architecture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Purdue Reference Model (Williams, 1994) — originally developed for manufacturing enterprise integration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provides a widely-used architectural reference for IACS network segmentation aligned with IEC 62443.</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4 (Enterprise):    ERP, corporate IT, cloud services — typically IT-managed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3.5 (DMZ):         Industrial Demilitarised Zone — the critical IT/OT boundary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3 (Operations):    Site operations, SCADA historians, batch management servers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2 (Supervisory):   DCS, SCADA servers, HMI servers, engineering workstations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1 (Control):       PLCs, RTUs, DCS controllers, safety instrumented systems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0 (Field):         Sensors, actuators, field instruments, drives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IEC 62443 zones typically correspond to the Purdue levels, with conduits at the transitions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between levels. The Level 3.5 DMZ is a critical conduit zone — all traffic between corporate IT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(Level 4) and OT (Levels 0-3) must pass through properly secured DMZ conduits.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Note: In modern connected industrial systems, the Purdue model is increasingly extended with</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additional zones for cloud connectivity, remote access, and vendor management — each requiring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zone definition and SL-T assessment.</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6.3.2  Security Levels (SL)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Security Level (SL) is the primary output of the IEC 62443 risk assessment and the primary input to security design. It is defined on a four-point scale (SL 1 through SL 4), with each level corresponding to a specific threat capability profile — the sophistication, resources, and motivation of the adversary against which the system must be protected at that level: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0"/>
        <w:gridCol w:w="2960"/>
      </w:tblGrid>
      <w:tr>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SL</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Threat Actor Profile</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Technical Capability</w:t>
            </w:r>
          </w:p>
        </w:tc>
        <w:tc>
          <w:tcPr>
            <w:tcW w:type="dxa" w:w="2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Example Threat Source</w:t>
            </w:r>
          </w:p>
        </w:tc>
      </w:tr>
      <w:tr>
        <w:tc>
          <w:tcPr>
            <w:tcW w:type="dxa" w:w="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 1</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Casual or coincidental violation</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No intentional adversarial intent — opportunistic, accidental, or incidental. Basic means, low motivation.</w:t>
            </w:r>
          </w:p>
        </w:tc>
        <w:tc>
          <w:tcPr>
            <w:tcW w:type="dxa" w:w="2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Disgruntled employee without technical skills; accidental malware introduction via USB; random internet scanner reaching an exposed port.</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 2</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Intentional violation using simple means</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Intentional adversarial action using simple, readily available tools. Low-to-moderate resources and motivation.</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Hacktivist using publicly available exploit tools; opportunistic cybercriminal using off-the-shelf malware; script kiddie.</w:t>
            </w:r>
          </w:p>
        </w:tc>
      </w:tr>
      <w:tr>
        <w:tc>
          <w:tcPr>
            <w:tcW w:type="dxa" w:w="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 3</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Intentional violation using sophisticated means</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Intentional adversarial action using sophisticated techniques, specialist knowledge, and moderate resources.</w:t>
            </w:r>
          </w:p>
        </w:tc>
        <w:tc>
          <w:tcPr>
            <w:tcW w:type="dxa" w:w="2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Organised criminal group with OT knowledge; state-affiliated hacker group; security researcher demonstrating capability; advanced hacktivist collective.</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 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State-sponsored or equivalent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Intentional adversarial action using highly sophisticated means with extended resources — effectively unlimited capability.</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Nation-state cyber warfare unit (equivalent to Stuxnet-class actors); well-funded, long-term advanced persistent threat with OT-specific capability.</w:t>
            </w:r>
          </w:p>
        </w:tc>
      </w:tr>
    </w:tbl>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IEC 62443 Security Level (SL) Definitions and Threat Actor Profiles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Three variants of Security Level are defined in the standard and must be clearly distinguished: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Target Security Level (SL-T): The security level determined to be necessary for a zone or conduit, based on risk assessment. SL-T is the output of the risk matrix analysis described in this chapter. It represents what the security design must achieve.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Capability Security Level (SL-C): The security level that a product, system, or service is capable of providing, as specified by the supplier (for products under IEC 62443-4-2) or by the system integrator (for systems under IEC 62443-3-3). SL-C represents what a product or system can provide.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Achieved Security Level (SL-A): The security level actually achieved by a zone or conduit as implemented, validated through assessment or audit. SL-A represents what has been implemented. The CSMS objective is to ensure SL-A ≥ SL-T for all zones.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relationship SL-A ≥ SL-T is the central compliance statement of the IEC 62443 CSMS framework. An organisation can claim conformance with the security requirements for a zone only when the achieved security level, validated by assessment, equals or exceeds the target security level determined by risk assessment.</w:t>
      </w:r>
    </w:p>
    <w:p>
      <w:pPr>
        <w:pStyle w:val="Heading2"/>
        <w:spacing w:after="160" w:before="360"/>
      </w:pPr>
      <w:r>
        <w:rPr>
          <w:rFonts w:ascii="Arial" w:cs="Arial" w:eastAsia="Arial" w:hAnsi="Arial"/>
          <w:b/>
          <w:bCs/>
          <w:color w:val="006666"/>
          <w:sz w:val="28"/>
          <w:szCs w:val="28"/>
        </w:rPr>
        <w:t xml:space="preserve">6.3.3  Foundational Requirements (FRs)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security capabilities required at each Security Level are specified in IEC 62443-3-3:2013 through seven Foundational Requirements (FRs). Each FR addresses a distinct security domain, and each is specified with graduated requirements at SL 1 through SL 4. The FRs are: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FR</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Foundational Requirement</w:t>
            </w:r>
          </w:p>
        </w:tc>
        <w:tc>
          <w:tcPr>
            <w:tcW w:type="dxa" w:w="64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Domain and Scope</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1</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Identification and Authentication Control</w:t>
            </w:r>
          </w:p>
        </w:tc>
        <w:tc>
          <w:tcPr>
            <w:tcW w:type="dxa" w:w="64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Managing identities and authenticating human users, software processes, and devices before granting access to IACS resources. At SL 3, requires multi-factor authentication for all access from untrusted networks.</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2</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Use Control</w:t>
            </w:r>
          </w:p>
        </w:tc>
        <w:tc>
          <w:tcPr>
            <w:tcW w:type="dxa" w:w="6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Implementing least-privilege access control — ensuring entities can only access and perform the functions they are specifically authorised to perform. Includes management of privileged accounts, role separation, and session management.</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3</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System Integrity</w:t>
            </w:r>
          </w:p>
        </w:tc>
        <w:tc>
          <w:tcPr>
            <w:tcW w:type="dxa" w:w="64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Protecting the IACS from unauthorised modification. Includes software and firmware integrity verification, protection from malware, security hardening of systems, and detection of integrity violations.</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4</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Data Confidentiality</w:t>
            </w:r>
          </w:p>
        </w:tc>
        <w:tc>
          <w:tcPr>
            <w:tcW w:type="dxa" w:w="6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Protecting the confidentiality of information transmitted across or stored within the IACS. At SL 2+, requires encryption of all inter-zone communications. Note: in OT, confidentiality is typically a lower priority than integrity and availability.</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5</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Restricted Data Flow</w:t>
            </w:r>
          </w:p>
        </w:tc>
        <w:tc>
          <w:tcPr>
            <w:tcW w:type="dxa" w:w="64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Ensuring that network segmentation (zones and conduits) is correctly implemented and that only explicitly authorised data flows can cross zone boundaries. Includes firewall configuration, protocol whitelisting, and traffic monitoring.</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6</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Timely Response to Events</w:t>
            </w:r>
          </w:p>
        </w:tc>
        <w:tc>
          <w:tcPr>
            <w:tcW w:type="dxa" w:w="6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Implementing security monitoring, event logging, and incident detection capability sufficient to detect, respond to, and recover from security incidents in a timely manner. At SL 3+, requires continuous monitoring and automated alerting.</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7</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Resource Availability</w:t>
            </w:r>
          </w:p>
        </w:tc>
        <w:tc>
          <w:tcPr>
            <w:tcW w:type="dxa" w:w="64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Protecting the availability of IACS resources against denial-of-service attacks and other disruptions. Includes network resilience, redundancy, backup power, and DoS mitigation. In OT, this is typically the highest-priority FR.</w:t>
            </w:r>
          </w:p>
        </w:tc>
      </w:tr>
    </w:tbl>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IEC 62443-3-3 Foundational Requirements: Definitions and Scope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relationship between SL-T and the FRs is graduated: a zone with SL-T 1 is required to implement a basic level of each FR; SL-T 2 requires a higher level of capability in each FR; SL-T 3 requires additional capabilities beyond SL-T 2; and SL-T 4 requires the most demanding capability level. For example, FR 1 (Identification and Authentication) at SL 1 requires simple username/password authentication; at SL 2, it requires stronger password policies and account management; at SL 3, it requires multi-factor authentication for access from untrusted networks; and at SL 4, it may require cryptographically strong identity binding with hardware security modules.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6.4  The IEC 62443 Risk Matrix: Structure and Scoring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risk matrix is the analytical instrument by which the IEC 62443 framework quantifies cyber security risk for individual IACS assets, zones, and systems. It produces a numerical risk score from the combination of two independently assessed dimensions — Likelihood and Consequence — and maps that score to a risk level (LOW, MEDIUM, HIGH, CRITICAL) and from there to an SL-T. This section defines the matrix structure, the scoring dimensions, and the mechanics of risk calculation.</w:t>
      </w:r>
    </w:p>
    <w:p>
      <w:pPr>
        <w:pStyle w:val="Heading2"/>
        <w:spacing w:after="160" w:before="360"/>
      </w:pPr>
      <w:r>
        <w:rPr>
          <w:rFonts w:ascii="Arial" w:cs="Arial" w:eastAsia="Arial" w:hAnsi="Arial"/>
          <w:b/>
          <w:bCs/>
          <w:color w:val="006666"/>
          <w:sz w:val="28"/>
          <w:szCs w:val="28"/>
        </w:rPr>
        <w:t xml:space="preserve">6.4.1  The Likelihood Dimension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Likelihood in the IEC 62443 context is a measure of the probability that a specific threat will be successfully realised against a specific system within a defined time period, taking into account the threat actor's motivation, capability, and opportunity. It is assessed on a four-point ordinal scale: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200"/>
        <w:gridCol w:w="3860"/>
      </w:tblGrid>
      <w:tr>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Score</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Level</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Definition</w:t>
            </w:r>
          </w:p>
        </w:tc>
        <w:tc>
          <w:tcPr>
            <w:tcW w:type="dxa" w:w="38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Indicative Criteria</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4</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The threat event is likely to occur within the assessment period — it is considered a realistic and probable scenario given the current system state and threat environment.</w:t>
            </w:r>
          </w:p>
        </w:tc>
        <w:tc>
          <w:tcPr>
            <w:tcW w:type="dxa" w:w="38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The system has high connectivity/exposure; known exploitable vulnerabilities exist with publicly available exploit code; the threat actor is known to be motivated and active in this sector; similar systems have been successfully attacked recently.</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3</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MEDIUM</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The threat event could realistically occur. The combination of motivation, capability, and opportunity makes it a credible scenario, though it requires some effort or specialised knowledge.</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The system has moderate connectivity; a vulnerability exists but may not be easily exploitable; the threat actor class is active but may not have specific targeting of this facility; incident data from similar systems exists.</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2</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LOW</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The threat event is unlikely in the current environment, requiring a combination of specific motivation, unusual capability, or exceptional opportunity.</w:t>
            </w:r>
          </w:p>
        </w:tc>
        <w:tc>
          <w:tcPr>
            <w:tcW w:type="dxa" w:w="38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Limited connectivity; vulnerabilities exist but are difficult to exploit without insider knowledge; no evidence of targeting of this sector or system type; threat actor must invest significant resources.</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REMOTE</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The threat event is only conceivable under highly exceptional circumstances. Standard defensive measures make exploitation very difficult even for sophisticated actors.</w:t>
            </w:r>
          </w:p>
        </w:tc>
        <w:tc>
          <w:tcPr>
            <w:tcW w:type="dxa" w:w="3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Minimal or no connectivity; system is well-hardened; no known exploitable vulnerabilities; threat actor would need exceptional resources and specific intelligence about this system.</w:t>
            </w:r>
          </w:p>
        </w:tc>
      </w:tr>
    </w:tbl>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IEC 62443 Risk Matrix — Likelihood Scale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An important distinction must be drawn between threat likelihood and vulnerability severity. CVSS (Common Vulnerability Scoring System) scores, which are widely used in IT security contexts, measure vulnerability severity — primarily the technical difficulty of exploitation. Likelihood in the IEC 62443 context is a broader measure that incorporates threat actor motivation and the presence of specific targeting, in addition to technical exploitability. A highly exploitable vulnerability (CVSS 9.8) in a system with no connectivity and no motivated adversary may attract a Likelihood score of 1 or 2; a moderately difficult vulnerability in a system known to be specifically targeted may attract a Likelihood score of 4.</w:t>
      </w:r>
    </w:p>
    <w:p>
      <w:pPr>
        <w:pStyle w:val="Heading2"/>
        <w:spacing w:after="160" w:before="360"/>
      </w:pPr>
      <w:r>
        <w:rPr>
          <w:rFonts w:ascii="Arial" w:cs="Arial" w:eastAsia="Arial" w:hAnsi="Arial"/>
          <w:b/>
          <w:bCs/>
          <w:color w:val="006666"/>
          <w:sz w:val="28"/>
          <w:szCs w:val="28"/>
        </w:rPr>
        <w:t xml:space="preserve">6.4.2  The Consequence Dimension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Consequence in the IEC 62443 context measures the severity of the impact if a threat is successfully realised, across multiple consequence categories. In contrast to IT security risk frameworks that typically focus on information security consequences (data breach, regulatory fine, reputational damage), the IEC 62443 consequence scale explicitly addresses physical and safety consequences as the primary measure: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960"/>
        <w:gridCol w:w="2000"/>
        <w:gridCol w:w="2000"/>
        <w:gridCol w:w="1100"/>
      </w:tblGrid>
      <w:tr>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Score</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Level</w:t>
            </w:r>
          </w:p>
        </w:tc>
        <w:tc>
          <w:tcPr>
            <w:tcW w:type="dxa" w:w="1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Safety / HSE Consequence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Production / Operational</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Environmental</w:t>
            </w:r>
          </w:p>
        </w:tc>
        <w:tc>
          <w:tcPr>
            <w:tcW w:type="dxa" w:w="11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Financial</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4</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CATASTROPHIC</w:t>
            </w:r>
          </w:p>
        </w:tc>
        <w:tc>
          <w:tcPr>
            <w:tcW w:type="dxa" w:w="1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Multiple fatalities or permanent serious injuries; major loss of containment at scale; community evacuation required.</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Total and extended loss of production capacity; weeks or months to recovery; critical infrastructure service loss affecting large population.</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Major, irreversible environmental release; long-term contamination of land, water, or air; regulatory prosecution near-certain.</w:t>
            </w:r>
          </w:p>
        </w:tc>
        <w:tc>
          <w:tcPr>
            <w:tcW w:type="dxa" w:w="1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Extreme financial loss (&gt;$100M equivalent); loss of operating licence possible.</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3</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CRITICAL</w:t>
            </w:r>
          </w:p>
        </w:tc>
        <w:tc>
          <w:tcPr>
            <w:tcW w:type="dxa" w:w="1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Single fatality or permanent serious injury to one or more persons; significant loss of containment; major HSE incident.</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Significant production loss; days to weeks of outage; major service disruption to customers/community.</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Significant environmental release; short-term contamination; regulatory enforcement action likely.</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Major financial loss ($10M–$100M); significant regulatory penalty.</w:t>
            </w:r>
          </w:p>
        </w:tc>
      </w:tr>
      <w:tr>
        <w:tc>
          <w:tcPr>
            <w:tcW w:type="dxa" w:w="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2</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MARGINAL</w:t>
            </w:r>
          </w:p>
        </w:tc>
        <w:tc>
          <w:tcPr>
            <w:tcW w:type="dxa" w:w="1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Medical treatment injuries (no permanent disability); limited loss of containment; localised HSE incident.</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Hours to days of production disruption; partial service degradation; recoverable within normal business cycle.</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Limited, contained environmental release; remediation required but no long-term consequence; regulatory notification required.</w:t>
            </w:r>
          </w:p>
        </w:tc>
        <w:tc>
          <w:tcPr>
            <w:tcW w:type="dxa" w:w="1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Moderate financial loss ($1M–$10M); regulatory investigation possible.</w:t>
            </w:r>
          </w:p>
        </w:tc>
      </w:tr>
      <w:tr>
        <w:tc>
          <w:tcPr>
            <w:tcW w:type="dxa" w:w="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NEGLIGIBLE</w:t>
            </w:r>
          </w:p>
        </w:tc>
        <w:tc>
          <w:tcPr>
            <w:tcW w:type="dxa" w:w="1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First aid injuries or no injuries; no loss of containment; near-miss with no consequence.</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Minutes to hours disruption; negligible production impact; fully recoverable without significant effort.</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No environmental release or negligible, self-contained release; no regulatory consequence.</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Minimal financial loss (&lt;$1M); no regulatory consequence.</w:t>
            </w:r>
          </w:p>
        </w:tc>
      </w:tr>
    </w:tbl>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IEC 62443 Risk Matrix — Consequence Scale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primacy of safety and HSE consequences in Table 6.5 reflects a fundamental principle of the OT security risk framework: the potential for cyber incidents to cause physical harm must be given priority over financial and operational consequences in all risk assessment decisions. An organisation that accepts a HIGH cyber security risk because the financial consequence is modest — while ignoring the possibility that the same attack vector could cause a safety incident — has fundamentally misapplied the framework.</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practice, the analyst must assess consequence across all relevant categories and use the highest-scoring category as the consequence input to the risk matrix. This 'maximum consequence' principle prevents the analyst from being misled by scenarios where the primary financial consequence appears low but the safety consequence is catastrophic. The evaluation of consequence requires close integration with HAZOP analysis for safety-critical systems — the physical consequence chain must be established before the consequence score can be reliably assigned.</w:t>
      </w:r>
    </w:p>
    <w:p>
      <w:pPr>
        <w:pStyle w:val="Heading2"/>
        <w:spacing w:after="160" w:before="360"/>
      </w:pPr>
      <w:r>
        <w:rPr>
          <w:rFonts w:ascii="Arial" w:cs="Arial" w:eastAsia="Arial" w:hAnsi="Arial"/>
          <w:b/>
          <w:bCs/>
          <w:color w:val="006666"/>
          <w:sz w:val="28"/>
          <w:szCs w:val="28"/>
        </w:rPr>
        <w:t xml:space="preserve">6.4.3  The Risk Matrix</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risk score is calculated as the product of the Likelihood (L) and Consequence (C) scores: Risk Score = L × C. Scores range from 1 (minimum: L=1, C=1) to 16 (maximum: L=4, C=4). The score is then mapped to a risk level and an SL-T recommendation using the risk matrix below:</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80"/>
        <w:jc w:val="center"/>
      </w:pPr>
      <w:r>
        <w:rPr>
          <w:rFonts w:ascii="Arial" w:cs="Arial" w:eastAsia="Arial" w:hAnsi="Arial"/>
          <w:b/>
          <w:bCs/>
          <w:color w:val="1F3864"/>
          <w:sz w:val="20"/>
          <w:szCs w:val="20"/>
        </w:rPr>
        <w:t xml:space="preserve">Figure 1: </w:t>
      </w:r>
      <w:r>
        <w:rPr>
          <w:rFonts w:ascii="Arial" w:cs="Arial" w:eastAsia="Arial" w:hAnsi="Arial"/>
          <w:color w:val="333333"/>
          <w:sz w:val="20"/>
          <w:szCs w:val="20"/>
        </w:rPr>
        <w:t xml:space="preserve">The IEC 62443 Risk Matrix: Risk Score, Risk Level, and SL-T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20"/>
        <w:gridCol w:w="1635"/>
        <w:gridCol w:w="1635"/>
        <w:gridCol w:w="1635"/>
        <w:gridCol w:w="1635"/>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17"/>
                <w:szCs w:val="17"/>
              </w:rPr>
              <w:t xml:space="preserve">LIKELIHOOD ↓ / CONSEQUENCE →</w:t>
            </w:r>
          </w:p>
        </w:tc>
        <w:tc>
          <w:tcPr>
            <w:tcW w:type="dxa" w:w="162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Negligible (1)</w:t>
            </w:r>
          </w:p>
        </w:tc>
        <w:tc>
          <w:tcPr>
            <w:tcW w:type="dxa" w:w="1635"/>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Marginal (2)</w:t>
            </w:r>
          </w:p>
        </w:tc>
        <w:tc>
          <w:tcPr>
            <w:tcW w:type="dxa" w:w="1635"/>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Critical (3)</w:t>
            </w:r>
          </w:p>
        </w:tc>
        <w:tc>
          <w:tcPr>
            <w:tcW w:type="dxa" w:w="1635"/>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Catastrophic (4)</w:t>
            </w:r>
          </w:p>
        </w:tc>
        <w:tc>
          <w:tcPr>
            <w:tcW w:type="dxa" w:w="1635"/>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SL-T (max)</w:t>
            </w:r>
          </w:p>
        </w:tc>
      </w:tr>
      <w:tr>
        <w:tc>
          <w:tcPr>
            <w:tcW w:type="dxa" w:w="120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8"/>
                <w:szCs w:val="18"/>
              </w:rPr>
              <w:t xml:space="preserve">High (4)</w:t>
            </w:r>
          </w:p>
        </w:tc>
        <w:tc>
          <w:tcPr>
            <w:tcW w:type="dxa" w:w="1620"/>
            <w:tcBorders>
              <w:top w:val="single" w:color="FFF2CF" w:sz="2"/>
              <w:left w:val="single" w:color="FFF2CF" w:sz="2"/>
              <w:bottom w:val="single" w:color="FFF2CF" w:sz="2"/>
              <w:right w:val="single" w:color="FFF2CF" w:sz="2"/>
            </w:tcBorders>
            <w:shd w:fill="FFF2CC" w:val="clear"/>
            <w:tcMar>
              <w:top w:type="dxa" w:w="80"/>
              <w:left w:type="dxa" w:w="120"/>
              <w:bottom w:type="dxa" w:w="80"/>
              <w:right w:type="dxa" w:w="120"/>
            </w:tcMar>
            <w:vAlign w:val="top"/>
          </w:tcPr>
          <w:p>
            <w:pPr>
              <w:spacing w:after="10" w:before="40"/>
              <w:jc w:val="center"/>
            </w:pPr>
            <w:r>
              <w:rPr>
                <w:rFonts w:ascii="Arial" w:cs="Arial" w:eastAsia="Arial" w:hAnsi="Arial"/>
                <w:b/>
                <w:bCs/>
                <w:color w:val="7F6000"/>
                <w:sz w:val="20"/>
                <w:szCs w:val="20"/>
              </w:rPr>
              <w:t xml:space="preserve">4</w:t>
            </w:r>
          </w:p>
          <w:p>
            <w:pPr>
              <w:spacing w:after="40" w:before="0"/>
              <w:jc w:val="center"/>
            </w:pPr>
            <w:r>
              <w:rPr>
                <w:rFonts w:ascii="Arial" w:cs="Arial" w:eastAsia="Arial" w:hAnsi="Arial"/>
                <w:b w:val="false"/>
                <w:bCs w:val="false"/>
                <w:color w:val="7F6000"/>
                <w:sz w:val="14"/>
                <w:szCs w:val="14"/>
              </w:rPr>
              <w:t xml:space="preserve">MEDIUM</w:t>
            </w:r>
          </w:p>
        </w:tc>
        <w:tc>
          <w:tcPr>
            <w:tcW w:type="dxa" w:w="1635"/>
            <w:tcBorders>
              <w:top w:val="single" w:color="FCE4DF" w:sz="2"/>
              <w:left w:val="single" w:color="FCE4DF" w:sz="2"/>
              <w:bottom w:val="single" w:color="FCE4DF" w:sz="2"/>
              <w:right w:val="single" w:color="FCE4DF" w:sz="2"/>
            </w:tcBorders>
            <w:shd w:fill="FCE4D6" w:val="clear"/>
            <w:tcMar>
              <w:top w:type="dxa" w:w="80"/>
              <w:left w:type="dxa" w:w="120"/>
              <w:bottom w:type="dxa" w:w="80"/>
              <w:right w:type="dxa" w:w="120"/>
            </w:tcMar>
            <w:vAlign w:val="top"/>
          </w:tcPr>
          <w:p>
            <w:pPr>
              <w:spacing w:after="10" w:before="40"/>
              <w:jc w:val="center"/>
            </w:pPr>
            <w:r>
              <w:rPr>
                <w:rFonts w:ascii="Arial" w:cs="Arial" w:eastAsia="Arial" w:hAnsi="Arial"/>
                <w:b/>
                <w:bCs/>
                <w:color w:val="C55A11"/>
                <w:sz w:val="20"/>
                <w:szCs w:val="20"/>
              </w:rPr>
              <w:t xml:space="preserve">8</w:t>
            </w:r>
          </w:p>
          <w:p>
            <w:pPr>
              <w:spacing w:after="40" w:before="0"/>
              <w:jc w:val="center"/>
            </w:pPr>
            <w:r>
              <w:rPr>
                <w:rFonts w:ascii="Arial" w:cs="Arial" w:eastAsia="Arial" w:hAnsi="Arial"/>
                <w:b w:val="false"/>
                <w:bCs w:val="false"/>
                <w:color w:val="C55A11"/>
                <w:sz w:val="14"/>
                <w:szCs w:val="14"/>
              </w:rPr>
              <w:t xml:space="preserve">HIGH</w:t>
            </w:r>
          </w:p>
        </w:tc>
        <w:tc>
          <w:tcPr>
            <w:tcW w:type="dxa" w:w="1635"/>
            <w:tcBorders>
              <w:top w:val="single" w:color="FFD7DF" w:sz="2"/>
              <w:left w:val="single" w:color="FFD7DF" w:sz="2"/>
              <w:bottom w:val="single" w:color="FFD7DF" w:sz="2"/>
              <w:right w:val="single" w:color="FFD7DF" w:sz="2"/>
            </w:tcBorders>
            <w:shd w:fill="FFD7D7" w:val="clear"/>
            <w:tcMar>
              <w:top w:type="dxa" w:w="80"/>
              <w:left w:type="dxa" w:w="120"/>
              <w:bottom w:type="dxa" w:w="80"/>
              <w:right w:type="dxa" w:w="120"/>
            </w:tcMar>
            <w:vAlign w:val="top"/>
          </w:tcPr>
          <w:p>
            <w:pPr>
              <w:spacing w:after="10" w:before="40"/>
              <w:jc w:val="center"/>
            </w:pPr>
            <w:r>
              <w:rPr>
                <w:rFonts w:ascii="Arial" w:cs="Arial" w:eastAsia="Arial" w:hAnsi="Arial"/>
                <w:b/>
                <w:bCs/>
                <w:color w:val="C00000"/>
                <w:sz w:val="20"/>
                <w:szCs w:val="20"/>
              </w:rPr>
              <w:t xml:space="preserve">12</w:t>
            </w:r>
          </w:p>
          <w:p>
            <w:pPr>
              <w:spacing w:after="40" w:before="0"/>
              <w:jc w:val="center"/>
            </w:pPr>
            <w:r>
              <w:rPr>
                <w:rFonts w:ascii="Arial" w:cs="Arial" w:eastAsia="Arial" w:hAnsi="Arial"/>
                <w:b w:val="false"/>
                <w:bCs w:val="false"/>
                <w:color w:val="C00000"/>
                <w:sz w:val="14"/>
                <w:szCs w:val="14"/>
              </w:rPr>
              <w:t xml:space="preserve">CRITICAL</w:t>
            </w:r>
          </w:p>
        </w:tc>
        <w:tc>
          <w:tcPr>
            <w:tcW w:type="dxa" w:w="1635"/>
            <w:tcBorders>
              <w:top w:val="single" w:color="FFD7DF" w:sz="2"/>
              <w:left w:val="single" w:color="FFD7DF" w:sz="2"/>
              <w:bottom w:val="single" w:color="FFD7DF" w:sz="2"/>
              <w:right w:val="single" w:color="FFD7DF" w:sz="2"/>
            </w:tcBorders>
            <w:shd w:fill="FFD7D7" w:val="clear"/>
            <w:tcMar>
              <w:top w:type="dxa" w:w="80"/>
              <w:left w:type="dxa" w:w="120"/>
              <w:bottom w:type="dxa" w:w="80"/>
              <w:right w:type="dxa" w:w="120"/>
            </w:tcMar>
            <w:vAlign w:val="top"/>
          </w:tcPr>
          <w:p>
            <w:pPr>
              <w:spacing w:after="10" w:before="40"/>
              <w:jc w:val="center"/>
            </w:pPr>
            <w:r>
              <w:rPr>
                <w:rFonts w:ascii="Arial" w:cs="Arial" w:eastAsia="Arial" w:hAnsi="Arial"/>
                <w:b/>
                <w:bCs/>
                <w:color w:val="C00000"/>
                <w:sz w:val="20"/>
                <w:szCs w:val="20"/>
              </w:rPr>
              <w:t xml:space="preserve">16</w:t>
            </w:r>
          </w:p>
          <w:p>
            <w:pPr>
              <w:spacing w:after="40" w:before="0"/>
              <w:jc w:val="center"/>
            </w:pPr>
            <w:r>
              <w:rPr>
                <w:rFonts w:ascii="Arial" w:cs="Arial" w:eastAsia="Arial" w:hAnsi="Arial"/>
                <w:b w:val="false"/>
                <w:bCs w:val="false"/>
                <w:color w:val="C00000"/>
                <w:sz w:val="14"/>
                <w:szCs w:val="14"/>
              </w:rPr>
              <w:t xml:space="preserve">CRITICAL</w:t>
            </w:r>
          </w:p>
        </w:tc>
        <w:tc>
          <w:tcPr>
            <w:tcW w:type="dxa" w:w="1635"/>
            <w:tcBorders>
              <w:top w:val="single" w:color="C00000" w:sz="2"/>
              <w:left w:val="single" w:color="C00000" w:sz="2"/>
              <w:bottom w:val="single" w:color="C00000" w:sz="2"/>
              <w:right w:val="single" w:color="C00000" w:sz="2"/>
            </w:tcBorders>
            <w:shd w:fill="C0000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8"/>
                <w:szCs w:val="18"/>
              </w:rPr>
              <w:t xml:space="preserve">SL-T 3–4</w:t>
            </w:r>
          </w:p>
        </w:tc>
      </w:tr>
      <w:tr>
        <w:tc>
          <w:tcPr>
            <w:tcW w:type="dxa" w:w="120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8"/>
                <w:szCs w:val="18"/>
              </w:rPr>
              <w:t xml:space="preserve">Medium (3)</w:t>
            </w:r>
          </w:p>
        </w:tc>
        <w:tc>
          <w:tcPr>
            <w:tcW w:type="dxa" w:w="1620"/>
            <w:tcBorders>
              <w:top w:val="single" w:color="FFF2CF" w:sz="2"/>
              <w:left w:val="single" w:color="FFF2CF" w:sz="2"/>
              <w:bottom w:val="single" w:color="FFF2CF" w:sz="2"/>
              <w:right w:val="single" w:color="FFF2CF" w:sz="2"/>
            </w:tcBorders>
            <w:shd w:fill="FFF2CC" w:val="clear"/>
            <w:tcMar>
              <w:top w:type="dxa" w:w="80"/>
              <w:left w:type="dxa" w:w="120"/>
              <w:bottom w:type="dxa" w:w="80"/>
              <w:right w:type="dxa" w:w="120"/>
            </w:tcMar>
            <w:vAlign w:val="top"/>
          </w:tcPr>
          <w:p>
            <w:pPr>
              <w:spacing w:after="10" w:before="40"/>
              <w:jc w:val="center"/>
            </w:pPr>
            <w:r>
              <w:rPr>
                <w:rFonts w:ascii="Arial" w:cs="Arial" w:eastAsia="Arial" w:hAnsi="Arial"/>
                <w:b/>
                <w:bCs/>
                <w:color w:val="7F6000"/>
                <w:sz w:val="20"/>
                <w:szCs w:val="20"/>
              </w:rPr>
              <w:t xml:space="preserve">3</w:t>
            </w:r>
          </w:p>
          <w:p>
            <w:pPr>
              <w:spacing w:after="40" w:before="0"/>
              <w:jc w:val="center"/>
            </w:pPr>
            <w:r>
              <w:rPr>
                <w:rFonts w:ascii="Arial" w:cs="Arial" w:eastAsia="Arial" w:hAnsi="Arial"/>
                <w:b w:val="false"/>
                <w:bCs w:val="false"/>
                <w:color w:val="7F6000"/>
                <w:sz w:val="14"/>
                <w:szCs w:val="14"/>
              </w:rPr>
              <w:t xml:space="preserve">MEDIUM</w:t>
            </w:r>
          </w:p>
        </w:tc>
        <w:tc>
          <w:tcPr>
            <w:tcW w:type="dxa" w:w="1635"/>
            <w:tcBorders>
              <w:top w:val="single" w:color="FCE4DF" w:sz="2"/>
              <w:left w:val="single" w:color="FCE4DF" w:sz="2"/>
              <w:bottom w:val="single" w:color="FCE4DF" w:sz="2"/>
              <w:right w:val="single" w:color="FCE4DF" w:sz="2"/>
            </w:tcBorders>
            <w:shd w:fill="FCE4D6" w:val="clear"/>
            <w:tcMar>
              <w:top w:type="dxa" w:w="80"/>
              <w:left w:type="dxa" w:w="120"/>
              <w:bottom w:type="dxa" w:w="80"/>
              <w:right w:type="dxa" w:w="120"/>
            </w:tcMar>
            <w:vAlign w:val="top"/>
          </w:tcPr>
          <w:p>
            <w:pPr>
              <w:spacing w:after="10" w:before="40"/>
              <w:jc w:val="center"/>
            </w:pPr>
            <w:r>
              <w:rPr>
                <w:rFonts w:ascii="Arial" w:cs="Arial" w:eastAsia="Arial" w:hAnsi="Arial"/>
                <w:b/>
                <w:bCs/>
                <w:color w:val="C55A11"/>
                <w:sz w:val="20"/>
                <w:szCs w:val="20"/>
              </w:rPr>
              <w:t xml:space="preserve">6</w:t>
            </w:r>
          </w:p>
          <w:p>
            <w:pPr>
              <w:spacing w:after="40" w:before="0"/>
              <w:jc w:val="center"/>
            </w:pPr>
            <w:r>
              <w:rPr>
                <w:rFonts w:ascii="Arial" w:cs="Arial" w:eastAsia="Arial" w:hAnsi="Arial"/>
                <w:b w:val="false"/>
                <w:bCs w:val="false"/>
                <w:color w:val="C55A11"/>
                <w:sz w:val="14"/>
                <w:szCs w:val="14"/>
              </w:rPr>
              <w:t xml:space="preserve">HIGH</w:t>
            </w:r>
          </w:p>
        </w:tc>
        <w:tc>
          <w:tcPr>
            <w:tcW w:type="dxa" w:w="1635"/>
            <w:tcBorders>
              <w:top w:val="single" w:color="FCE4DF" w:sz="2"/>
              <w:left w:val="single" w:color="FCE4DF" w:sz="2"/>
              <w:bottom w:val="single" w:color="FCE4DF" w:sz="2"/>
              <w:right w:val="single" w:color="FCE4DF" w:sz="2"/>
            </w:tcBorders>
            <w:shd w:fill="FCE4D6" w:val="clear"/>
            <w:tcMar>
              <w:top w:type="dxa" w:w="80"/>
              <w:left w:type="dxa" w:w="120"/>
              <w:bottom w:type="dxa" w:w="80"/>
              <w:right w:type="dxa" w:w="120"/>
            </w:tcMar>
            <w:vAlign w:val="top"/>
          </w:tcPr>
          <w:p>
            <w:pPr>
              <w:spacing w:after="10" w:before="40"/>
              <w:jc w:val="center"/>
            </w:pPr>
            <w:r>
              <w:rPr>
                <w:rFonts w:ascii="Arial" w:cs="Arial" w:eastAsia="Arial" w:hAnsi="Arial"/>
                <w:b/>
                <w:bCs/>
                <w:color w:val="C55A11"/>
                <w:sz w:val="20"/>
                <w:szCs w:val="20"/>
              </w:rPr>
              <w:t xml:space="preserve">9</w:t>
            </w:r>
          </w:p>
          <w:p>
            <w:pPr>
              <w:spacing w:after="40" w:before="0"/>
              <w:jc w:val="center"/>
            </w:pPr>
            <w:r>
              <w:rPr>
                <w:rFonts w:ascii="Arial" w:cs="Arial" w:eastAsia="Arial" w:hAnsi="Arial"/>
                <w:b w:val="false"/>
                <w:bCs w:val="false"/>
                <w:color w:val="C55A11"/>
                <w:sz w:val="14"/>
                <w:szCs w:val="14"/>
              </w:rPr>
              <w:t xml:space="preserve">HIGH</w:t>
            </w:r>
          </w:p>
        </w:tc>
        <w:tc>
          <w:tcPr>
            <w:tcW w:type="dxa" w:w="1635"/>
            <w:tcBorders>
              <w:top w:val="single" w:color="FFD7DF" w:sz="2"/>
              <w:left w:val="single" w:color="FFD7DF" w:sz="2"/>
              <w:bottom w:val="single" w:color="FFD7DF" w:sz="2"/>
              <w:right w:val="single" w:color="FFD7DF" w:sz="2"/>
            </w:tcBorders>
            <w:shd w:fill="FFD7D7" w:val="clear"/>
            <w:tcMar>
              <w:top w:type="dxa" w:w="80"/>
              <w:left w:type="dxa" w:w="120"/>
              <w:bottom w:type="dxa" w:w="80"/>
              <w:right w:type="dxa" w:w="120"/>
            </w:tcMar>
            <w:vAlign w:val="top"/>
          </w:tcPr>
          <w:p>
            <w:pPr>
              <w:spacing w:after="10" w:before="40"/>
              <w:jc w:val="center"/>
            </w:pPr>
            <w:r>
              <w:rPr>
                <w:rFonts w:ascii="Arial" w:cs="Arial" w:eastAsia="Arial" w:hAnsi="Arial"/>
                <w:b/>
                <w:bCs/>
                <w:color w:val="C00000"/>
                <w:sz w:val="20"/>
                <w:szCs w:val="20"/>
              </w:rPr>
              <w:t xml:space="preserve">12</w:t>
            </w:r>
          </w:p>
          <w:p>
            <w:pPr>
              <w:spacing w:after="40" w:before="0"/>
              <w:jc w:val="center"/>
            </w:pPr>
            <w:r>
              <w:rPr>
                <w:rFonts w:ascii="Arial" w:cs="Arial" w:eastAsia="Arial" w:hAnsi="Arial"/>
                <w:b w:val="false"/>
                <w:bCs w:val="false"/>
                <w:color w:val="C00000"/>
                <w:sz w:val="14"/>
                <w:szCs w:val="14"/>
              </w:rPr>
              <w:t xml:space="preserve">CRITICAL</w:t>
            </w:r>
          </w:p>
        </w:tc>
        <w:tc>
          <w:tcPr>
            <w:tcW w:type="dxa" w:w="1635"/>
            <w:tcBorders>
              <w:top w:val="single" w:color="C55A11" w:sz="2"/>
              <w:left w:val="single" w:color="C55A11" w:sz="2"/>
              <w:bottom w:val="single" w:color="C55A11" w:sz="2"/>
              <w:right w:val="single" w:color="C55A11" w:sz="2"/>
            </w:tcBorders>
            <w:shd w:fill="C55A11"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8"/>
                <w:szCs w:val="18"/>
              </w:rPr>
              <w:t xml:space="preserve">SL-T 2–3</w:t>
            </w:r>
          </w:p>
        </w:tc>
      </w:tr>
      <w:tr>
        <w:tc>
          <w:tcPr>
            <w:tcW w:type="dxa" w:w="120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8"/>
                <w:szCs w:val="18"/>
              </w:rPr>
              <w:t xml:space="preserve">Low (2)</w:t>
            </w:r>
          </w:p>
        </w:tc>
        <w:tc>
          <w:tcPr>
            <w:tcW w:type="dxa" w:w="1620"/>
            <w:tcBorders>
              <w:top w:val="single" w:color="EBF1DF" w:sz="2"/>
              <w:left w:val="single" w:color="EBF1DF" w:sz="2"/>
              <w:bottom w:val="single" w:color="EBF1DF" w:sz="2"/>
              <w:right w:val="single" w:color="EBF1DF" w:sz="2"/>
            </w:tcBorders>
            <w:shd w:fill="EBF1DE" w:val="clear"/>
            <w:tcMar>
              <w:top w:type="dxa" w:w="80"/>
              <w:left w:type="dxa" w:w="120"/>
              <w:bottom w:type="dxa" w:w="80"/>
              <w:right w:type="dxa" w:w="120"/>
            </w:tcMar>
            <w:vAlign w:val="top"/>
          </w:tcPr>
          <w:p>
            <w:pPr>
              <w:spacing w:after="10" w:before="40"/>
              <w:jc w:val="center"/>
            </w:pPr>
            <w:r>
              <w:rPr>
                <w:rFonts w:ascii="Arial" w:cs="Arial" w:eastAsia="Arial" w:hAnsi="Arial"/>
                <w:b/>
                <w:bCs/>
                <w:color w:val="375623"/>
                <w:sz w:val="20"/>
                <w:szCs w:val="20"/>
              </w:rPr>
              <w:t xml:space="preserve">2</w:t>
            </w:r>
          </w:p>
          <w:p>
            <w:pPr>
              <w:spacing w:after="40" w:before="0"/>
              <w:jc w:val="center"/>
            </w:pPr>
            <w:r>
              <w:rPr>
                <w:rFonts w:ascii="Arial" w:cs="Arial" w:eastAsia="Arial" w:hAnsi="Arial"/>
                <w:b w:val="false"/>
                <w:bCs w:val="false"/>
                <w:color w:val="375623"/>
                <w:sz w:val="14"/>
                <w:szCs w:val="14"/>
              </w:rPr>
              <w:t xml:space="preserve">LOW</w:t>
            </w:r>
          </w:p>
        </w:tc>
        <w:tc>
          <w:tcPr>
            <w:tcW w:type="dxa" w:w="1635"/>
            <w:tcBorders>
              <w:top w:val="single" w:color="FFF2CF" w:sz="2"/>
              <w:left w:val="single" w:color="FFF2CF" w:sz="2"/>
              <w:bottom w:val="single" w:color="FFF2CF" w:sz="2"/>
              <w:right w:val="single" w:color="FFF2CF" w:sz="2"/>
            </w:tcBorders>
            <w:shd w:fill="FFF2CC" w:val="clear"/>
            <w:tcMar>
              <w:top w:type="dxa" w:w="80"/>
              <w:left w:type="dxa" w:w="120"/>
              <w:bottom w:type="dxa" w:w="80"/>
              <w:right w:type="dxa" w:w="120"/>
            </w:tcMar>
            <w:vAlign w:val="top"/>
          </w:tcPr>
          <w:p>
            <w:pPr>
              <w:spacing w:after="10" w:before="40"/>
              <w:jc w:val="center"/>
            </w:pPr>
            <w:r>
              <w:rPr>
                <w:rFonts w:ascii="Arial" w:cs="Arial" w:eastAsia="Arial" w:hAnsi="Arial"/>
                <w:b/>
                <w:bCs/>
                <w:color w:val="7F6000"/>
                <w:sz w:val="20"/>
                <w:szCs w:val="20"/>
              </w:rPr>
              <w:t xml:space="preserve">4</w:t>
            </w:r>
          </w:p>
          <w:p>
            <w:pPr>
              <w:spacing w:after="40" w:before="0"/>
              <w:jc w:val="center"/>
            </w:pPr>
            <w:r>
              <w:rPr>
                <w:rFonts w:ascii="Arial" w:cs="Arial" w:eastAsia="Arial" w:hAnsi="Arial"/>
                <w:b w:val="false"/>
                <w:bCs w:val="false"/>
                <w:color w:val="7F6000"/>
                <w:sz w:val="14"/>
                <w:szCs w:val="14"/>
              </w:rPr>
              <w:t xml:space="preserve">MEDIUM</w:t>
            </w:r>
          </w:p>
        </w:tc>
        <w:tc>
          <w:tcPr>
            <w:tcW w:type="dxa" w:w="1635"/>
            <w:tcBorders>
              <w:top w:val="single" w:color="FCE4DF" w:sz="2"/>
              <w:left w:val="single" w:color="FCE4DF" w:sz="2"/>
              <w:bottom w:val="single" w:color="FCE4DF" w:sz="2"/>
              <w:right w:val="single" w:color="FCE4DF" w:sz="2"/>
            </w:tcBorders>
            <w:shd w:fill="FCE4D6" w:val="clear"/>
            <w:tcMar>
              <w:top w:type="dxa" w:w="80"/>
              <w:left w:type="dxa" w:w="120"/>
              <w:bottom w:type="dxa" w:w="80"/>
              <w:right w:type="dxa" w:w="120"/>
            </w:tcMar>
            <w:vAlign w:val="top"/>
          </w:tcPr>
          <w:p>
            <w:pPr>
              <w:spacing w:after="10" w:before="40"/>
              <w:jc w:val="center"/>
            </w:pPr>
            <w:r>
              <w:rPr>
                <w:rFonts w:ascii="Arial" w:cs="Arial" w:eastAsia="Arial" w:hAnsi="Arial"/>
                <w:b/>
                <w:bCs/>
                <w:color w:val="C55A11"/>
                <w:sz w:val="20"/>
                <w:szCs w:val="20"/>
              </w:rPr>
              <w:t xml:space="preserve">6</w:t>
            </w:r>
          </w:p>
          <w:p>
            <w:pPr>
              <w:spacing w:after="40" w:before="0"/>
              <w:jc w:val="center"/>
            </w:pPr>
            <w:r>
              <w:rPr>
                <w:rFonts w:ascii="Arial" w:cs="Arial" w:eastAsia="Arial" w:hAnsi="Arial"/>
                <w:b w:val="false"/>
                <w:bCs w:val="false"/>
                <w:color w:val="C55A11"/>
                <w:sz w:val="14"/>
                <w:szCs w:val="14"/>
              </w:rPr>
              <w:t xml:space="preserve">HIGH</w:t>
            </w:r>
          </w:p>
        </w:tc>
        <w:tc>
          <w:tcPr>
            <w:tcW w:type="dxa" w:w="1635"/>
            <w:tcBorders>
              <w:top w:val="single" w:color="FCE4DF" w:sz="2"/>
              <w:left w:val="single" w:color="FCE4DF" w:sz="2"/>
              <w:bottom w:val="single" w:color="FCE4DF" w:sz="2"/>
              <w:right w:val="single" w:color="FCE4DF" w:sz="2"/>
            </w:tcBorders>
            <w:shd w:fill="FCE4D6" w:val="clear"/>
            <w:tcMar>
              <w:top w:type="dxa" w:w="80"/>
              <w:left w:type="dxa" w:w="120"/>
              <w:bottom w:type="dxa" w:w="80"/>
              <w:right w:type="dxa" w:w="120"/>
            </w:tcMar>
            <w:vAlign w:val="top"/>
          </w:tcPr>
          <w:p>
            <w:pPr>
              <w:spacing w:after="10" w:before="40"/>
              <w:jc w:val="center"/>
            </w:pPr>
            <w:r>
              <w:rPr>
                <w:rFonts w:ascii="Arial" w:cs="Arial" w:eastAsia="Arial" w:hAnsi="Arial"/>
                <w:b/>
                <w:bCs/>
                <w:color w:val="C55A11"/>
                <w:sz w:val="20"/>
                <w:szCs w:val="20"/>
              </w:rPr>
              <w:t xml:space="preserve">8</w:t>
            </w:r>
          </w:p>
          <w:p>
            <w:pPr>
              <w:spacing w:after="40" w:before="0"/>
              <w:jc w:val="center"/>
            </w:pPr>
            <w:r>
              <w:rPr>
                <w:rFonts w:ascii="Arial" w:cs="Arial" w:eastAsia="Arial" w:hAnsi="Arial"/>
                <w:b w:val="false"/>
                <w:bCs w:val="false"/>
                <w:color w:val="C55A11"/>
                <w:sz w:val="14"/>
                <w:szCs w:val="14"/>
              </w:rPr>
              <w:t xml:space="preserve">HIGH</w:t>
            </w:r>
          </w:p>
        </w:tc>
        <w:tc>
          <w:tcPr>
            <w:tcW w:type="dxa" w:w="1635"/>
            <w:tcBorders>
              <w:top w:val="single" w:color="7F6000" w:sz="2"/>
              <w:left w:val="single" w:color="7F6000" w:sz="2"/>
              <w:bottom w:val="single" w:color="7F6000" w:sz="2"/>
              <w:right w:val="single" w:color="7F6000" w:sz="2"/>
            </w:tcBorders>
            <w:shd w:fill="7F600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8"/>
                <w:szCs w:val="18"/>
              </w:rPr>
              <w:t xml:space="preserve">SL-T 1–2</w:t>
            </w:r>
          </w:p>
        </w:tc>
      </w:tr>
      <w:tr>
        <w:tc>
          <w:tcPr>
            <w:tcW w:type="dxa" w:w="1200"/>
            <w:tcBorders>
              <w:top w:val="single" w:color="2F5496" w:sz="2"/>
              <w:left w:val="single" w:color="2F5496" w:sz="2"/>
              <w:bottom w:val="single" w:color="2F5496" w:sz="2"/>
              <w:right w:val="single" w:color="2F5496" w:sz="2"/>
            </w:tcBorders>
            <w:shd w:fill="2F5496"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8"/>
                <w:szCs w:val="18"/>
              </w:rPr>
              <w:t xml:space="preserve">Remote (1)</w:t>
            </w:r>
          </w:p>
        </w:tc>
        <w:tc>
          <w:tcPr>
            <w:tcW w:type="dxa" w:w="1620"/>
            <w:tcBorders>
              <w:top w:val="single" w:color="EBF1DF" w:sz="2"/>
              <w:left w:val="single" w:color="EBF1DF" w:sz="2"/>
              <w:bottom w:val="single" w:color="EBF1DF" w:sz="2"/>
              <w:right w:val="single" w:color="EBF1DF" w:sz="2"/>
            </w:tcBorders>
            <w:shd w:fill="EBF1DE" w:val="clear"/>
            <w:tcMar>
              <w:top w:type="dxa" w:w="80"/>
              <w:left w:type="dxa" w:w="120"/>
              <w:bottom w:type="dxa" w:w="80"/>
              <w:right w:type="dxa" w:w="120"/>
            </w:tcMar>
            <w:vAlign w:val="top"/>
          </w:tcPr>
          <w:p>
            <w:pPr>
              <w:spacing w:after="10" w:before="40"/>
              <w:jc w:val="center"/>
            </w:pPr>
            <w:r>
              <w:rPr>
                <w:rFonts w:ascii="Arial" w:cs="Arial" w:eastAsia="Arial" w:hAnsi="Arial"/>
                <w:b/>
                <w:bCs/>
                <w:color w:val="375623"/>
                <w:sz w:val="20"/>
                <w:szCs w:val="20"/>
              </w:rPr>
              <w:t xml:space="preserve">1</w:t>
            </w:r>
          </w:p>
          <w:p>
            <w:pPr>
              <w:spacing w:after="40" w:before="0"/>
              <w:jc w:val="center"/>
            </w:pPr>
            <w:r>
              <w:rPr>
                <w:rFonts w:ascii="Arial" w:cs="Arial" w:eastAsia="Arial" w:hAnsi="Arial"/>
                <w:b w:val="false"/>
                <w:bCs w:val="false"/>
                <w:color w:val="375623"/>
                <w:sz w:val="14"/>
                <w:szCs w:val="14"/>
              </w:rPr>
              <w:t xml:space="preserve">LOW</w:t>
            </w:r>
          </w:p>
        </w:tc>
        <w:tc>
          <w:tcPr>
            <w:tcW w:type="dxa" w:w="1635"/>
            <w:tcBorders>
              <w:top w:val="single" w:color="EBF1DF" w:sz="2"/>
              <w:left w:val="single" w:color="EBF1DF" w:sz="2"/>
              <w:bottom w:val="single" w:color="EBF1DF" w:sz="2"/>
              <w:right w:val="single" w:color="EBF1DF" w:sz="2"/>
            </w:tcBorders>
            <w:shd w:fill="EBF1DE" w:val="clear"/>
            <w:tcMar>
              <w:top w:type="dxa" w:w="80"/>
              <w:left w:type="dxa" w:w="120"/>
              <w:bottom w:type="dxa" w:w="80"/>
              <w:right w:type="dxa" w:w="120"/>
            </w:tcMar>
            <w:vAlign w:val="top"/>
          </w:tcPr>
          <w:p>
            <w:pPr>
              <w:spacing w:after="10" w:before="40"/>
              <w:jc w:val="center"/>
            </w:pPr>
            <w:r>
              <w:rPr>
                <w:rFonts w:ascii="Arial" w:cs="Arial" w:eastAsia="Arial" w:hAnsi="Arial"/>
                <w:b/>
                <w:bCs/>
                <w:color w:val="375623"/>
                <w:sz w:val="20"/>
                <w:szCs w:val="20"/>
              </w:rPr>
              <w:t xml:space="preserve">2</w:t>
            </w:r>
          </w:p>
          <w:p>
            <w:pPr>
              <w:spacing w:after="40" w:before="0"/>
              <w:jc w:val="center"/>
            </w:pPr>
            <w:r>
              <w:rPr>
                <w:rFonts w:ascii="Arial" w:cs="Arial" w:eastAsia="Arial" w:hAnsi="Arial"/>
                <w:b w:val="false"/>
                <w:bCs w:val="false"/>
                <w:color w:val="375623"/>
                <w:sz w:val="14"/>
                <w:szCs w:val="14"/>
              </w:rPr>
              <w:t xml:space="preserve">LOW</w:t>
            </w:r>
          </w:p>
        </w:tc>
        <w:tc>
          <w:tcPr>
            <w:tcW w:type="dxa" w:w="1635"/>
            <w:tcBorders>
              <w:top w:val="single" w:color="FFF2CF" w:sz="2"/>
              <w:left w:val="single" w:color="FFF2CF" w:sz="2"/>
              <w:bottom w:val="single" w:color="FFF2CF" w:sz="2"/>
              <w:right w:val="single" w:color="FFF2CF" w:sz="2"/>
            </w:tcBorders>
            <w:shd w:fill="FFF2CC" w:val="clear"/>
            <w:tcMar>
              <w:top w:type="dxa" w:w="80"/>
              <w:left w:type="dxa" w:w="120"/>
              <w:bottom w:type="dxa" w:w="80"/>
              <w:right w:type="dxa" w:w="120"/>
            </w:tcMar>
            <w:vAlign w:val="top"/>
          </w:tcPr>
          <w:p>
            <w:pPr>
              <w:spacing w:after="10" w:before="40"/>
              <w:jc w:val="center"/>
            </w:pPr>
            <w:r>
              <w:rPr>
                <w:rFonts w:ascii="Arial" w:cs="Arial" w:eastAsia="Arial" w:hAnsi="Arial"/>
                <w:b/>
                <w:bCs/>
                <w:color w:val="7F6000"/>
                <w:sz w:val="20"/>
                <w:szCs w:val="20"/>
              </w:rPr>
              <w:t xml:space="preserve">3</w:t>
            </w:r>
          </w:p>
          <w:p>
            <w:pPr>
              <w:spacing w:after="40" w:before="0"/>
              <w:jc w:val="center"/>
            </w:pPr>
            <w:r>
              <w:rPr>
                <w:rFonts w:ascii="Arial" w:cs="Arial" w:eastAsia="Arial" w:hAnsi="Arial"/>
                <w:b w:val="false"/>
                <w:bCs w:val="false"/>
                <w:color w:val="7F6000"/>
                <w:sz w:val="14"/>
                <w:szCs w:val="14"/>
              </w:rPr>
              <w:t xml:space="preserve">MEDIUM</w:t>
            </w:r>
          </w:p>
        </w:tc>
        <w:tc>
          <w:tcPr>
            <w:tcW w:type="dxa" w:w="1635"/>
            <w:tcBorders>
              <w:top w:val="single" w:color="FFF2CF" w:sz="2"/>
              <w:left w:val="single" w:color="FFF2CF" w:sz="2"/>
              <w:bottom w:val="single" w:color="FFF2CF" w:sz="2"/>
              <w:right w:val="single" w:color="FFF2CF" w:sz="2"/>
            </w:tcBorders>
            <w:shd w:fill="FFF2CC" w:val="clear"/>
            <w:tcMar>
              <w:top w:type="dxa" w:w="80"/>
              <w:left w:type="dxa" w:w="120"/>
              <w:bottom w:type="dxa" w:w="80"/>
              <w:right w:type="dxa" w:w="120"/>
            </w:tcMar>
            <w:vAlign w:val="top"/>
          </w:tcPr>
          <w:p>
            <w:pPr>
              <w:spacing w:after="10" w:before="40"/>
              <w:jc w:val="center"/>
            </w:pPr>
            <w:r>
              <w:rPr>
                <w:rFonts w:ascii="Arial" w:cs="Arial" w:eastAsia="Arial" w:hAnsi="Arial"/>
                <w:b/>
                <w:bCs/>
                <w:color w:val="7F6000"/>
                <w:sz w:val="20"/>
                <w:szCs w:val="20"/>
              </w:rPr>
              <w:t xml:space="preserve">4</w:t>
            </w:r>
          </w:p>
          <w:p>
            <w:pPr>
              <w:spacing w:after="40" w:before="0"/>
              <w:jc w:val="center"/>
            </w:pPr>
            <w:r>
              <w:rPr>
                <w:rFonts w:ascii="Arial" w:cs="Arial" w:eastAsia="Arial" w:hAnsi="Arial"/>
                <w:b w:val="false"/>
                <w:bCs w:val="false"/>
                <w:color w:val="7F6000"/>
                <w:sz w:val="14"/>
                <w:szCs w:val="14"/>
              </w:rPr>
              <w:t xml:space="preserve">MEDIUM</w:t>
            </w:r>
          </w:p>
        </w:tc>
        <w:tc>
          <w:tcPr>
            <w:tcW w:type="dxa" w:w="1635"/>
            <w:tcBorders>
              <w:top w:val="single" w:color="375623" w:sz="2"/>
              <w:left w:val="single" w:color="375623" w:sz="2"/>
              <w:bottom w:val="single" w:color="375623" w:sz="2"/>
              <w:right w:val="single" w:color="375623" w:sz="2"/>
            </w:tcBorders>
            <w:shd w:fill="375623"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8"/>
                <w:szCs w:val="18"/>
              </w:rPr>
              <w:t xml:space="preserve">SL-T 1</w:t>
            </w:r>
          </w:p>
        </w:tc>
      </w:tr>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16"/>
                <w:szCs w:val="16"/>
              </w:rPr>
              <w:t xml:space="preserve">Risk Level Legend</w:t>
            </w:r>
          </w:p>
        </w:tc>
        <w:tc>
          <w:tcPr>
            <w:tcW w:type="dxa" w:w="1620"/>
            <w:tcBorders>
              <w:top w:val="single" w:color="375623" w:sz="4"/>
              <w:left w:val="single" w:color="375623" w:sz="4"/>
              <w:bottom w:val="single" w:color="375623" w:sz="4"/>
              <w:right w:val="single" w:color="375623" w:sz="4"/>
            </w:tcBorders>
            <w:shd w:fill="EBF1DE" w:val="clear"/>
            <w:tcMar>
              <w:top w:type="dxa" w:w="80"/>
              <w:left w:type="dxa" w:w="120"/>
              <w:bottom w:type="dxa" w:w="80"/>
              <w:right w:type="dxa" w:w="120"/>
            </w:tcMar>
            <w:vAlign w:val="top"/>
          </w:tcPr>
          <w:p>
            <w:pPr>
              <w:spacing w:after="60" w:before="60"/>
              <w:jc w:val="center"/>
            </w:pPr>
            <w:r>
              <w:rPr>
                <w:rFonts w:ascii="Arial" w:cs="Arial" w:eastAsia="Arial" w:hAnsi="Arial"/>
                <w:b/>
                <w:bCs/>
                <w:color w:val="375623"/>
                <w:sz w:val="16"/>
                <w:szCs w:val="16"/>
              </w:rPr>
              <w:t xml:space="preserve">LOW (1–2)</w:t>
            </w:r>
          </w:p>
        </w:tc>
        <w:tc>
          <w:tcPr>
            <w:tcW w:type="dxa" w:w="1635"/>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16"/>
                <w:szCs w:val="16"/>
              </w:rPr>
              <w:t xml:space="preserve">MEDIUM (3–5)</w:t>
            </w:r>
          </w:p>
        </w:tc>
        <w:tc>
          <w:tcPr>
            <w:tcW w:type="dxa" w:w="1635"/>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55A11"/>
                <w:sz w:val="16"/>
                <w:szCs w:val="16"/>
              </w:rPr>
              <w:t xml:space="preserve">HIGH (6–11)</w:t>
            </w:r>
          </w:p>
        </w:tc>
        <w:tc>
          <w:tcPr>
            <w:tcW w:type="dxa" w:w="1635"/>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6"/>
                <w:szCs w:val="16"/>
              </w:rPr>
              <w:t xml:space="preserve">CRITICAL (12–16)</w:t>
            </w:r>
          </w:p>
        </w:tc>
        <w:tc>
          <w:tcPr>
            <w:tcW w:type="dxa" w:w="1635"/>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16"/>
                <w:szCs w:val="16"/>
              </w:rPr>
              <w:t xml:space="preserve">SL-T Assignment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6.4.4  SL-T Assignment Rules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SL-T assignment from risk score to Security Level target is specified in IEC 62443-3-2 and should be documented in the organisation's risk assessment methodology record (CSMS-RA-001). The general mapping — illustrated in Figure 6.1 — is: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800"/>
        <w:gridCol w:w="4440"/>
      </w:tblGrid>
      <w:tr>
        <w:tc>
          <w:tcPr>
            <w:tcW w:type="dxa" w:w="1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Risk Score</w:t>
            </w:r>
          </w:p>
        </w:tc>
        <w:tc>
          <w:tcPr>
            <w:tcW w:type="dxa" w:w="1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Risk Level</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SL-T Assignment</w:t>
            </w:r>
          </w:p>
        </w:tc>
        <w:tc>
          <w:tcPr>
            <w:tcW w:type="dxa" w:w="44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Rationale</w:t>
            </w:r>
          </w:p>
        </w:tc>
      </w:tr>
      <w:tr>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1–2</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LOW</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SL-T 1</w:t>
            </w:r>
          </w:p>
        </w:tc>
        <w:tc>
          <w:tcPr>
            <w:tcW w:type="dxa" w:w="44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Protection against coincidental or casual violation is sufficient. Standard hardening and basic access control.</w:t>
            </w:r>
          </w:p>
        </w:tc>
      </w:tr>
      <w:tr>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3–5</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MEDIUM</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SL-T 1–2</w:t>
            </w:r>
          </w:p>
        </w:tc>
        <w:tc>
          <w:tcPr>
            <w:tcW w:type="dxa" w:w="44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Protection against intentional but unsophisticated violation. Enhanced access control, patching, and network monitoring.</w:t>
            </w:r>
          </w:p>
        </w:tc>
      </w:tr>
      <w:tr>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6–8</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SL-T 2</w:t>
            </w:r>
          </w:p>
        </w:tc>
        <w:tc>
          <w:tcPr>
            <w:tcW w:type="dxa" w:w="44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Protection against intentional violation using simple means with low-to-moderate resources. Comprehensive access control, encrypted communications, continuous monitoring.</w:t>
            </w:r>
          </w:p>
        </w:tc>
      </w:tr>
      <w:tr>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9–11</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SL-T 2–3</w:t>
            </w:r>
          </w:p>
        </w:tc>
        <w:tc>
          <w:tcPr>
            <w:tcW w:type="dxa" w:w="44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Protection approaching SL-T 3 — depends on specific threat characteristics. May require MFA, network anomaly detection, and integrity monitoring.</w:t>
            </w:r>
          </w:p>
        </w:tc>
      </w:tr>
      <w:tr>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12–16</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CRITICAL</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SL-T 3</w:t>
            </w:r>
          </w:p>
        </w:tc>
        <w:tc>
          <w:tcPr>
            <w:tcW w:type="dxa" w:w="44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Protection against intentional violation using sophisticated means with moderate resources. All FR capabilities at SL 3. For scores of 16 with safety consequences, SL-T 4 should be considered.</w:t>
            </w:r>
          </w:p>
        </w:tc>
      </w:tr>
    </w:tbl>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Risk Score to SL-T Mapping (IEC 62443-3-2:2020)</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An important nuance in SL-T assignment is that the matrix determines the SL-T for the most severe scenario in a zone, not the average of all scenarios. If a zone contains five threats with risk scores of 2, 3, 4, 6, and 12, the SL-T for the zone is driven by the score of 12 (CRITICAL → SL-T 3). The lower-scored threats are managed by the controls implemented to achieve SL-T 3, which by definition exceeds the protection required for lower-risk scenarios.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assessment should also consider whether the highest-consequence scenario should escalate to SL-T 4, particularly where: the consequence involves mass casualties or existential threat to critical infrastructure; the facility is known to be a high-profile target for nation-state actors; or the facility is subject to regulatory requirements that explicitly mandate SL-T 4 (such as certain nuclear facilities). The decision to apply SL-T 4 carries very significant resource implications and should be made with explicit management authorisation.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6.5  Applying the Risk Matrix: A Step-by-Step Methodology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application of the IEC 62443 risk matrix is a structured analytical process that requires systematic preparation, competent execution, and rigorous documentation. This section describes the complete methodology as it would be applied in a real CSMS risk assessment programme, from preparation through to SL-T determination and documentation.</w:t>
      </w:r>
    </w:p>
    <w:p>
      <w:pPr>
        <w:pStyle w:val="Heading2"/>
        <w:spacing w:after="160" w:before="360"/>
      </w:pPr>
      <w:r>
        <w:rPr>
          <w:rFonts w:ascii="Arial" w:cs="Arial" w:eastAsia="Arial" w:hAnsi="Arial"/>
          <w:b/>
          <w:bCs/>
          <w:color w:val="006666"/>
          <w:sz w:val="28"/>
          <w:szCs w:val="28"/>
        </w:rPr>
        <w:t xml:space="preserve">6.5.1  Pre-Assessment Requirements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risk matrix cannot be applied in isolation. Its inputs — particularly the consequence scores — depend on prior analytical work that must be completed before the matrix assessment begins: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IACS Asset Inventory (CSMS-RA-002): A complete, current inventory of all IACS assets within the scope of the assessment. The inventory must include asset type, vendor/model, firmware/software version, network connectivity, and criticality classification.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Network Diagrams (CSMS-RA-003): Current, accurate network diagrams showing all communication paths, zone boundaries, and external connections. The zone and conduit architecture should be documented before the risk matrix is applied.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System Prioritisation (CSMS-RA-004): A documented prioritisation of IACS systems by their criticality, enabling appropriate allocation of assessment resources.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High-Level Risk Assessment (CSMS-RA-005): A preliminary threat landscape assessment that identifies the threat actor categories applicable to this facility, the general vulnerability profile, and the consequence categories of greatest concern. This feeds the likelihood and consequence scales in the matrix.</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HAZOP or Physical Consequence Analysis: For safety-critical systems, a HAZOP analysis should be completed (or referenced) to establish the physical consequence chain for key cyber-physical attack scenarios. Without this, consequence scores for safety-critical systems will be unreliable.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STRIDE or Threat Enumeration: For software-intensive systems, a STRIDE analysis provides the threat identification input to the likelihood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6.5.2  The Assessment Procedure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risk matrix assessment follows a defined procedure for each assessed system or zone. The outputs of this procedure are entered into the Detailed Risk Assessment record (CSMS-RA-007) and the Risk Register (CSMS-RA-008).</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Step 1: Define the Assessment Scope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Confirm the boundary of the system or zone being assessed. Reference the zone definition in the network architecture documentation. Confirm that the asset inventory for this zone is current and complete.</w:t>
      </w:r>
    </w:p>
    <w:p>
      <w:pPr>
        <w:pStyle w:val="Heading3"/>
        <w:spacing w:after="120" w:before="280"/>
      </w:pPr>
      <w:r>
        <w:rPr>
          <w:rFonts w:ascii="Arial" w:cs="Arial" w:eastAsia="Arial" w:hAnsi="Arial"/>
          <w:b/>
          <w:bCs/>
          <w:color w:val="2F5496"/>
          <w:sz w:val="24"/>
          <w:szCs w:val="24"/>
        </w:rPr>
        <w:t xml:space="preserve">Step 2: Identify Threat Scenarios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significant threat vector applicable to the zone, define a specific threat scenario. A threat scenario is the combination of a specific threat actor, a specific attack method, and a specific consequence pathway. The scenario must be specific enough to enable reliable likelihood and consequence scoring.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Drawing on STRIDE analysis (for software-intensive systems), HAZOP analysis (for physical consequence chains), ICS-CERT advisories, and sector-specific threat intelligence, the assessment team develops a list of threat scenarios for the zone. Each scenario is documented in the risk register with a unique identifier, a clear description of the attack mechanism, and the targeted system or asset.</w:t>
      </w:r>
    </w:p>
    <w:p>
      <w:pPr>
        <w:pStyle w:val="Heading3"/>
        <w:spacing w:after="120" w:before="280"/>
      </w:pPr>
      <w:r>
        <w:rPr>
          <w:rFonts w:ascii="Arial" w:cs="Arial" w:eastAsia="Arial" w:hAnsi="Arial"/>
          <w:b/>
          <w:bCs/>
          <w:color w:val="2F5496"/>
          <w:sz w:val="24"/>
          <w:szCs w:val="24"/>
        </w:rPr>
        <w:t xml:space="preserve">Step 3: Score Likelihood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threat scenario, the team assigns a Likelihood score (1–4) using the scale defined in Table 6.4. The scoring must consider: the threat actor class most likely to attempt this scenario (referencing the SL threat actor profiles in Table 6.2); the accessibility and exploitability of the system (referencing network exposure and known vulnerabilities); and any specific intelligence about targeting of this sector, region, or facility type.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Likelihood scoring is the most subjective element of the risk matrix and the most susceptible to optimism bias — teams systematically tend to underestimate the likelihood of sophisticated attacks on their own systems. The assessment should be calibrated against historical incident data from similar facilities, ICS-CERT advisories, and sector threat reports.</w:t>
      </w:r>
    </w:p>
    <w:p>
      <w:pPr>
        <w:pStyle w:val="Heading3"/>
        <w:spacing w:after="120" w:before="280"/>
      </w:pPr>
      <w:r>
        <w:rPr>
          <w:rFonts w:ascii="Arial" w:cs="Arial" w:eastAsia="Arial" w:hAnsi="Arial"/>
          <w:b/>
          <w:bCs/>
          <w:color w:val="2F5496"/>
          <w:sz w:val="24"/>
          <w:szCs w:val="24"/>
        </w:rPr>
        <w:t xml:space="preserve">Step 4: Score Consequence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threat scenario, the team assigns a Consequence score (1–4) using the maximum consequence across all relevant consequence categories (Table 6.5). The scoring must reflect the worst realistic outcome if the threat is fully realised without preventative intervention — it should not take credit for existing safeguards at this stage. Safeguards are assessed separately when evaluating residual risk.</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safety-critical systems, the consequence score must be informed by HAZOP analysis or an equivalent physical consequence analysis. The assessor must be able to trace the cyber attack scenario through to its physical consequence — the manipulation of which specific process parameter, causing which physical deviation, resulting in which HSE consequence.</w:t>
      </w:r>
    </w:p>
    <w:p>
      <w:pPr>
        <w:pStyle w:val="Heading3"/>
        <w:spacing w:after="120" w:before="280"/>
      </w:pPr>
      <w:r>
        <w:rPr>
          <w:rFonts w:ascii="Arial" w:cs="Arial" w:eastAsia="Arial" w:hAnsi="Arial"/>
          <w:b/>
          <w:bCs/>
          <w:color w:val="2F5496"/>
          <w:sz w:val="24"/>
          <w:szCs w:val="24"/>
        </w:rPr>
        <w:t xml:space="preserve">Step 5: Calculate Risk Score and Assign Risk Level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Multiply the Likelihood score by the Consequence score: Risk Score = L × C. Map the score to the risk level (LOW/MEDIUM/HIGH/CRITICAL) using Figure 6.1. Document the score, risk level, and the scoring rationale in the risk register.</w:t>
      </w:r>
    </w:p>
    <w:p>
      <w:pPr>
        <w:pStyle w:val="Heading3"/>
        <w:spacing w:after="120" w:before="280"/>
      </w:pPr>
      <w:r>
        <w:rPr>
          <w:rFonts w:ascii="Arial" w:cs="Arial" w:eastAsia="Arial" w:hAnsi="Arial"/>
          <w:b/>
          <w:bCs/>
          <w:color w:val="2F5496"/>
          <w:sz w:val="24"/>
          <w:szCs w:val="24"/>
        </w:rPr>
        <w:t xml:space="preserve">Step 6: Determine SL-T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From the risk level, determine the initial SL-T recommendation using Table 6.6. Review the SL-T determination in the context of all other threat scenarios in the same zone. The SL-T for the zone is the highest SL-T required by any individual threat scenario in that zone. Document the SL-T determination and the rationale — this is a mandatory CSMS documentation requirement under §4.2.3.1 (SHALL).</w:t>
      </w:r>
    </w:p>
    <w:p>
      <w:pPr>
        <w:pStyle w:val="Heading3"/>
        <w:spacing w:after="120" w:before="280"/>
      </w:pPr>
      <w:r>
        <w:rPr>
          <w:rFonts w:ascii="Arial" w:cs="Arial" w:eastAsia="Arial" w:hAnsi="Arial"/>
          <w:b/>
          <w:bCs/>
          <w:color w:val="2F5496"/>
          <w:sz w:val="24"/>
          <w:szCs w:val="24"/>
        </w:rPr>
        <w:t xml:space="preserve">Step 7: Existing Safeguard Assessment and Residual Risk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Identify the existing safeguards — technical controls, administrative controls, and physical controls — that are currently in place and reduce either the likelihood or consequence of the threat scenario. For each safeguard, assess its effectiveness and reliability. Calculate the residual risk (risk with existing safeguards in place) to determine whether the scenario requires additional countermeasures.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critical discipline at this step is the accurate attribution of safeguard credit. A safeguard can only reduce the risk score if: it is actually implemented (not merely planned); it functions as intended (not degraded by age, misconfiguration, or maintenance failure); it is maintained and tested (non-functional safeguards cannot be credited); and it is independent of the threat scenario (a safeguard that fails in the same attack that triggers the threat cannot provide protection against that threat).</w:t>
      </w:r>
    </w:p>
    <w:p>
      <w:pPr>
        <w:pStyle w:val="Heading3"/>
        <w:spacing w:after="120" w:before="280"/>
      </w:pPr>
      <w:r>
        <w:rPr>
          <w:rFonts w:ascii="Arial" w:cs="Arial" w:eastAsia="Arial" w:hAnsi="Arial"/>
          <w:b/>
          <w:bCs/>
          <w:color w:val="2F5496"/>
          <w:sz w:val="24"/>
          <w:szCs w:val="24"/>
        </w:rPr>
        <w:t xml:space="preserve">Step 8: Identify Countermeasures and Action Items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Where residual risk exceeds the organisation's risk tolerance — or where the SL-T has not yet been achieved — identify and document the countermeasures required to reduce risk to the target level. Each countermeasure should be mapped to the specific FR at the required SL-T (referencing IEC 62443-3-3), assigned an owner and target implementation date, and tracked in the risk register.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6.5.3  Documentation Requirements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IEC 62443 risk matrix assessment must be fully documented to serve as CSMS evidence. The minimum documentation requirements, established by the SHALL requirements of IEC 62443-2-1, are: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CSMS-RA-001 Methodology Selection Record: Documents the selection of the IEC 62443 risk matrix as the primary methodology, with rationale. Per §4.2.3.1 (SHALL).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CSMS-RA-005 High-Level Risk Assessment Report: Documents the threat landscape, general vulnerability profile, and consequence framework before detailed assessment. Per §4.2.3.3 (SHALL).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CSMS-RA-007 Detailed Risk Assessment: The primary risk matrix output document — records every scenario, likelihood score, consequence score, risk level, existing safeguards, residual risk, and SL-T determination. Per §4.2.3.9 (SHALL).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CSMS-RA-008 Risk Register: The living document that tracks all identified risks, their current status, responsible owners, countermeasures, and review dates. Per §4.2.3.13 (SHALL).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6.6  Worked Example: Complete Risk Matrix Assessment — Sunrise Refinery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worked example demonstrates a complete IEC 62443 risk matrix assessment for three representative zones at Sunrise Refinery, a fictional 120,000 barrels-per-day crude oil refinery used consistently as the case study throughout this textbook. The example illustrates the full assessment procedure — from zone definition through threat scenario development, risk scoring, SL-T determination, FR mapping, and risk register population.</w:t>
      </w:r>
    </w:p>
    <w:p>
      <w:pPr>
        <w:pStyle w:val="Heading2"/>
        <w:spacing w:after="160" w:before="360"/>
      </w:pPr>
      <w:r>
        <w:rPr>
          <w:rFonts w:ascii="Arial" w:cs="Arial" w:eastAsia="Arial" w:hAnsi="Arial"/>
          <w:b/>
          <w:bCs/>
          <w:color w:val="006666"/>
          <w:sz w:val="28"/>
          <w:szCs w:val="28"/>
        </w:rPr>
        <w:t xml:space="preserve">6.6.1  Facility and Zone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Sunrise Refinery — CSMS Scope and Zone Architecture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Facility:     Sunrise Refinery — 120,000 bbl/day crude oil refinery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Location:     Industrial zone, 2.5 km from nearest residential area</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Regulator:    COMAH (Tier 1 — major hazard site) / HSE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IACS Inventory (selected systems):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DCS:        Honeywell Experion R520 — controls Units 1, 2, 3 (CDU, HDS, SRU)</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SIS:        Triconex Tricon 3008 — Unit 3 emergency shutdown (SIL 2 per IEC 61511)</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SCADA:      SCADA historian — Aspentech IP21, Windows Server 2019</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HMI:        6x Honeywell Station (Windows 10), 2x legacy (Windows 7 — EOL)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PLCs:       12x Rockwell ControlLogix (compressor stations and utilities)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Remote:     Vendor remote access gateway — Cisco ASA VPN (PSK authentication)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Zone Architecture (IEC 62443):</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Zone 1:     Corporate IT / Business zone (ERP, corporate network) — not in CSMS scope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Zone 2:     Industrial DMZ — historian, reporting servers, remote access gateway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Zone 3:     Operations zone — engineering workstations, HMI servers, alarm management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Zone 4:     Control zone — DCS controllers, PLC network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Zone 5:     Safety zone — Triconex SIS (physically and logically segregated)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Conduit A:  Zone 1 ↔ Zone 2 (corporate to DMZ — firewalled)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Conduit B:  Zone 2 ↔ Zone 3 (DMZ to operations — OPC-UA through firewall)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Conduit C:  Zone 3 ↔ Zone 4 (operations to control — limited, one-directional data flow)</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Conduit D:  External ↔ Zone 2 (vendor VPN — pre-shared key, no MFA)</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6.6.2  Threat Scenarios and Risk Matrix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assessment covers selected threat scenarios for Zone 4 (Control Zone) and Zone 5 (Safety Zone). These zones contain the highest-consequence systems and therefore attract the greatest analytical attention.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7: </w:t>
      </w:r>
      <w:r>
        <w:rPr>
          <w:rFonts w:ascii="Arial" w:cs="Arial" w:eastAsia="Arial" w:hAnsi="Arial"/>
          <w:color w:val="333333"/>
          <w:sz w:val="20"/>
          <w:szCs w:val="20"/>
        </w:rPr>
        <w:t xml:space="preserve">IEC 62443 Risk Matrix Assessment — Sunrise Refinery, Zones 4 and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100"/>
        <w:gridCol w:w="1300"/>
        <w:gridCol w:w="700"/>
        <w:gridCol w:w="700"/>
        <w:gridCol w:w="700"/>
        <w:gridCol w:w="600"/>
        <w:gridCol w:w="1300"/>
        <w:gridCol w:w="1320"/>
      </w:tblGrid>
      <w:tr>
        <w:tc>
          <w:tcPr>
            <w:tcW w:type="dxa" w:w="5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ID</w:t>
            </w:r>
          </w:p>
        </w:tc>
        <w:tc>
          <w:tcPr>
            <w:tcW w:type="dxa" w:w="11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Zone / Asset</w:t>
            </w:r>
          </w:p>
        </w:tc>
        <w:tc>
          <w:tcPr>
            <w:tcW w:type="dxa" w:w="13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Threat Scenario</w:t>
            </w:r>
          </w:p>
        </w:tc>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L</w:t>
            </w:r>
          </w:p>
        </w:tc>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w:t>
            </w:r>
          </w:p>
        </w:tc>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Score</w:t>
            </w:r>
          </w:p>
        </w:tc>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Level</w:t>
            </w:r>
          </w:p>
        </w:tc>
        <w:tc>
          <w:tcPr>
            <w:tcW w:type="dxa" w:w="13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Existing Safeguards</w:t>
            </w:r>
          </w:p>
        </w:tc>
        <w:tc>
          <w:tcPr>
            <w:tcW w:type="dxa" w:w="13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Action Required</w:t>
            </w:r>
          </w:p>
        </w:tc>
      </w:tr>
      <w:tr>
        <w:tc>
          <w:tcPr>
            <w:tcW w:type="dxa" w:w="5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0"/>
                <w:szCs w:val="20"/>
              </w:rPr>
              <w:t xml:space="preserve">R-001</w:t>
            </w:r>
          </w:p>
        </w:tc>
        <w:tc>
          <w:tcPr>
            <w:tcW w:type="dxa" w:w="1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Zone 4
DCS (all units)</w:t>
            </w:r>
          </w:p>
        </w:tc>
        <w:tc>
          <w:tcPr>
            <w:tcW w:type="dxa" w:w="13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External attacker traverses from corporate network through DMZ (Zone 2) and Operations zone (Zone 3) to reach DCS controllers in Zone 4. Manipulates Unit 1 CDU process setpoints — column pressure and draw temperatures.</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bCs/>
                <w:color w:val="003366"/>
                <w:sz w:val="20"/>
                <w:szCs w:val="20"/>
              </w:rPr>
              <w:t xml:space="preserve">3</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bCs/>
                <w:color w:val="003366"/>
                <w:sz w:val="20"/>
                <w:szCs w:val="20"/>
              </w:rPr>
              <w:t xml:space="preserve">4</w:t>
            </w:r>
          </w:p>
        </w:tc>
        <w:tc>
          <w:tcPr>
            <w:tcW w:type="dxa" w:w="7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40" w:before="40"/>
              <w:jc w:val="center"/>
            </w:pPr>
            <w:r>
              <w:rPr>
                <w:rFonts w:ascii="Arial" w:cs="Arial" w:eastAsia="Arial" w:hAnsi="Arial"/>
                <w:b/>
                <w:bCs/>
                <w:color w:val="C00000"/>
                <w:sz w:val="20"/>
                <w:szCs w:val="20"/>
              </w:rPr>
              <w:t xml:space="preserve">12</w:t>
            </w:r>
          </w:p>
        </w:tc>
        <w:tc>
          <w:tcPr>
            <w:tcW w:type="dxa" w:w="6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40" w:before="40"/>
              <w:jc w:val="center"/>
            </w:pPr>
            <w:r>
              <w:rPr>
                <w:rFonts w:ascii="Arial" w:cs="Arial" w:eastAsia="Arial" w:hAnsi="Arial"/>
                <w:b/>
                <w:bCs/>
                <w:color w:val="C00000"/>
                <w:sz w:val="16"/>
                <w:szCs w:val="16"/>
              </w:rPr>
              <w:t xml:space="preserve">CRIT</w:t>
            </w:r>
          </w:p>
        </w:tc>
        <w:tc>
          <w:tcPr>
            <w:tcW w:type="dxa" w:w="13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Firewall between Zones 3/4. DCS requires operator login (shared account). No MFA. No anomaly detection on OT network.</w:t>
            </w:r>
          </w:p>
        </w:tc>
        <w:tc>
          <w:tcPr>
            <w:tcW w:type="dxa" w:w="132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SL-T 3 required. Implement individual accounts on DCS (FR1), OT-IDS in Zone 4 (FR6). Harden Conduit C — restrict to required data flows only.</w:t>
            </w:r>
          </w:p>
        </w:tc>
      </w:tr>
      <w:tr>
        <w:tc>
          <w:tcPr>
            <w:tcW w:type="dxa" w:w="5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0"/>
                <w:szCs w:val="20"/>
              </w:rPr>
              <w:t xml:space="preserve">R-002</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Zone 5
Triconex SIS</w:t>
            </w:r>
          </w:p>
        </w:tc>
        <w:tc>
          <w:tcPr>
            <w:tcW w:type="dxa" w:w="1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Attacker with access to Zone 3 (engineering workstation compromised) reaches Triconex SIS engineering interface. Modifies cause-and-effect matrix — disables Unit 3 high-pressure emergency shutdown function.</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bCs/>
                <w:color w:val="003366"/>
                <w:sz w:val="20"/>
                <w:szCs w:val="20"/>
              </w:rPr>
              <w:t xml:space="preserve">3</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bCs/>
                <w:color w:val="003366"/>
                <w:sz w:val="20"/>
                <w:szCs w:val="20"/>
              </w:rPr>
              <w:t xml:space="preserve">4</w:t>
            </w:r>
          </w:p>
        </w:tc>
        <w:tc>
          <w:tcPr>
            <w:tcW w:type="dxa" w:w="7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40" w:before="40"/>
              <w:jc w:val="center"/>
            </w:pPr>
            <w:r>
              <w:rPr>
                <w:rFonts w:ascii="Arial" w:cs="Arial" w:eastAsia="Arial" w:hAnsi="Arial"/>
                <w:b/>
                <w:bCs/>
                <w:color w:val="C00000"/>
                <w:sz w:val="20"/>
                <w:szCs w:val="20"/>
              </w:rPr>
              <w:t xml:space="preserve">12</w:t>
            </w:r>
          </w:p>
        </w:tc>
        <w:tc>
          <w:tcPr>
            <w:tcW w:type="dxa" w:w="6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40" w:before="40"/>
              <w:jc w:val="center"/>
            </w:pPr>
            <w:r>
              <w:rPr>
                <w:rFonts w:ascii="Arial" w:cs="Arial" w:eastAsia="Arial" w:hAnsi="Arial"/>
                <w:b/>
                <w:bCs/>
                <w:color w:val="C00000"/>
                <w:sz w:val="16"/>
                <w:szCs w:val="16"/>
              </w:rPr>
              <w:t xml:space="preserve">CRIT</w:t>
            </w:r>
          </w:p>
        </w:tc>
        <w:tc>
          <w:tcPr>
            <w:tcW w:type="dxa" w:w="1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SIS on separate VLAN (Zone 5). No network monitoring in Zone 5. SIS engineering workstation shared with DCS workstation for cost reasons — both on same machine with different VMs.</w:t>
            </w:r>
          </w:p>
        </w:tc>
        <w:tc>
          <w:tcPr>
            <w:tcW w:type="dxa" w:w="132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CRITICAL. Immediate: Separate SIS engineering workstation from DCS workstation. SL-T 3 required. Integrity monitoring on SIS configuration (FR3). Dedicated SIS Zone 5 monitoring (FR6).</w:t>
            </w:r>
          </w:p>
        </w:tc>
      </w:tr>
      <w:tr>
        <w:tc>
          <w:tcPr>
            <w:tcW w:type="dxa" w:w="5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0"/>
                <w:szCs w:val="20"/>
              </w:rPr>
              <w:t xml:space="preserve">R-003</w:t>
            </w:r>
          </w:p>
        </w:tc>
        <w:tc>
          <w:tcPr>
            <w:tcW w:type="dxa" w:w="1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Zone 2
Historian / DMZ</w:t>
            </w:r>
          </w:p>
        </w:tc>
        <w:tc>
          <w:tcPr>
            <w:tcW w:type="dxa" w:w="13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Vendor engineer uses Conduit D VPN with pre-shared key (PSK) that has not been changed in 3 years. Credential sharing suspected. Vendor accesses historian, then pivots to Zone 3 operations network due to inadequate Conduit B controls.</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bCs/>
                <w:color w:val="003366"/>
                <w:sz w:val="20"/>
                <w:szCs w:val="20"/>
              </w:rPr>
              <w:t xml:space="preserve">4</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bCs/>
                <w:color w:val="003366"/>
                <w:sz w:val="20"/>
                <w:szCs w:val="20"/>
              </w:rPr>
              <w:t xml:space="preserve">3</w:t>
            </w:r>
          </w:p>
        </w:tc>
        <w:tc>
          <w:tcPr>
            <w:tcW w:type="dxa" w:w="7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40" w:before="40"/>
              <w:jc w:val="center"/>
            </w:pPr>
            <w:r>
              <w:rPr>
                <w:rFonts w:ascii="Arial" w:cs="Arial" w:eastAsia="Arial" w:hAnsi="Arial"/>
                <w:b/>
                <w:bCs/>
                <w:color w:val="C00000"/>
                <w:sz w:val="20"/>
                <w:szCs w:val="20"/>
              </w:rPr>
              <w:t xml:space="preserve">12</w:t>
            </w:r>
          </w:p>
        </w:tc>
        <w:tc>
          <w:tcPr>
            <w:tcW w:type="dxa" w:w="6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40" w:before="40"/>
              <w:jc w:val="center"/>
            </w:pPr>
            <w:r>
              <w:rPr>
                <w:rFonts w:ascii="Arial" w:cs="Arial" w:eastAsia="Arial" w:hAnsi="Arial"/>
                <w:b/>
                <w:bCs/>
                <w:color w:val="C00000"/>
                <w:sz w:val="16"/>
                <w:szCs w:val="16"/>
              </w:rPr>
              <w:t xml:space="preserve">CRIT</w:t>
            </w:r>
          </w:p>
        </w:tc>
        <w:tc>
          <w:tcPr>
            <w:tcW w:type="dxa" w:w="13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VPN access exists. PSK not rotated. No MFA. Access monitored only by manual log review (weekly). Vendor scope of access not restricted by configuration.</w:t>
            </w:r>
          </w:p>
        </w:tc>
        <w:tc>
          <w:tcPr>
            <w:tcW w:type="dxa" w:w="132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 Immediate: Rotate PSK; implement MFA on Conduit D. Within 30 days: Implement PAM solution — vendor sessions time-limited, monitored, and scoped. SL-T 2–3 for Conduit D.</w:t>
            </w:r>
          </w:p>
        </w:tc>
      </w:tr>
      <w:tr>
        <w:tc>
          <w:tcPr>
            <w:tcW w:type="dxa" w:w="5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0"/>
                <w:szCs w:val="20"/>
              </w:rPr>
              <w:t xml:space="preserve">R-004</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Zone 4
Compressor PLCs</w:t>
            </w:r>
          </w:p>
        </w:tc>
        <w:tc>
          <w:tcPr>
            <w:tcW w:type="dxa" w:w="1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Compressor station PLC (Rockwell ControlLogix) — firmware 2.5 years behind current release. CVE-2022-1159 (authentication bypass) applicable to installed version. Network path from Zone 3 exists. Exploit code publicly available on GitHub.</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bCs/>
                <w:color w:val="003366"/>
                <w:sz w:val="20"/>
                <w:szCs w:val="20"/>
              </w:rPr>
              <w:t xml:space="preserve">4</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bCs/>
                <w:color w:val="003366"/>
                <w:sz w:val="20"/>
                <w:szCs w:val="20"/>
              </w:rPr>
              <w:t xml:space="preserve">3</w:t>
            </w:r>
          </w:p>
        </w:tc>
        <w:tc>
          <w:tcPr>
            <w:tcW w:type="dxa" w:w="7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40" w:before="40"/>
              <w:jc w:val="center"/>
            </w:pPr>
            <w:r>
              <w:rPr>
                <w:rFonts w:ascii="Arial" w:cs="Arial" w:eastAsia="Arial" w:hAnsi="Arial"/>
                <w:b/>
                <w:bCs/>
                <w:color w:val="C00000"/>
                <w:sz w:val="20"/>
                <w:szCs w:val="20"/>
              </w:rPr>
              <w:t xml:space="preserve">12</w:t>
            </w:r>
          </w:p>
        </w:tc>
        <w:tc>
          <w:tcPr>
            <w:tcW w:type="dxa" w:w="6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40" w:before="40"/>
              <w:jc w:val="center"/>
            </w:pPr>
            <w:r>
              <w:rPr>
                <w:rFonts w:ascii="Arial" w:cs="Arial" w:eastAsia="Arial" w:hAnsi="Arial"/>
                <w:b/>
                <w:bCs/>
                <w:color w:val="C00000"/>
                <w:sz w:val="16"/>
                <w:szCs w:val="16"/>
              </w:rPr>
              <w:t xml:space="preserve">CRIT</w:t>
            </w:r>
          </w:p>
        </w:tc>
        <w:tc>
          <w:tcPr>
            <w:tcW w:type="dxa" w:w="1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No network monitoring. PLCs last patched 2019. Change management process exists but OT patch not included. Physical access to PLCs requires site access card.</w:t>
            </w:r>
          </w:p>
        </w:tc>
        <w:tc>
          <w:tcPr>
            <w:tcW w:type="dxa" w:w="132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HIGH-CRITICAL. Implement emergency OT patch schedule — CVSS 9.8 vulnerability. Isolate PLC subnet while patch is prepared. Implement network monitoring in Zone 4. SL-T 2.</w:t>
            </w:r>
          </w:p>
        </w:tc>
      </w:tr>
      <w:tr>
        <w:tc>
          <w:tcPr>
            <w:tcW w:type="dxa" w:w="54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0"/>
                <w:szCs w:val="20"/>
              </w:rPr>
              <w:t xml:space="preserve">R-005</w:t>
            </w:r>
          </w:p>
        </w:tc>
        <w:tc>
          <w:tcPr>
            <w:tcW w:type="dxa" w:w="11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Zone 3
Legacy HMIs (×2)</w:t>
            </w:r>
          </w:p>
        </w:tc>
        <w:tc>
          <w:tcPr>
            <w:tcW w:type="dxa" w:w="13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Two HMI workstations running Windows 7 (EOL January 2020). No security patches for 4+ years. Common malware families (including industrial-targeting malware) have unpatched attack vectors on Windows 7. HMIs connected to Zone 3 network.</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bCs/>
                <w:color w:val="003366"/>
                <w:sz w:val="20"/>
                <w:szCs w:val="20"/>
              </w:rPr>
              <w:t xml:space="preserve">4</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bCs/>
                <w:color w:val="003366"/>
                <w:sz w:val="20"/>
                <w:szCs w:val="20"/>
              </w:rPr>
              <w:t xml:space="preserve">3</w:t>
            </w:r>
          </w:p>
        </w:tc>
        <w:tc>
          <w:tcPr>
            <w:tcW w:type="dxa" w:w="7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40" w:before="40"/>
              <w:jc w:val="center"/>
            </w:pPr>
            <w:r>
              <w:rPr>
                <w:rFonts w:ascii="Arial" w:cs="Arial" w:eastAsia="Arial" w:hAnsi="Arial"/>
                <w:b/>
                <w:bCs/>
                <w:color w:val="C00000"/>
                <w:sz w:val="20"/>
                <w:szCs w:val="20"/>
              </w:rPr>
              <w:t xml:space="preserve">12</w:t>
            </w:r>
          </w:p>
        </w:tc>
        <w:tc>
          <w:tcPr>
            <w:tcW w:type="dxa" w:w="6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40" w:before="40"/>
              <w:jc w:val="center"/>
            </w:pPr>
            <w:r>
              <w:rPr>
                <w:rFonts w:ascii="Arial" w:cs="Arial" w:eastAsia="Arial" w:hAnsi="Arial"/>
                <w:b/>
                <w:bCs/>
                <w:color w:val="C00000"/>
                <w:sz w:val="16"/>
                <w:szCs w:val="16"/>
              </w:rPr>
              <w:t xml:space="preserve">CRIT</w:t>
            </w:r>
          </w:p>
        </w:tc>
        <w:tc>
          <w:tcPr>
            <w:tcW w:type="dxa" w:w="13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HMIs are application-locked (kiosk mode). AV installed — signature database 18 months old. No EDR. Physical access required to connect USB.</w:t>
            </w:r>
          </w:p>
        </w:tc>
        <w:tc>
          <w:tcPr>
            <w:tcW w:type="dxa" w:w="132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 Short term: Update AV signatures; implement USB port blocking; isolate HMIs to dedicated subnet. Medium term: Hardware refresh to supported OS. SL-T 2.</w:t>
            </w:r>
          </w:p>
        </w:tc>
      </w:tr>
      <w:tr>
        <w:tc>
          <w:tcPr>
            <w:tcW w:type="dxa" w:w="54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0"/>
                <w:szCs w:val="20"/>
              </w:rPr>
              <w:t xml:space="preserve">R-006</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Zone 5
SIS / ESD function</w:t>
            </w:r>
          </w:p>
        </w:tc>
        <w:tc>
          <w:tcPr>
            <w:tcW w:type="dxa" w:w="1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Ransomware outbreak originating in corporate IT propagates through inadequate DMZ (Conduit A) controls into Zone 2, then Zone 3. Reaches SIS engineering workstation. Encrypts SIS configuration database — SIS cannot be reconfigured if a trip occurs.</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bCs/>
                <w:color w:val="003366"/>
                <w:sz w:val="20"/>
                <w:szCs w:val="20"/>
              </w:rPr>
              <w:t xml:space="preserve">2</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bCs/>
                <w:color w:val="003366"/>
                <w:sz w:val="20"/>
                <w:szCs w:val="20"/>
              </w:rPr>
              <w:t xml:space="preserve">4</w:t>
            </w:r>
          </w:p>
        </w:tc>
        <w:tc>
          <w:tcPr>
            <w:tcW w:type="dxa" w:w="7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40" w:before="40"/>
              <w:jc w:val="center"/>
            </w:pPr>
            <w:r>
              <w:rPr>
                <w:rFonts w:ascii="Arial" w:cs="Arial" w:eastAsia="Arial" w:hAnsi="Arial"/>
                <w:b/>
                <w:bCs/>
                <w:color w:val="C55A11"/>
                <w:sz w:val="20"/>
                <w:szCs w:val="20"/>
              </w:rPr>
              <w:t xml:space="preserve">8</w:t>
            </w:r>
          </w:p>
        </w:tc>
        <w:tc>
          <w:tcPr>
            <w:tcW w:type="dxa" w:w="6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40" w:before="40"/>
              <w:jc w:val="center"/>
            </w:pPr>
            <w:r>
              <w:rPr>
                <w:rFonts w:ascii="Arial" w:cs="Arial" w:eastAsia="Arial" w:hAnsi="Arial"/>
                <w:b/>
                <w:bCs/>
                <w:color w:val="C55A11"/>
                <w:sz w:val="16"/>
                <w:szCs w:val="16"/>
              </w:rPr>
              <w:t xml:space="preserve">HIGH</w:t>
            </w:r>
          </w:p>
        </w:tc>
        <w:tc>
          <w:tcPr>
            <w:tcW w:type="dxa" w:w="1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Firewall on Conduit A. Antivirus on Zone 2/3 systems (partially updated). SIS engineering workstation AV not updated. No OT-specific backup of SIS configuration.</w:t>
            </w:r>
          </w:p>
        </w:tc>
        <w:tc>
          <w:tcPr>
            <w:tcW w:type="dxa" w:w="132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HIGH. Implement OT-specific backup of SIS configuration (weekly minimum). Implement network segmentation to ensure SIS engineering workstation cannot be reached from Zone 2 directly. SL-T 2.</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6.6.3  SL-T Determination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risk assessment in Table 6.7 produces the following SL-T assignments for each zone. Note that the SL-T for a zone is driven by the highest-scored scenario in that zone: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1560"/>
        <w:gridCol w:w="360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Zone</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Systems</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Highest Score</w:t>
            </w:r>
          </w:p>
        </w:tc>
        <w:tc>
          <w:tcPr>
            <w:tcW w:type="dxa" w:w="1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SL-T</w:t>
            </w:r>
          </w:p>
        </w:tc>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Primary Driving Scenario</w:t>
            </w:r>
          </w:p>
        </w:tc>
      </w:tr>
      <w:tr>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Zone 2
(DMZ)</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Historian, remote access gateway</w:t>
            </w:r>
          </w:p>
        </w:tc>
        <w:tc>
          <w:tcPr>
            <w:tcW w:type="dxa" w:w="16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12 (R-003)</w:t>
            </w:r>
          </w:p>
        </w:tc>
        <w:tc>
          <w:tcPr>
            <w:tcW w:type="dxa" w:w="1560"/>
            <w:tcBorders>
              <w:top w:val="single" w:color="C00000" w:sz="4"/>
              <w:left w:val="single" w:color="C00000" w:sz="4"/>
              <w:bottom w:val="single" w:color="C00000" w:sz="4"/>
              <w:right w:val="single" w:color="C00000" w:sz="4"/>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SL-T 2–3</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Vendor VPN with PSK — no MFA, no session control, pivot risk to operations zone</w:t>
            </w:r>
          </w:p>
        </w:tc>
      </w:tr>
      <w:tr>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Zone 3
(Operations)</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Engineering WS, HMI servers, legacy HMIs</w:t>
            </w:r>
          </w:p>
        </w:tc>
        <w:tc>
          <w:tcPr>
            <w:tcW w:type="dxa" w:w="16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12 (R-005)</w:t>
            </w:r>
          </w:p>
        </w:tc>
        <w:tc>
          <w:tcPr>
            <w:tcW w:type="dxa" w:w="1560"/>
            <w:tcBorders>
              <w:top w:val="single" w:color="C55A11" w:sz="4"/>
              <w:left w:val="single" w:color="C55A11" w:sz="4"/>
              <w:bottom w:val="single" w:color="C55A11" w:sz="4"/>
              <w:right w:val="single" w:color="C55A11" w:sz="4"/>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C55A11"/>
                <w:sz w:val="20"/>
                <w:szCs w:val="20"/>
              </w:rPr>
              <w:t xml:space="preserve">SL-T 2</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Legacy Windows 7 HMIs — unpatched for 4+ years, industrial malware risk</w:t>
            </w:r>
          </w:p>
        </w:tc>
      </w:tr>
      <w:tr>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Zone 4
(Control)</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DCS controllers, compressor PLCs</w:t>
            </w:r>
          </w:p>
        </w:tc>
        <w:tc>
          <w:tcPr>
            <w:tcW w:type="dxa" w:w="16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12 (R-001, R-004)</w:t>
            </w:r>
          </w:p>
        </w:tc>
        <w:tc>
          <w:tcPr>
            <w:tcW w:type="dxa" w:w="1560"/>
            <w:tcBorders>
              <w:top w:val="single" w:color="C00000" w:sz="4"/>
              <w:left w:val="single" w:color="C00000" w:sz="4"/>
              <w:bottom w:val="single" w:color="C00000" w:sz="4"/>
              <w:right w:val="single" w:color="C00000" w:sz="4"/>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SL-T 3</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DCS setpoint manipulation via network traversal; PLC authentication bypass CVE</w:t>
            </w:r>
          </w:p>
        </w:tc>
      </w:tr>
      <w:tr>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Zone 5
(Safety)</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Triconex SIS / ESD</w:t>
            </w:r>
          </w:p>
        </w:tc>
        <w:tc>
          <w:tcPr>
            <w:tcW w:type="dxa" w:w="16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12 (R-002)</w:t>
            </w:r>
          </w:p>
        </w:tc>
        <w:tc>
          <w:tcPr>
            <w:tcW w:type="dxa" w:w="1560"/>
            <w:tcBorders>
              <w:top w:val="single" w:color="C00000" w:sz="4"/>
              <w:left w:val="single" w:color="C00000" w:sz="4"/>
              <w:bottom w:val="single" w:color="C00000" w:sz="4"/>
              <w:right w:val="single" w:color="C00000" w:sz="4"/>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SL-T 3</w:t>
            </w:r>
          </w:p>
        </w:tc>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SIS cause-and-effect modification via shared engineering workstation</w:t>
            </w:r>
          </w:p>
        </w:tc>
      </w:tr>
      <w:tr>
        <w:tc>
          <w:tcPr>
            <w:tcW w:type="dxa" w:w="1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Conduit D
(Vendor VPN)</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Vendor remote access</w:t>
            </w:r>
          </w:p>
        </w:tc>
        <w:tc>
          <w:tcPr>
            <w:tcW w:type="dxa" w:w="16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12 (R-003)</w:t>
            </w:r>
          </w:p>
        </w:tc>
        <w:tc>
          <w:tcPr>
            <w:tcW w:type="dxa" w:w="1560"/>
            <w:tcBorders>
              <w:top w:val="single" w:color="C00000" w:sz="4"/>
              <w:left w:val="single" w:color="C00000" w:sz="4"/>
              <w:bottom w:val="single" w:color="C00000" w:sz="4"/>
              <w:right w:val="single" w:color="C00000" w:sz="4"/>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SL-T 3</w:t>
            </w:r>
          </w:p>
        </w:tc>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PSK-only authentication, no MFA, scope not restricted — primary attack vector</w:t>
            </w:r>
          </w:p>
        </w:tc>
      </w:tr>
    </w:tbl>
    <w:p>
      <w:pPr>
        <w:spacing w:after="80" w:before="80"/>
        <w:jc w:val="center"/>
      </w:pPr>
      <w:r>
        <w:rPr>
          <w:rFonts w:ascii="Arial" w:cs="Arial" w:eastAsia="Arial" w:hAnsi="Arial"/>
          <w:b/>
          <w:bCs/>
          <w:color w:val="1F3864"/>
          <w:sz w:val="20"/>
          <w:szCs w:val="20"/>
        </w:rPr>
        <w:t xml:space="preserve">Table 8: </w:t>
      </w:r>
      <w:r>
        <w:rPr>
          <w:rFonts w:ascii="Arial" w:cs="Arial" w:eastAsia="Arial" w:hAnsi="Arial"/>
          <w:color w:val="333333"/>
          <w:sz w:val="20"/>
          <w:szCs w:val="20"/>
        </w:rPr>
        <w:t xml:space="preserve">SL-T Determination Summary — Sunrise Refinery Zones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6.6.4  Mapping SL-T 3 to Foundational Requirements: Zone 4 (Control Zone)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Having determined SL-T 3 for Zone 4, the assessment team must identify the specific IEC 62443-3-3 requirements that must be achieved at SL 3 for this zone. Table 6.9 illustrates this mapping for Zone 4:</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560"/>
      </w:tblGrid>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FR</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Foundational Requirement</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SL-T 3 Specific Requirement for Zone 4</w:t>
            </w:r>
          </w:p>
        </w:tc>
        <w:tc>
          <w:tcPr>
            <w:tcW w:type="dxa" w:w="3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Gap / Countermeasure</w:t>
            </w:r>
          </w:p>
        </w:tc>
      </w:tr>
      <w:tr>
        <w:tc>
          <w:tcPr>
            <w:tcW w:type="dxa" w:w="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1</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Identification and Authentication</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Unique identification and multi-factor authentication required for all human users; software process authentication for inter-zone communications; device authentication for DCS-to-field communications.</w:t>
            </w:r>
          </w:p>
        </w:tc>
        <w:tc>
          <w:tcPr>
            <w:tcW w:type="dxa" w:w="356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GAP: Shared accounts on DCS. MFA not implemented. Action: Individual user accounts; MFA for engineering access from Zone 3; OPC-UA certificate authentication on Conduit C.</w:t>
            </w:r>
          </w:p>
        </w:tc>
      </w:tr>
      <w:tr>
        <w:tc>
          <w:tcPr>
            <w:tcW w:type="dxa" w:w="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2</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Use Control</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Least-privilege access enforced; separate roles for operators, engineers, and administrators; no shared privileged accounts; privileged access management for administrator functions.</w:t>
            </w:r>
          </w:p>
        </w:tc>
        <w:tc>
          <w:tcPr>
            <w:tcW w:type="dxa" w:w="356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GAP: Shared engineer/admin account on DCS. Operators can access engineering functions. Action: Role separation; engineer account must be individually allocated and time-limited.</w:t>
            </w:r>
          </w:p>
        </w:tc>
      </w:tr>
      <w:tr>
        <w:tc>
          <w:tcPr>
            <w:tcW w:type="dxa" w:w="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3</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System Integrity</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Software and firmware integrity verification; malware detection capability appropriate to OT constraints; security hardening of all Zone 4 components; change detection on PLC configuration.</w:t>
            </w:r>
          </w:p>
        </w:tc>
        <w:tc>
          <w:tcPr>
            <w:tcW w:type="dxa" w:w="356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GAP: No integrity monitoring on DCS or PLCs. No OT-aware malware detection. Action: Implement OT asset management with configuration baseline; OT-aware EDR where compatible.</w:t>
            </w:r>
          </w:p>
        </w:tc>
      </w:tr>
      <w:tr>
        <w:tc>
          <w:tcPr>
            <w:tcW w:type="dxa" w:w="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5</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Restricted Data Flow</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All data flows into/out of Zone 4 explicitly authorised and enforced; firewall rules reviewed and documented; protocol whitelisting on Conduit C; no uncontrolled access paths.</w:t>
            </w:r>
          </w:p>
        </w:tc>
        <w:tc>
          <w:tcPr>
            <w:tcW w:type="dxa" w:w="356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GAP: Conduit C firewall rules not recently reviewed. Some legacy paths exist. Action: Firewall rule audit; implement application-layer inspection on Conduit C; remove legacy paths.</w:t>
            </w:r>
          </w:p>
        </w:tc>
      </w:tr>
      <w:tr>
        <w:tc>
          <w:tcPr>
            <w:tcW w:type="dxa" w:w="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6</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Timely Response to Events</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Continuous security monitoring of Zone 4 network; automated alerting on anomalous DCS activity; tamper-evident logging of all configuration changes; incident response procedure tested.</w:t>
            </w:r>
          </w:p>
        </w:tc>
        <w:tc>
          <w:tcPr>
            <w:tcW w:type="dxa" w:w="356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GAP: No OT network monitoring. DCS logs not reviewed. Action: Deploy OT-IDS in Zone 4; integrate DCS audit logs with SIEM; test Zone 4 incident response within 6 months.</w:t>
            </w:r>
          </w:p>
        </w:tc>
      </w:tr>
      <w:tr>
        <w:tc>
          <w:tcPr>
            <w:tcW w:type="dxa" w:w="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FR 7</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Resource Availability</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DoS protection for Zone 4 network; DCS controllers configured for fail-safe on communication loss; backup of DCS configuration; UPS and redundant power for critical controllers.</w:t>
            </w:r>
          </w:p>
        </w:tc>
        <w:tc>
          <w:tcPr>
            <w:tcW w:type="dxa" w:w="356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PARTIAL: DCS has fail-safe mode. No DoS protection on Zone 4 network. No regular DCS backup. Action: Implement DCS backup schedule; network rate limiting; redundant communication path.</w:t>
            </w:r>
          </w:p>
        </w:tc>
      </w:tr>
    </w:tbl>
    <w:p>
      <w:pPr>
        <w:spacing w:after="80" w:before="80"/>
        <w:jc w:val="center"/>
      </w:pPr>
      <w:r>
        <w:rPr>
          <w:rFonts w:ascii="Arial" w:cs="Arial" w:eastAsia="Arial" w:hAnsi="Arial"/>
          <w:b/>
          <w:bCs/>
          <w:color w:val="1F3864"/>
          <w:sz w:val="20"/>
          <w:szCs w:val="20"/>
        </w:rPr>
        <w:t xml:space="preserve">Table 9: </w:t>
      </w:r>
      <w:r>
        <w:rPr>
          <w:rFonts w:ascii="Arial" w:cs="Arial" w:eastAsia="Arial" w:hAnsi="Arial"/>
          <w:color w:val="333333"/>
          <w:sz w:val="20"/>
          <w:szCs w:val="20"/>
        </w:rPr>
        <w:t xml:space="preserve">FR Mapping at SL-T 3 — Zone 4 (Control Zone), Sunrise Refinery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6.7  Integration with Complementary Risk Assessment Techniques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IEC 62443 risk matrix operates most effectively not as a standalone technique but as the integrating framework for inputs from multiple complementary analytical methods. This section describes how HAZOP, STRIDE, and LOPA each contribute to the quality of the risk matrix assessment, and how the integrated framework is structured.</w:t>
      </w:r>
    </w:p>
    <w:p>
      <w:pPr>
        <w:pStyle w:val="Heading2"/>
        <w:spacing w:after="160" w:before="360"/>
      </w:pPr>
      <w:r>
        <w:rPr>
          <w:rFonts w:ascii="Arial" w:cs="Arial" w:eastAsia="Arial" w:hAnsi="Arial"/>
          <w:b/>
          <w:bCs/>
          <w:color w:val="006666"/>
          <w:sz w:val="28"/>
          <w:szCs w:val="28"/>
        </w:rPr>
        <w:t xml:space="preserve">6.7.1  The Role of HAZOP as Consequence Input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reliability of Consequence scores in the risk matrix depends critically on the quality of physical consequence analysis for safety-critical systems. For DCS, SIS, and other systems where cyber attack can cause physical process deviations, a HAZOP analysis (described in Chapter 7) provides the physical consequence chain that informs the Consequence dimension of the risk matrix.</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Without HAZOP input, the assessor must estimate whether a cyber-induced process deviation will result in a negligible, marginal, critical, or catastrophic consequence — an estimate that is highly susceptible to optimism bias in the absence of a systematic deviation analysis. With HAZOP input, the assessor can trace the specific consequence pathway: for a specific deviation (e.g., 'MORE temperature' at the heat exchanger outlet caused by DCS setpoint manipulation), the HAZOP identifies the physical consequence (vapourisation of toluene, potential decomposition, vessel overpressure risk) and informs the consequence score (Catastrophic, C=4 in most scenarios).</w:t>
      </w:r>
    </w:p>
    <w:p>
      <w:pPr>
        <w:pStyle w:val="Heading2"/>
        <w:spacing w:after="160" w:before="360"/>
      </w:pPr>
      <w:r>
        <w:rPr>
          <w:rFonts w:ascii="Arial" w:cs="Arial" w:eastAsia="Arial" w:hAnsi="Arial"/>
          <w:b/>
          <w:bCs/>
          <w:color w:val="006666"/>
          <w:sz w:val="28"/>
          <w:szCs w:val="28"/>
        </w:rPr>
        <w:t xml:space="preserve">6.7.2  The Role of STRIDE as Likelihood and Threat Input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software-intensive IACS systems — SCADA servers, historian applications, HMI servers, fleet management systems, and Terminal Operating Systems — STRIDE analysis (described in Chapter 8) provides a systematic enumeration of adversarial threat vectors that directly informs the Likelihood scoring in the risk matrix.</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Without STRIDE input, the assessor must estimate Likelihood for software attack scenarios without a structured analysis of the specific attack paths available to an adversary. With STRIDE input, the Likelihood score can be anchored to specific, identified attack mechanisms: a Spoofing threat on the V2X communication channel with no authentication has a Likelihood score of 4 (HIGH) because the attack vector is trivially exploitable; a Tampering threat requiring a multi-step pivot through three security zones has a Likelihood score of 2 (LOW) because the attack requires significant effort and specialised knowledge.</w:t>
      </w:r>
    </w:p>
    <w:p>
      <w:pPr>
        <w:pStyle w:val="Heading2"/>
        <w:spacing w:after="160" w:before="360"/>
      </w:pPr>
      <w:r>
        <w:rPr>
          <w:rFonts w:ascii="Arial" w:cs="Arial" w:eastAsia="Arial" w:hAnsi="Arial"/>
          <w:b/>
          <w:bCs/>
          <w:color w:val="006666"/>
          <w:sz w:val="28"/>
          <w:szCs w:val="28"/>
        </w:rPr>
        <w:t xml:space="preserve">6.7.3  The Role of LOPA as Risk Validation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scenarios that score CRITICAL (12–16) on the risk matrix — particularly those involving safety consequences — Layer of Protection Analysis (LOPA) provides a more rigorous, quantitative validation of whether existing and proposed safeguards are adequate. LOPA (described in Chapter 10) models the independent protection layers (IPLs) that stand between the initiating cause and the consequence, estimating the residual frequency of the undesired outcome.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LOPA validation is particularly important where the risk matrix scores an SL-T 3 scenario for a zone that currently operates at SL-T 1 — the gap is significant enough that management needs a quantitative risk argument, not merely a qualitative matrix, to justify the remediation programme. LOPA provides this argument.</w:t>
      </w:r>
    </w:p>
    <w:p>
      <w:pPr>
        <w:pStyle w:val="Heading2"/>
        <w:spacing w:after="160" w:before="360"/>
      </w:pPr>
      <w:r>
        <w:rPr>
          <w:rFonts w:ascii="Arial" w:cs="Arial" w:eastAsia="Arial" w:hAnsi="Arial"/>
          <w:b/>
          <w:bCs/>
          <w:color w:val="006666"/>
          <w:sz w:val="28"/>
          <w:szCs w:val="28"/>
        </w:rPr>
        <w:t xml:space="preserve">6.7.4  The Integrated Framework —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The Integrated OT Risk Assessment Framework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 Consequence Characterisation (HAZOP-led):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Apply HAZOP to safety-critical physical systems.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Output: Physical consequence chains per deviation — feeds Consequence dimension of risk matrix.</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2 — Threat Enumeration (STRIDE-led, for software-intensive systems):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Apply STRIDE DFD analysis to SCADA, TOS, HMI servers, fleet management.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Output: Classified threat list with attack mechanisms — feeds Likelihood scoring.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3 — Risk Scoring (IEC 62443 Risk Matrix — PRIMARY):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Apply the risk matrix to all threat scenarios, using HAZOP and STRIDE outputs as inputs.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Output: Risk register with L, C, Score, Risk Level, and initial SL-T per zone.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4 — SL-T Confirmation and FR Mapping (IEC 62443-3-3):</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Confirm zone SL-T from highest-scored scenario. Map to Foundational Requirements.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Output: Security requirements specification per zone — the countermeasure framework.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5 — Residual Risk Validation (LOPA, for CRITICAL scenarios):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Apply LOPA to CRITICAL-rated scenarios to verify safeguard adequacy.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Output: Quantified residual risk — confirms or challenges SL-T determination.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6 — Communication (Bow-Tie, for 3–5 key scenarios):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Develop Bow-Tie diagrams for highest-consequence scenarios.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Output: Executive and HSE communication of risk — barriers, gaps, and actions.</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6.8  Limitations of the IEC 62443 Risk Matrix</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As with any risk assessment methodology, the IEC 62443 risk matrix has inherent limitations that the practitioner must recognise and address. A risk assessment programme built solely on the matrix, without awareness of these limitations, may produce incomplete or misleading results.</w:t>
      </w:r>
    </w:p>
    <w:p>
      <w:pPr>
        <w:pStyle w:val="Heading2"/>
        <w:spacing w:after="160" w:before="360"/>
      </w:pPr>
      <w:r>
        <w:rPr>
          <w:rFonts w:ascii="Arial" w:cs="Arial" w:eastAsia="Arial" w:hAnsi="Arial"/>
          <w:b/>
          <w:bCs/>
          <w:color w:val="006666"/>
          <w:sz w:val="28"/>
          <w:szCs w:val="28"/>
        </w:rPr>
        <w:t xml:space="preserve">6.8.1  Subjectivity of Likelihood Scoring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Likelihood scoring is the most subjective element of the risk matrix and is highly susceptible to optimism bias — the systematic tendency of teams to underestimate the probability of adverse events affecting their own systems. Studies in risk perception (Kahneman, 2011; Slovic et al., 2004) consistently demonstrate that familiarity with a system increases optimism bias — experienced engineers who know their system intimately tend to dismiss attack scenarios as 'unlikely' or 'too difficult' without rigorous analysis. The absence of historical OT attack data for many sectors makes calibration difficult.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Countermeasures include: using independent external assessors to challenge likelihood scores; calibrating against ICS-CERT incident data and sector threat reports; using STRIDE analysis to anchor likelihood scores to specific, identified attack mechanisms rather than general threat impressions; and conducting structured peer review of all likelihood scores above 2.</w:t>
      </w:r>
    </w:p>
    <w:p>
      <w:pPr>
        <w:pStyle w:val="Heading2"/>
        <w:spacing w:after="160" w:before="360"/>
      </w:pPr>
      <w:r>
        <w:rPr>
          <w:rFonts w:ascii="Arial" w:cs="Arial" w:eastAsia="Arial" w:hAnsi="Arial"/>
          <w:b/>
          <w:bCs/>
          <w:color w:val="006666"/>
          <w:sz w:val="28"/>
          <w:szCs w:val="28"/>
        </w:rPr>
        <w:t xml:space="preserve">6.8.2  Consequence Estimation Without Physical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Consequence scores for OT systems can only be reliably assigned when the physical consequence chain has been established — that is, when the analyst can trace a specific cyber attack to a specific process deviation and from there to a specific physical consequence. Without HAZOP analysis or equivalent physical consequence analysis, consequence scores for safety-critical systems will be systematically underestimated, because the analyst has no structured method for identifying the most severe physical outcome of a cyber attack scenario.</w:t>
      </w:r>
    </w:p>
    <w:p>
      <w:pPr>
        <w:pStyle w:val="Heading2"/>
        <w:spacing w:after="160" w:before="360"/>
      </w:pPr>
      <w:r>
        <w:rPr>
          <w:rFonts w:ascii="Arial" w:cs="Arial" w:eastAsia="Arial" w:hAnsi="Arial"/>
          <w:b/>
          <w:bCs/>
          <w:color w:val="006666"/>
          <w:sz w:val="28"/>
          <w:szCs w:val="28"/>
        </w:rPr>
        <w:t xml:space="preserve">6.8.3  Static Assessment in a Dynamic Environment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risk matrix produces a risk assessment at a point in time. The IACS environment is dynamic: new vulnerabilities are published, network connections change, threat actors evolve, and new systems are added. A risk matrix assessment that is not regularly updated becomes progressively less accurate over time. The IEC 62443-2-1 reassessment trigger framework (§4.2.3.10 — SHALL) addresses this by mandating documented reassessment triggers, but the organisation must actually implement and respond to these triggers for the assessment to remain current.</w:t>
      </w:r>
    </w:p>
    <w:p>
      <w:pPr>
        <w:pStyle w:val="Heading2"/>
        <w:spacing w:after="160" w:before="360"/>
      </w:pPr>
      <w:r>
        <w:rPr>
          <w:rFonts w:ascii="Arial" w:cs="Arial" w:eastAsia="Arial" w:hAnsi="Arial"/>
          <w:b/>
          <w:bCs/>
          <w:color w:val="006666"/>
          <w:sz w:val="28"/>
          <w:szCs w:val="28"/>
        </w:rPr>
        <w:t xml:space="preserve">6.8.4  Inability to Capture Multi-Stage Attack Sequences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risk matrix, in its standard application, assesses individual threat scenarios. It does not systematically model the chaining of multiple low-likelihood scenarios to produce a high-consequence outcome — the type of multi-stage, long-dwell attack typified by Stuxnet, TRITON, and the Ukraine grid attacks. A scenario that individually scores MEDIUM may enable a subsequent scenario that scores CRITICAL, but the risk matrix will not automatically identify this dependency.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Attack tree analysis (Schneier, 1999) and MITRE ATT&amp;CK for ICS (MITRE, 2020) supplement the risk matrix by modelling multi-stage attack sequences, enabling the analyst to identify scenarios where a series of apparently low-risk actions combine to produce a high-consequence outcome.</w:t>
      </w:r>
    </w:p>
    <w:p>
      <w:pPr>
        <w:pStyle w:val="Heading2"/>
        <w:spacing w:after="160" w:before="360"/>
      </w:pPr>
      <w:r>
        <w:rPr>
          <w:rFonts w:ascii="Arial" w:cs="Arial" w:eastAsia="Arial" w:hAnsi="Arial"/>
          <w:b/>
          <w:bCs/>
          <w:color w:val="006666"/>
          <w:sz w:val="28"/>
          <w:szCs w:val="28"/>
        </w:rPr>
        <w:t xml:space="preserve">6.8.5  SL-T 4 Assessment Challenges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While the IEC 62443 framework defines SL-T 4 for nation-state-level threats, the practical assessment of SL-T 4 threat likelihood is extremely difficult without access to classified threat intelligence. Most commercial OT security practitioners do not have access to the intelligence needed to reliably assess whether a specific facility is targeted by a nation-state actor, making SL-T 4 determinations somewhat speculative outside of sectors (nuclear, high-value military supply chain) where classified threat intelligence is available.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6.9  Regulatory Framework and Standards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Standard / Regulation</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Jurisdiction</w:t>
            </w:r>
          </w:p>
        </w:tc>
        <w:tc>
          <w:tcPr>
            <w:tcW w:type="dxa" w:w="4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Alignment with IEC 62443 Risk Matrix</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62443-2-1:2010</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International</w:t>
            </w:r>
          </w:p>
        </w:tc>
        <w:tc>
          <w:tcPr>
            <w:tcW w:type="dxa" w:w="4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§4.2.3.1 (SHALL): Select and document a risk assessment methodology. The IEC 62443 risk matrix is the primary technique the standard envisions for this purpose. §4.2.3.3 (SHALL): Conduct a high-level risk assessment. §4.2.3.9 (SHALL): Conduct a detailed risk assessment using the selected methodology.</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62443-3-2:2020</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International</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Primary standard for the risk assessment process — specifies zone/conduit modelling, threat analysis, and the risk matrix approach. Explicitly provides the SL-T determination methodology described in this chapter.</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IEC 62443-3-3:2013</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International</w:t>
            </w:r>
          </w:p>
        </w:tc>
        <w:tc>
          <w:tcPr>
            <w:tcW w:type="dxa" w:w="4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Specifies the Foundational Requirements (FR1–FR7) and their requirements at each SL. The FR mapping described in Section 6.6.4 derives directly from this standard.</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OSHA 29 CFR 1910.119</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United States</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Process Safety Management — requires process hazard analysis (including cyber). IEC 62443 risk matrix provides the cyber risk assessment methodology that complements PHA requirements.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EU NIS2 Directive
(2022/2555)</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European Union</w:t>
            </w:r>
          </w:p>
        </w:tc>
        <w:tc>
          <w:tcPr>
            <w:tcW w:type="dxa" w:w="4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Requires 'appropriate and proportionate' risk management measures for essential service operators. IEC 62443 risk matrix is the recognised OT-sector methodology for demonstrating compliance.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NERC CIP (v7)</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North America (electric)</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Critical Infrastructure Protection standards for bulk electric system cyber security. CIP-005, CIP-006, and CIP-010 requirements align with IEC 62443 zone/conduit and assessment approaches.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UK NCSC CAF</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United Kingdom</w:t>
            </w:r>
          </w:p>
        </w:tc>
        <w:tc>
          <w:tcPr>
            <w:tcW w:type="dxa" w:w="4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Cyber Assessment Framework — Objective B (protecting against cyber attack) requires systematic assessment of attack vectors. IEC 62443 risk matrix is the OT sector standard for this assessment.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API STD 1164 (3rd Ed.)</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United States (pipelines)</w:t>
            </w:r>
          </w:p>
        </w:tc>
        <w:tc>
          <w:tcPr>
            <w:tcW w:type="dxa" w:w="4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b w:val="false"/>
                <w:bCs w:val="false"/>
                <w:sz w:val="22"/>
                <w:szCs w:val="22"/>
              </w:rPr>
              <w:t xml:space="preserve">Pipeline SCADA security — explicitly references IEC 62443 as the framework for pipeline OT security risk assessment.</w:t>
            </w:r>
          </w:p>
        </w:tc>
      </w:tr>
    </w:tbl>
    <w:p>
      <w:pPr>
        <w:spacing w:after="80" w:before="80"/>
        <w:jc w:val="center"/>
      </w:pPr>
      <w:r>
        <w:rPr>
          <w:rFonts w:ascii="Arial" w:cs="Arial" w:eastAsia="Arial" w:hAnsi="Arial"/>
          <w:b/>
          <w:bCs/>
          <w:color w:val="1F3864"/>
          <w:sz w:val="20"/>
          <w:szCs w:val="20"/>
        </w:rPr>
        <w:t xml:space="preserve">Table 10: </w:t>
      </w:r>
      <w:r>
        <w:rPr>
          <w:rFonts w:ascii="Arial" w:cs="Arial" w:eastAsia="Arial" w:hAnsi="Arial"/>
          <w:color w:val="333333"/>
          <w:sz w:val="20"/>
          <w:szCs w:val="20"/>
        </w:rPr>
        <w:t xml:space="preserve">Regulatory and Standards Alignment — IEC 62443 Risk Matrix</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6.10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provided a comprehensive academic treatment of the ISA/IEC 62443 risk matrix as the primary framework for cyber security risk assessment in Operational Technology and IACS environments. The following principal conclusions are drawn from the analysis.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IEC 62443 risk matrix occupies a unique and central position in the OT risk assessment landscape. It is the only risk assessment methodology that produces Target Security Level (SL-T) outputs — the mandatory risk metric that drives all subsequent security design, countermeasure selection, and CSMS compliance activities in the IEC 62443 framework. HAZOP, STRIDE, LOPA, and Bow-Tie analysis are valuable and necessary — but they feed into the IEC 62443 risk matrix rather than replacing it. Organisations that build their OT risk assessment programme around any other primary methodology must demonstrate how SL-T is determined from that methodology's outputs.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theoretical foundations of the methodology — the zone and conduit model, the four-level Security Level scale with its graduated threat actor profiles, and the seven Foundational Requirements — provide a coherent architecture for risk assessment that is specifically adapted to the OT environment. The four-point Likelihood and Consequence scales produce risk scores on a 1–16 range, with risk levels (LOW, MEDIUM, HIGH, CRITICAL) and SL-T assignments that provide actionable guidance for security design and investment prioritisation.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worked example of Sunrise Refinery demonstrates the methodology's practical application across five zones of increasing security sensitivity. The example illustrates the critical insight that SL-T is determined by the worst-case scenario in a zone — a single CRITICAL-scored threat drives SL-T 3 for an entire zone, regardless of how many lower-scored threats also exist. It also illustrates the direct link between risk scoring and the FR mapping that produces the countermeasure specification: SL-T 3 for Zone 4 translates directly into specific requirements for multi-factor authentication, OT network monitoring, integrity verification, and privileged access management.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limitations of the methodology — susceptibility to optimism bias in likelihood scoring, dependence on HAZOP for consequence analysis of safety-critical systems, static-assessment limitations in a dynamic threat environment, and inability to capture multi-stage attack sequences — are real and must be addressed through the supplementary techniques described in later chapters. The integrated framework presented in Section 6.7 positions the IEC 62443 risk matrix as the analytical spine of a complete OT risk assessment programme, with HAZOP, STRIDE, LOPA, and Bow-Tie analysis providing the specialised inputs and outputs that the matrix alone cannot produce.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American Institute of Chemical Engineers Center for Chemical Process Safety (AIChE CCPS) (2001). Layer of Protection Analysis: Simplified Process Risk Assessment. New York: AIChE.</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American Petroleum Institute (2016). API Standard 1164: Pipeline Control Systems Cybersecurity (3rd ed.). Washington DC: API.</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AWIA — America's Water Infrastructure Act (2018). Public Law 115-270. 115th Congress. Washington DC: US Government.</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Dragos (2017). TRISIS Malware: Analysis of Safety System Targeted Malware. Hanover, MD: Dragos, Inc.</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ENISA (European Union Agency for Cybersecurity) (2022). Guidelines for Securing the Internet of Things. Heraklion: ENISA.</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European Parliament (2022). Directive (EU) 2022/2555 of the European Parliament and of the Council on measures for a high common level of cybersecurity across the Union (NIS2 Directive). Official Journal of the European Union, L333, 80–152.</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FIRST (Forum of Incident Response and Security Teams) (2019). Common Vulnerability Scoring System Version 3.1: Specification Document. FIRST. Available at: https://www.first.org/cvss</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IEC (2010). IEC 62443-2-1: Security for Industrial Automation and Control Systems — Part 2-1: Establishing an Industrial Automation and Control System Security Programme.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IEC (2013). IEC 62443-3-3: Industrial Communication Networks — Network and System Security — Part 3-3: System Security Requirements and Security Levels.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IEC (2018). IEC 62443-4-1: Security for Industrial Automation and Control Systems — Part 4-1: Secure Product Development Lifecycle Requirements.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IEC (2021). IEC 62443-1-1: Industrial Communication Networks — Network and System Security — Part 1-1: Terminology, Concepts and Models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IAEA (International Atomic Energy Agency) (2011). Computer Security at Nuclear Facilities: Reference Manual. IAEA Nuclear Security Series No. 17. Vienna: IAEA.</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ICS-CERT (2016). Cyber-Attack Against Ukrainian Critical Infrastructure. Alert IR-ALERT-H-16-056-01. Washington DC: Industrial Control Systems Cyber Emergency Response Team.</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Kahneman, D. (2011). Thinking, Fast and Slow. New York: Farrar, Straus and Giroux.</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Langner, R. (2011). Stuxnet: Dissecting a cyberwarfare weapon. IEEE Security &amp; Privacy, 9(3), 49–51. https://doi.org/10.1109/MSP.2011.67</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Lees, F.P. (2005). Loss Prevention in the Process Industries: Hazard Identification, Assessment and Control (3rd ed.). Oxford: Butterworth-Heinemann.</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MITRE Corporation (2020). ATT&amp;CK for Industrial Control Systems (ICS). MITRE ATT&amp;CK v8.0. Bedford, MA: MITRE. Available at: https://attack.mitre.org/matrices/ics/</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NCSC (2022). Cyber Assessment Framework v3.1. London: National Cyber Security Centre.</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NERC (North American Electric Reliability Corporation) (2020). CIP Standards Version 7. Atlanta: NERC. Available at: https://www.nerc.com/pa/Stand/Pages/CIPStandards.aspx</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NIST (2012). SP 800-30 Rev.1: Guide for Conducting Risk Assessments.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NIST (2015). SP 800-82 Rev.2: Guide to Industrial Control Systems (ICS) Security.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Rausand, M. (2013). Risk Assessment: Theory, Methods, and Applications. New York: Wiley.</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Schneier, B. (1999). Attack trees: Modeling security threats. Dr. Dobb's Journal, 24(12), 21–29.</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Shostack, A. (2014). Threat Modeling: Designing for Security. Indianapolis, IN: Wiley.</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Slovic, P., Finucane, M.L., Peters, E., and MacGregor, D.G. (2004). Risk as analysis and risk as feelings: Some thoughts about affect, reason, risk, and rationality. Risk Analysis, 24(2), 311–322. https://doi.org/10.1111/j.0272-4332.2004.00433.x</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Stouffer, K., Lightman, S., Pillitteri, V., Abrams, M., and Hahn, A. (2015). NIST SP 800-82 Rev.2: Guide to Industrial Control Systems Security. Gaithersburg, MD: NIST.</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UcedaVelez, T. and Morana, M.M. (2015). Risk Centric Threat Modeling: Process for Attack Simulation and Threat Analysis. Hoboken, NJ: Wiley.</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Williams, T.J. (1994). The Purdue Enterprise Reference Architecture. Computers in Industry, 24(2–3), 141–158. https://doi.org/10.1016/0166-3615(94)90017-5</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Primary Standards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62443-3-2:2020 — Security Risk Assessment for IACS System Design. [The authoritative standard for the risk matrix methodology.]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62443-3-3:2013 — System Security Requirements and Security Levels. [Specifies the FR framework that SL-T maps to.]</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62443-2-1:2010 — Establishing an IACS Security Programme. [The CSMS standard within which the risk matrix sits.]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Reference Texts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Rausand, M. (2013). Risk Assessment: Theory, Methods, and Applications. Wiley. [Comprehensive academic coverage of risk assessment theory.]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Stouffer, K. et al. (2015). NIST SP 800-82 Rev.2. NIST. [Comprehensive OT security guidance with risk assessment framework.]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Shostack, A. (2014). Threat Modeling: Designing for Security. Wiley. [Essential for understanding the threat identification input to the risk matrix.]</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Online Resources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ISA Global Cybersecurity Alliance: https://isagca.org — Industry body promoting IEC 62443 adoption with practical resources.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CISA ICS-CERT: https://www.cisa.gov/ics-cert — Advisories and incident data for calibrating OT threat likelihood scores.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MITRE ATT&amp;CK for ICS: https://attack.mitre.org/matrices/ics — TTP-based threat intelligence for OT likelihood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questions test understanding of the IEC 62443 risk matrix methodology at three cognitive levels: Level 1 (knowledge and comprehension), Level 2 (application and analysis), and Level 3 (synthesis and critical evaluation). Questions are suitable for examination, tutorial exercises, and seminar discussion.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Define the following terms as used in IEC 62443, providing an example of each from an OT/IACS context:</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Zone</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Conduit</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Target Security Level (SL-T)</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Achieved Security Level (SL-A)</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Foundational Requirement (FR)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four Security Levels (SL 1–4) defined in IEC 62443. For each level, identify: (i) the type of threat actor the level is designed to defend against; (ii) one characteristic of that threat actor's capability; and (iii) an example of an IACS facility or system type for which that SL-T might be appropriate.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 are the seven Foundational Requirements (FR1–FR7) defined in IEC 62443-3-3? For each FR, explain in one sentence what security domain it addresses and give one example of a specific control that would satisfy that FR at SL 2 in an OT environment.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difference between SL-T, SL-C, and SL-A. Why is the relationship SL-A ≥ SL-T the central compliance statement of the IEC 62443 CSMS framework? What happens when SL-A &lt; SL-T for a critical zone?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IEC 62443 risk matrix uses a 'maximum consequence' principle. Explain what this means, and why an organisation that uses average consequence across categories (rather than maximum) would systematically underestimate risk in OT environments.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62443-2-1 §4.2.3.1 includes a SHALL requirement regarding risk assessment methodology. What exactly does this requirement mandate, and what constitutes non-compliance? In what document (within the OpenCSMS framework) would evidence of compliance with this requirement be found?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Analysis (Level 2)</w:t>
      </w:r>
    </w:p>
    <w:p>
      <w:pPr>
        <w:pStyle w:val="Heading3"/>
        <w:spacing w:after="120" w:before="280"/>
      </w:pPr>
      <w:r>
        <w:rPr>
          <w:rFonts w:ascii="Arial" w:cs="Arial" w:eastAsia="Arial" w:hAnsi="Arial"/>
          <w:b/>
          <w:bCs/>
          <w:color w:val="2F5496"/>
          <w:sz w:val="24"/>
          <w:szCs w:val="24"/>
        </w:rPr>
        <w:t xml:space="preserve">B1. — Risk Matrix Scoring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of the following OT threat scenarios, assign a Likelihood score (1–4) and a Consequence score (1–4) using the scales defined in Tables 6.4 and 6.5. Calculate the risk score, assign a risk level, and determine the initial SL-T. Justify each score with reference to the scale definitions.</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A SCADA server at a water treatment facility runs an unpatched vulnerability (CVE score 9.1 — authentication bypass). The server is accessible from the corporate network through a misconfigured firewall. An alert has been issued by CISA indicating active exploitation of this CVE in water sector systems in the region. The SCADA system controls chemical dosing — overdosing chlorine above a threshold concentration creates a public health emergency.</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A gas pipeline SCADA system uses a serial-to-Ethernet converter (RTU-to-SCADA communication). The converter uses default factory credentials (documented in the vendor manual). A security researcher has published a blog post noting that the converter model is widely deployed and default credentials are used in most installations. Physical access to the converter requires entry to a locked compressor station.</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A nuclear power plant's safety parameter display system (SPDS — information only, no control capability) is connected to the plant data network via a one-way data diode. The SPDS software runs on Windows Server 2016 with current patches applied. The SPDS vendor has no known vulnerabilities in the current version. The plant has no known history of targeting and operates in a low-threat jurisdiction.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Zone Architecture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new automated bottling plant has the following control system architecture: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Programmable Logic Controller (PLC) network (Zone A) controls bottling line conveyors, filling heads, and quality control cameras via Profinet.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Manufacturing Execution System (MES) server (Zone B) collects production data from the PLC network and sends batch completion data to the corporate ERP.</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Quality Management System (QMS) server (Zone C) receives quality data from vision system cameras (on the PLC network) via an OPC-UA interface.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remote access gateway (Zone D/Conduit) allows the PLC vendor to access the PLC network for maintenance via VPN.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corporate IT network (Zone E) connects to the MES and QMS via standard Ethernet.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Define the zones and conduits for this system per IEC 62443-3-2. Draw a zone architecture diagram (or describe it precisely) showing zone boundaries and conduits. Specify the direction and type of data flow for each conduit.</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For each zone and conduit, identify the highest-consequence cyber threat scenario and assign a preliminary Likelihood and Consequence score. Present your results in a table with risk scores and initial SL-T determinations.</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Zone A (PLC network) — explain why an SL-T of 2 might be sufficient even though the PLCs control physical production equipment. Under what circumstances would you escalate to SL-T 3?</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FR Mapping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risk assessment of a refinery DCS control zone has determined an SL-T of 3 for that zone. The current security posture has been assessed as: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FR 1: Individual accounts exist but no MFA. Password policy is basic (8 characters, no complexity requirement, 12-month rotation).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FR 2: Operators and engineers share the same privilege level on the DCS. No formal role separation.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FR 3: No malware detection on DCS workstations. No configuration integrity monitoring. DCS last patched 18 months ago.</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FR 6: System logs are generated but reviewed only when an incident is reported. No automated alerting. No SIEM integration.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FR 7: UPS installed on all DCS controllers. No DoS protection on the DCS network. No tested DCS backup.</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For each FR listed above, state the specific gap between the current posture and the SL-T 3 requirement. Reference specific requirements from IEC 62443-3-3.</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Develop a prioritised remediation plan, sequencing countermeasures by: (i) risk reduction effectiveness; and (ii) implementation feasibility in a running refinery. For each item, identify the responsible function (IT, OT engineering, operations, management).</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One of the recommended countermeasures is to implement multi-factor authentication (MFA) on DCS operator workstations. An operations manager objects, stating that MFA will slow operator response during an emergency. How would you evaluate and respond to this objection, applying the OT security principle of §4.2.3.11 of IEC 62443-2-1?</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Case Study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November 2023, the DP World Australia port terminal cyber attack resulted in the isolation of the company's Australian port operations, affecting the movement of approximately 30,000 shipping containers. Port operations were suspended for several days as the company contained the incident and restored systems.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Based on publicly available information about the incident and your knowledge of automated port terminal systems: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Identify three likely IACS systems that would be present in an automated port terminal (of the type operated by DP World Australia) and propose a zone architecture for those systems under IEC 62443.</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For the zone most likely to have been impacted by the 2023 attack (based on reported operational consequences), construct a representative risk matrix assessment. Assign Likelihood and Consequence scores, calculate the risk score, and determine the SL-T. Justify your scores.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If the DP World Australia terminal had implemented its OT systems at the SL-T you determined in (b) prior to the attack, what specific countermeasures would have been required under IEC 62443-3-3? Would these countermeasures plausibly have prevented or limited the attack?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Evaluation: The IEC 62443 Risk Matrix as the Primary OT Assessment Methodology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Section 6.8 identifies five significant limitations of the IEC 62443 risk matrix. A risk management consultant has argued: 'The IEC 62443 risk matrix is fundamentally a subjective, qualitative tool dressed up as a quantitative one. Its 4×4 score produces false precision — a score of 12 and a score of 11 are treated very differently (CRITICAL vs HIGH), when the difference between a Likelihood score of 3 and 4 is entirely a matter of analyst judgement. Organisations would be better served by a fully quantitative QRA approach.'</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response to this argument (minimum 1200 words). Your response should:</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Evaluate the validity of the 'false precision' critique. Is the concern epistemically justified? What is the theoretical basis for using ordinal scales in risk assessment, and what does research in risk analysis say about the comparison of qualitative versus quantitative approaches?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Assess the practical argument for the IEC 62443 risk matrix relative to QRA — resource requirements, skill availability, regulatory acceptance, and the specific characteristics of OT risk assessment that may make the matrix more fit-for-purpose than QRA in most industrial contexts.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Evaluate the claim from your own position as a risk analyst: under what specific conditions is the IEC 62443 risk matrix genuinely inadequate, and under what conditions is QRA genuinely preferable? Develop a decision framework for choosing between them.</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Propose improvements to the IEC 62443 risk matrix methodology that would address the most substantive criticisms while preserving its practical applicability. Reference relevant academic literature on risk matrix design (including Rausand, 2013, and Cox, 2008, if accessible).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CSMS Risk Assessment Programme for a Water Authority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have been engaged as the OT security consultant for a regional water authority serving a population of 250,000. The authority operates: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Three water treatment plants (WTP 1, 2, 3) each with chlorination dosing PLCs, turbidity analysers, UV disinfection units, and SCADA communication.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One wastewater treatment plant (WWTP) with activated sludge aeration control, chemical dosing, and UV disinfection.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Distribution network with 45 remotely monitored pump stations, each with a PLC communicating to a central SCADA via 4G cellular.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central control room with SCADA servers (Windows Server 2019), two operator HMIs, and a corporate network connection.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Vendor remote access for SCADA and PLC vendor maintenance — currently via PSK-authenticated VPN.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Design a complete IEC 62443 risk assessment programme for this authority:</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Define the zone architecture for this infrastructure. How many zones and conduits are required? What are the key trust boundaries? Justify your zone boundaries with reference to both security and operational considerations.</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For the zone you consider to pose the highest risk, conduct a complete risk matrix assessment — identifying at least four threat scenarios with full L, C, risk score, and SL-T determination. Use the HAZOP consequence principle to justify your consequence scores.</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authority's CEO has asked whether, given that this is a public water supply, SL-T 4 should be applied to the chemical dosing control systems. Prepare a board-level briefing (300–500 words) addressing this question, with a recommended SL-T and justification.</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45 remote pump station PLCs communicate via 4G cellular. Identify the specific threats that make this architecture high risk, apply the risk matrix to the two highest-consequence scenarios, and specify the countermeasures required at the resulting SL-T.</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Identify where HAZOP and STRIDE analysis should supplement the IEC 62443 risk matrix for this water authority, and specify the scope of each.</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6</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Achieved Security Level (SL-A): </w:t>
            </w:r>
            <w:r>
              <w:rPr>
                <w:rFonts w:ascii="Times New Roman" w:cs="Times New Roman" w:eastAsia="Times New Roman" w:hAnsi="Times New Roman"/>
                <w:sz w:val="22"/>
                <w:szCs w:val="22"/>
              </w:rPr>
              <w:t xml:space="preserve">The security level actually implemented and verified in an IACS zone, as measured against the Foundational Requirements. The CSMS objective is SL-A ≥ SL-T for all zones.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Availability-Integrity-Confidentiality (AIC): </w:t>
            </w:r>
            <w:r>
              <w:rPr>
                <w:rFonts w:ascii="Times New Roman" w:cs="Times New Roman" w:eastAsia="Times New Roman" w:hAnsi="Times New Roman"/>
                <w:sz w:val="22"/>
                <w:szCs w:val="22"/>
              </w:rPr>
              <w:t xml:space="preserve">The OT security triad — the inverted form of the IT CIA triad — reflecting that in IACS environments, availability is the highest-priority security property, followed by integrity, with confidentiality typically tertiary.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Capability Security Level (SL-C): </w:t>
            </w:r>
            <w:r>
              <w:rPr>
                <w:rFonts w:ascii="Times New Roman" w:cs="Times New Roman" w:eastAsia="Times New Roman" w:hAnsi="Times New Roman"/>
                <w:sz w:val="22"/>
                <w:szCs w:val="22"/>
              </w:rPr>
              <w:t xml:space="preserve">The security level that a product, system, or service is capable of providing, as specified by the supplier or system integrator. A product with SL-C 2 can be configured to achieve SL-T 2 in a zone.</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Conduit: </w:t>
            </w:r>
            <w:r>
              <w:rPr>
                <w:rFonts w:ascii="Times New Roman" w:cs="Times New Roman" w:eastAsia="Times New Roman" w:hAnsi="Times New Roman"/>
                <w:sz w:val="22"/>
                <w:szCs w:val="22"/>
              </w:rPr>
              <w:t xml:space="preserve">A logical grouping of communication channels and associated security mechanisms that connects two or more zones. All communications between zones must pass through defined, controlled conduits.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Foundational Requirement (FR): </w:t>
            </w:r>
            <w:r>
              <w:rPr>
                <w:rFonts w:ascii="Times New Roman" w:cs="Times New Roman" w:eastAsia="Times New Roman" w:hAnsi="Times New Roman"/>
                <w:sz w:val="22"/>
                <w:szCs w:val="22"/>
              </w:rPr>
              <w:t xml:space="preserve">One of seven categories of security requirements defined in IEC 62443-3-3 (FR1: Identification and Authentication, FR2: Use Control, FR3: System Integrity, FR4: Data Confidentiality, FR5: Restricted Data Flow, FR6: Timely Response to Events, FR7: Resource Availability). Each FR is specified at SL 1–4.</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Industrial Demilitarised Zone (IDMZ / Industrial DMZ): </w:t>
            </w:r>
            <w:r>
              <w:rPr>
                <w:rFonts w:ascii="Times New Roman" w:cs="Times New Roman" w:eastAsia="Times New Roman" w:hAnsi="Times New Roman"/>
                <w:sz w:val="22"/>
                <w:szCs w:val="22"/>
              </w:rPr>
              <w:t xml:space="preserve">A dedicated network zone (corresponding to Purdue Level 3.5) that separates the corporate IT network from the OT network. All traffic between IT and OT must pass through the IDMZ, which implements security controls appropriate to both environments.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Likelihood: </w:t>
            </w:r>
            <w:r>
              <w:rPr>
                <w:rFonts w:ascii="Times New Roman" w:cs="Times New Roman" w:eastAsia="Times New Roman" w:hAnsi="Times New Roman"/>
                <w:sz w:val="22"/>
                <w:szCs w:val="22"/>
              </w:rPr>
              <w:t xml:space="preserve">In the IEC 62443 risk matrix, a measure (scored 1–4) of the probability that a specific threat will be successfully realised against a specific system, taking into account threat actor motivation, capability, and the system's vulnerability exposure.</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Purdue Reference Model: </w:t>
            </w:r>
            <w:r>
              <w:rPr>
                <w:rFonts w:ascii="Times New Roman" w:cs="Times New Roman" w:eastAsia="Times New Roman" w:hAnsi="Times New Roman"/>
                <w:sz w:val="22"/>
                <w:szCs w:val="22"/>
              </w:rPr>
              <w:t xml:space="preserve">A hierarchical reference architecture for industrial control systems (Williams, 1994) that defines five levels (0–4) from field devices at Level 0 to enterprise systems at Level 4. Widely used as the basis for IEC 62443 zone architecture definition.</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Risk Matrix: </w:t>
            </w:r>
            <w:r>
              <w:rPr>
                <w:rFonts w:ascii="Times New Roman" w:cs="Times New Roman" w:eastAsia="Times New Roman" w:hAnsi="Times New Roman"/>
                <w:sz w:val="22"/>
                <w:szCs w:val="22"/>
              </w:rPr>
              <w:t xml:space="preserve">An analytical tool that produces a risk score from the product of Likelihood and Consequence scores, mapped to risk levels (LOW, MEDIUM, HIGH, CRITICAL) and SL-T assignments. The IEC 62443 risk matrix is a 4×4 matrix producing scores from 1 to 16.</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Security Level (SL): </w:t>
            </w:r>
            <w:r>
              <w:rPr>
                <w:rFonts w:ascii="Times New Roman" w:cs="Times New Roman" w:eastAsia="Times New Roman" w:hAnsi="Times New Roman"/>
                <w:sz w:val="22"/>
                <w:szCs w:val="22"/>
              </w:rPr>
              <w:t xml:space="preserve">A measure of the security protection required for or provided by an IACS zone, defined on a four-point scale (SL 1–4) in IEC 62443. Each level corresponds to a threat actor profile: SL 1 (casual), SL 2 (simple intentional), SL 3 (sophisticated intentional), SL 4 (state-sponsored).</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Target Security Level (SL-T): </w:t>
            </w:r>
            <w:r>
              <w:rPr>
                <w:rFonts w:ascii="Times New Roman" w:cs="Times New Roman" w:eastAsia="Times New Roman" w:hAnsi="Times New Roman"/>
                <w:sz w:val="22"/>
                <w:szCs w:val="22"/>
              </w:rPr>
              <w:t xml:space="preserve">The security level determined to be necessary for a zone or conduit, based on risk assessment using the IEC 62443 risk matrix. SL-T is derived from the highest risk score among all assessed threat scenarios for the zone.</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Zone: </w:t>
            </w:r>
            <w:r>
              <w:rPr>
                <w:rFonts w:ascii="Times New Roman" w:cs="Times New Roman" w:eastAsia="Times New Roman" w:hAnsi="Times New Roman"/>
                <w:sz w:val="22"/>
                <w:szCs w:val="22"/>
              </w:rPr>
              <w:t xml:space="preserve">A grouping of logical or physical IACS assets that share common security requirements and can be assigned the same Target Security Level. Zone boundaries define the security perimeter within which a consistent SL-T applies.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Zone-Conduit Model: </w:t>
            </w:r>
            <w:r>
              <w:rPr>
                <w:rFonts w:ascii="Times New Roman" w:cs="Times New Roman" w:eastAsia="Times New Roman" w:hAnsi="Times New Roman"/>
                <w:sz w:val="22"/>
                <w:szCs w:val="22"/>
              </w:rPr>
              <w:t xml:space="preserve">The primary architectural framework for IACS security in IEC 62443 — all IACS assets are assigned to defined zones, and all inter-zone communications are managed through defined, security-controlled conduits.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6</w:t>
      </w:r>
    </w:p>
    <w:p>
      <w:pPr>
        <w:spacing w:after="240" w:before="0"/>
        <w:jc w:val="center"/>
      </w:pPr>
      <w:r>
        <w:rPr>
          <w:rFonts w:ascii="Arial" w:cs="Arial" w:eastAsia="Arial" w:hAnsi="Arial"/>
          <w:color w:val="006666"/>
          <w:sz w:val="20"/>
          <w:szCs w:val="20"/>
        </w:rPr>
        <w:t xml:space="preserve">Proceed to Chapter 7: Hazard and Operability Study (HAZOP) — Systematic Physical Consequence Analysis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6: The ISA/IEC 62443 Risk Matrix in OT Security</w:t>
    </w:r>
    <w:r>
      <w:rPr>
        <w:rFonts w:ascii="Arial" w:cs="Arial" w:eastAsia="Arial" w:hAnsi="Arial"/>
        <w:sz w:val="18"/>
        <w:szCs w:val="18"/>
      </w:rP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abstractNum w:abstractNumId="10"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The ISA/IEC 62443 Risk Matrix in Operational Technology Security</dc:title>
  <dc:creator>Dr. [Author], PhD — Risk Analysis and Assessment</dc:creator>
  <cp:lastModifiedBy>Un-named</cp:lastModifiedBy>
  <cp:revision>1</cp:revision>
  <dcterms:created xsi:type="dcterms:W3CDTF">2026-05-11T06:54:41.558Z</dcterms:created>
  <dcterms:modified xsi:type="dcterms:W3CDTF">2026-05-11T06:54:41.573Z</dcterms:modified>
</cp:coreProperties>
</file>

<file path=docProps/custom.xml><?xml version="1.0" encoding="utf-8"?>
<Properties xmlns="http://schemas.openxmlformats.org/officeDocument/2006/custom-properties" xmlns:vt="http://schemas.openxmlformats.org/officeDocument/2006/docPropsVTypes"/>
</file>