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CLASSIFICATION: RESTRICTED  |  IEC 62443-2-1:2010 CSMS DOCUMENT  |  IACS USE ONLY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96"/>
                <w:sz w:val="17"/>
                <w:szCs w:val="17"/>
              </w:rPr>
              <w:t xml:space="preserve">IEC 62443-2-1:2010  ·  §4.2.3.1 SHALL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38"/>
                <w:szCs w:val="38"/>
              </w:rPr>
              <w:t xml:space="preserve">Risk Assessment Methodology Selection Record</w:t>
            </w:r>
          </w:p>
          <w:p>
            <w:pPr>
              <w:spacing w:after="80" w:before="3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7"/>
                <w:szCs w:val="17"/>
              </w:rPr>
              <w:t xml:space="preserve">CSMS Document Reference: CSMS-RA-001  ·  Stage 2 — Risk Analysis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560"/>
        <w:gridCol w:w="1200"/>
        <w:gridCol w:w="1200"/>
        <w:gridCol w:w="1560"/>
        <w:gridCol w:w="2040"/>
        <w:gridCol w:w="1800"/>
      </w:tblGrid>
      <w:tr>
        <w:tc>
          <w:tcPr>
            <w:tcW w:type="dxa" w:w="1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 Ref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2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Issue Date</w:t>
            </w:r>
          </w:p>
        </w:tc>
        <w:tc>
          <w:tcPr>
            <w:tcW w:type="dxa" w:w="20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Document Owner</w:t>
            </w:r>
          </w:p>
        </w:tc>
        <w:tc>
          <w:tcPr>
            <w:tcW w:type="dxa" w:w="18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</w:tr>
      <w:tr>
        <w:tc>
          <w:tcPr>
            <w:tcW w:type="dxa" w:w="1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CSMS-RA-001</w:t>
            </w:r>
          </w:p>
        </w:tc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200"/>
            <w:tcBorders>
              <w:top w:val="single" w:color="F4A261" w:sz="4"/>
              <w:left w:val="single" w:color="F4A261" w:sz="4"/>
              <w:bottom w:val="single" w:color="F4A261" w:sz="4"/>
              <w:right w:val="single" w:color="F4A261" w:sz="4"/>
            </w:tcBorders>
            <w:shd w:fill="FEF3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4A261"/>
                <w:sz w:val="19"/>
                <w:szCs w:val="19"/>
              </w:rPr>
              <w:t xml:space="preserve">DRAFT</w:t>
            </w:r>
          </w:p>
        </w:tc>
        <w:tc>
          <w:tcPr>
            <w:tcW w:type="dxa" w:w="1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[DD-MMM-YYYY]</w:t>
            </w:r>
          </w:p>
        </w:tc>
        <w:tc>
          <w:tcPr>
            <w:tcW w:type="dxa" w:w="20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Title]</w:t>
            </w:r>
          </w:p>
        </w:tc>
        <w:tc>
          <w:tcPr>
            <w:tcW w:type="dxa" w:w="1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/ Role Title]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00A896" w:sz="4" w:space="2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00A896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6"/>
          <w:szCs w:val="26"/>
        </w:rPr>
        <w:t xml:space="preserve">1. Purpose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This document records the formal selection of the risk assessment methodology to be applied across all IACS systems within the CSMS scope. IEC 62443-2-1:2010 §4.2.3.1 (SHALL) requires the organisation to select a specific methodology and document that selection. This record constitutes the mandatory evidence of compliance with that requirement.</w:t>
      </w:r>
    </w:p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96"/>
                <w:sz w:val="19"/>
                <w:szCs w:val="19"/>
              </w:rPr>
              <w:t xml:space="preserve">Why This Matters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A documented methodology selection is the first mandatory SHALL in the risk analysis category. Without it, all subsequent risk assessments lack a defined basis and cannot be consistently reproduced or defended to an auditor or regulator.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00A896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6"/>
          <w:szCs w:val="26"/>
        </w:rPr>
        <w:t xml:space="preserve">2. Scope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Organisation / Site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[Full name of the organisation and site]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CSMS Scope Reference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[Reference to CSMS-RA-000 Scope Document]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Methodology Owner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and role of the person responsible for maintaining this methodology]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Date of Selection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 — date from which this methodology applies]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00A896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6"/>
          <w:szCs w:val="26"/>
        </w:rPr>
        <w:t xml:space="preserve">3. Methodology Options Evaluated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Document each methodology evaluated before making the selection. A minimum of two options must be considered and compared. Complete all columns.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200"/>
        <w:gridCol w:w="2200"/>
        <w:gridCol w:w="1480"/>
        <w:gridCol w:w="1480"/>
      </w:tblGrid>
      <w:tr>
        <w:tc>
          <w:tcPr>
            <w:tcW w:type="dxa" w:w="20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Methodology</w:t>
            </w:r>
          </w:p>
        </w:tc>
        <w:tc>
          <w:tcPr>
            <w:tcW w:type="dxa" w:w="22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Best Fit Sector</w:t>
            </w:r>
          </w:p>
        </w:tc>
        <w:tc>
          <w:tcPr>
            <w:tcW w:type="dxa" w:w="22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Advantages for this IACS</w:t>
            </w:r>
          </w:p>
        </w:tc>
        <w:tc>
          <w:tcPr>
            <w:tcW w:type="dxa" w:w="148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Limitations</w:t>
            </w:r>
          </w:p>
        </w:tc>
        <w:tc>
          <w:tcPr>
            <w:tcW w:type="dxa" w:w="148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Evaluated?</w:t>
            </w:r>
          </w:p>
        </w:tc>
      </w:tr>
      <w:tr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ISA/IEC 62443 Risk Matrix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Purpose-built IACS — all sectors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Directly maps to SL-T. Industry standard. Accepted by regulators.</w:t>
            </w:r>
          </w:p>
        </w:tc>
        <w:tc>
          <w:tcPr>
            <w:tcW w:type="dxa" w:w="14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Requires OT + cyber expertise</w:t>
            </w:r>
          </w:p>
        </w:tc>
        <w:tc>
          <w:tcPr>
            <w:tcW w:type="dxa" w:w="14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Yes  ☐ No</w:t>
            </w:r>
          </w:p>
        </w:tc>
      </w:tr>
      <w:tr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HAZOP / LOPA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Process industries — Oil &amp; Gas, Chemical, Refining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Integrates with existing process safety. Familiar to operations teams.</w:t>
            </w:r>
          </w:p>
        </w:tc>
        <w:tc>
          <w:tcPr>
            <w:tcW w:type="dxa" w:w="14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Time-intensive. Not cyber-native.</w:t>
            </w:r>
          </w:p>
        </w:tc>
        <w:tc>
          <w:tcPr>
            <w:tcW w:type="dxa" w:w="14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Yes  ☐ No</w:t>
            </w:r>
          </w:p>
        </w:tc>
      </w:tr>
      <w:tr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NIST SP 800-30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Organisations with IT risk programmes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Well-documented. Connects IT and OT risk registers.</w:t>
            </w:r>
          </w:p>
        </w:tc>
        <w:tc>
          <w:tcPr>
            <w:tcW w:type="dxa" w:w="14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Needs OT adaptation. Not SL-T native.</w:t>
            </w:r>
          </w:p>
        </w:tc>
        <w:tc>
          <w:tcPr>
            <w:tcW w:type="dxa" w:w="14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Yes  ☐ No</w:t>
            </w:r>
          </w:p>
        </w:tc>
      </w:tr>
      <w:tr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Bow-Tie Analysis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High-consequence — Nuclear, Water, Power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Visual; shows barriers. Regulator-friendly. HSE integrated.</w:t>
            </w:r>
          </w:p>
        </w:tc>
        <w:tc>
          <w:tcPr>
            <w:tcW w:type="dxa" w:w="14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Resource-intensive.</w:t>
            </w:r>
          </w:p>
        </w:tc>
        <w:tc>
          <w:tcPr>
            <w:tcW w:type="dxa" w:w="14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Yes  ☐ No</w:t>
            </w:r>
          </w:p>
        </w:tc>
      </w:tr>
      <w:tr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[Other — specify]</w:t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/>
            </w:r>
          </w:p>
        </w:tc>
        <w:tc>
          <w:tcPr>
            <w:tcW w:type="dxa" w:w="2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/>
            </w:r>
          </w:p>
        </w:tc>
        <w:tc>
          <w:tcPr>
            <w:tcW w:type="dxa" w:w="148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☐ Yes  ☐ No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00A896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6"/>
          <w:szCs w:val="26"/>
        </w:rPr>
        <w:t xml:space="preserve">4. Selected Methodology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6F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8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76F51"/>
                <w:sz w:val="19"/>
                <w:szCs w:val="19"/>
              </w:rPr>
              <w:t xml:space="preserve">Mandatory Field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Complete all fields in this section. The selected methodology must be documented before any risk assessment activity commences.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Selected Methodology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 of chosen methodology — e.g. ISA/IEC 62443 Risk Matrix]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Methodology Standard / Source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[Standard or publication reference — e.g. ISA-62443-3-2:2020]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Selection Rationale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[State clearly why this methodology was chosen over the alternatives evaluated above. Reference specific IACS characteristics that drove the decision — e.g. existing SIS methodology, regulator preference, team expertise.]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Hazard / Threat Categories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[List the threat categories this methodology addresses — e.g. deliberate attack, insider threat, accidental, natural hazard, supply chain]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Risk Output Format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[Describe the risk rating output — e.g. 4x4 matrix producing Low / Medium / High / Critical ratings]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SL-T Integration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[Explain how this methodology determines or feeds into Target Security Level (SL-T) for each zone]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00A896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6"/>
          <w:szCs w:val="26"/>
        </w:rPr>
        <w:t xml:space="preserve">5. Methodology Application Rules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Define the rules that govern how this methodology is applied consistently across all assessments within the scope. These rules become the operational standard for all risk assessment participants.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Rule Element</w:t>
            </w:r>
          </w:p>
        </w:tc>
        <w:tc>
          <w:tcPr>
            <w:tcW w:type="dxa" w:w="576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Decision / Approach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Assessment Team Minimum Composition</w:t>
            </w:r>
          </w:p>
        </w:tc>
        <w:tc>
          <w:tcPr>
            <w:tcW w:type="dxa" w:w="57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OT Engineer + OT Security Analyst + Operations Representative + Safety Engineer]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Minimum assessment duration per system</w:t>
            </w:r>
          </w:p>
        </w:tc>
        <w:tc>
          <w:tcPr>
            <w:tcW w:type="dxa" w:w="57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4 hours facilitated workshop per prioritised IACS system]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Likelihood scale to be used</w:t>
            </w:r>
          </w:p>
        </w:tc>
        <w:tc>
          <w:tcPr>
            <w:tcW w:type="dxa" w:w="57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[State which Table from Annex A or equivalent — e.g. 1=Remote, 2=Low, 3=Medium, 4=High]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Consequence scale to be used</w:t>
            </w:r>
          </w:p>
        </w:tc>
        <w:tc>
          <w:tcPr>
            <w:tcW w:type="dxa" w:w="57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[State which Table — Safety / Environmental / Production / Financial dimensions]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Risk matrix / scoring formula</w:t>
            </w:r>
          </w:p>
        </w:tc>
        <w:tc>
          <w:tcPr>
            <w:tcW w:type="dxa" w:w="57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Risk Score = Likelihood × Consequence; 1–4 × 1–4; scores mapped to Low/Med/High/Critical]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Minimum acceptable documentation per assessment</w:t>
            </w:r>
          </w:p>
        </w:tc>
        <w:tc>
          <w:tcPr>
            <w:tcW w:type="dxa" w:w="57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threat statement, vulnerability identified, likelihood score, consequence score, risk level, control requirement]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Conditions requiring a peer review of results</w:t>
            </w:r>
          </w:p>
        </w:tc>
        <w:tc>
          <w:tcPr>
            <w:tcW w:type="dxa" w:w="57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all CRITICAL risks; all SIS-related risks; all risks involving HSE consequence ≥ 3]</w:t>
            </w:r>
          </w:p>
        </w:tc>
      </w:tr>
      <w:tr>
        <w:tc>
          <w:tcPr>
            <w:tcW w:type="dxa" w:w="3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Method for resolving disagreements between assessors</w:t>
            </w:r>
          </w:p>
        </w:tc>
        <w:tc>
          <w:tcPr>
            <w:tcW w:type="dxa" w:w="57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[e.g. escalate to CSMS Steering Committee; majority vote; document dissenting view]</w:t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00A896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6"/>
          <w:szCs w:val="26"/>
        </w:rPr>
        <w:t xml:space="preserve">6. Training Requirement (§4.2.3.2 SHOULD)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Record the training requirement for all personnel who will participate in risk assessments using this methodology. While §4.2.3.2 is SHOULD (strongly recommended), undocumented training creates a significant audit finding.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000"/>
        <w:gridCol w:w="2400"/>
        <w:gridCol w:w="2560"/>
        <w:gridCol w:w="2400"/>
      </w:tblGrid>
      <w:tr>
        <w:tc>
          <w:tcPr>
            <w:tcW w:type="dxa" w:w="20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Required Training</w:t>
            </w:r>
          </w:p>
        </w:tc>
        <w:tc>
          <w:tcPr>
            <w:tcW w:type="dxa" w:w="256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Training Provider / Source</w:t>
            </w:r>
          </w:p>
        </w:tc>
        <w:tc>
          <w:tcPr>
            <w:tcW w:type="dxa" w:w="2400"/>
            <w:tcBorders>
              <w:top w:val="single" w:color="00A896" w:sz="2"/>
              <w:left w:val="single" w:color="00A896" w:sz="2"/>
              <w:bottom w:val="single" w:color="00A896" w:sz="2"/>
              <w:right w:val="single" w:color="00A896" w:sz="2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Evidence Required</w:t>
            </w:r>
          </w:p>
        </w:tc>
      </w:tr>
      <w:tr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Facilitator / Lead Assessor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Full methodology training + facilitation skills</w:t>
            </w:r>
          </w:p>
        </w:tc>
        <w:tc>
          <w:tcPr>
            <w:tcW w:type="dxa" w:w="2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[Internal / External provider]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Certificate or attendance record</w:t>
            </w:r>
          </w:p>
        </w:tc>
      </w:tr>
      <w:tr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OT Engineer Participant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Methodology fundamentals (½ day minimum)</w:t>
            </w:r>
          </w:p>
        </w:tc>
        <w:tc>
          <w:tcPr>
            <w:tcW w:type="dxa" w:w="2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[Internal briefing / online course]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Signed attendance register</w:t>
            </w:r>
          </w:p>
        </w:tc>
      </w:tr>
      <w:tr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Safety Engineer Participant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Methodology fundamentals (½ day minimum)</w:t>
            </w:r>
          </w:p>
        </w:tc>
        <w:tc>
          <w:tcPr>
            <w:tcW w:type="dxa" w:w="2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[Internal briefing / online course]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Signed attendance register</w:t>
            </w:r>
          </w:p>
        </w:tc>
      </w:tr>
      <w:tr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Operations Representative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Overview briefing (2 hours minimum)</w:t>
            </w:r>
          </w:p>
        </w:tc>
        <w:tc>
          <w:tcPr>
            <w:tcW w:type="dxa" w:w="2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[Internal briefing]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Signed attendance register</w:t>
            </w:r>
          </w:p>
        </w:tc>
      </w:tr>
      <w:tr>
        <w:tc>
          <w:tcPr>
            <w:tcW w:type="dxa" w:w="20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C1C2E"/>
                <w:sz w:val="19"/>
                <w:szCs w:val="19"/>
              </w:rPr>
              <w:t xml:space="preserve">[Other role — specify]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/>
            </w:r>
          </w:p>
        </w:tc>
        <w:tc>
          <w:tcPr>
            <w:tcW w:type="dxa" w:w="2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00A896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6"/>
          <w:szCs w:val="26"/>
        </w:rPr>
        <w:t xml:space="preserve">7. Methodology Review Triggers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The selected methodology must be reviewed and potentially changed when any of the following conditions arise. Record the agreed triggers for this organisation:</w:t>
      </w:r>
    </w:p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A security incident occurs that reveals a systematic flaw in the methodology's ability to identify the relevant threat 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A regulatory or standards body updates the referenced methodology or issues guidance that conflicts with the current approach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The IACS environment changes significantly (e.g. integration of new technology types not covered by the current methodology)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An external audit identifies a material weakness in risk assessment results attributable to the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The elapsed time since last methodology review exceeds: [insert — recommended maximum 3 years]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>[Additional organisation-specific trigger — specify]</w:t>
      </w:r>
    </w:p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Methodology Review Period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[Maximum elapsed time before a scheduled methodology review — recommended 3 years]</w:t>
            </w:r>
          </w:p>
        </w:tc>
      </w:tr>
      <w:tr>
        <w:tc>
          <w:tcPr>
            <w:tcW w:type="dxa" w:w="28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2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19"/>
                <w:szCs w:val="19"/>
              </w:rPr>
              <w:t xml:space="preserve">Next Scheduled Review Date</w:t>
            </w:r>
          </w:p>
        </w:tc>
        <w:tc>
          <w:tcPr>
            <w:tcW w:type="dxa" w:w="65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[DD-MMM-YYYY]</w:t>
            </w:r>
          </w:p>
        </w:tc>
      </w:tr>
    </w:tbl>
    <w:p>
      <w:pPr>
        <w:spacing w:after="0" w:before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E8EEF4" w:sz="4" w:space="2"/>
        </w:pBdr>
        <w:spacing w:after="10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pBdr>
          <w:bottom w:val="single" w:color="00A896" w:sz="6" w:space="4"/>
        </w:pBdr>
        <w:spacing w:after="100" w:before="280"/>
      </w:pPr>
      <w:r>
        <w:rPr>
          <w:rFonts w:ascii="Arial" w:cs="Arial" w:eastAsia="Arial" w:hAnsi="Arial"/>
          <w:b/>
          <w:bCs/>
          <w:i w:val="false"/>
          <w:iCs w:val="false"/>
          <w:color w:val="00A896"/>
          <w:sz w:val="26"/>
          <w:szCs w:val="26"/>
        </w:rPr>
        <w:t xml:space="preserve">Document Review and Approval History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Reviewed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Approved By</w:t>
            </w:r>
          </w:p>
        </w:tc>
        <w:tc>
          <w:tcPr>
            <w:tcW w:type="dxa" w:w="2340"/>
            <w:tcBorders>
              <w:top w:val="single" w:color="0D1B2A" w:sz="2"/>
              <w:left w:val="single" w:color="0D1B2A" w:sz="2"/>
              <w:bottom w:val="single" w:color="0D1B2A" w:sz="2"/>
              <w:right w:val="single" w:color="0D1B2A" w:sz="2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Next Review</w:t>
            </w:r>
          </w:p>
        </w:tc>
      </w:tr>
      <w:tr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[Name]
[Title]
[Signature]
[Date]</w:t>
            </w:r>
          </w:p>
        </w:tc>
        <w:tc>
          <w:tcPr>
            <w:tcW w:type="dxa" w:w="234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>[Date — minimum annual or on trigger]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A89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20"/>
                <w:szCs w:val="20"/>
              </w:rPr>
              <w:t xml:space="preserve"/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7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A896"/>
                <w:sz w:val="19"/>
                <w:szCs w:val="19"/>
              </w:rPr>
              <w:t xml:space="preserve">Version Control Requirement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5A64"/>
                <w:sz w:val="19"/>
                <w:szCs w:val="19"/>
              </w:rPr>
              <w:t xml:space="preserve">All amendments to this document must be recorded below. No change is valid without written approval from the document owner. Superseded versions are archived and retained for a minimum of five years in accordance with the organisation's records retention policy.</w:t>
            </w:r>
          </w:p>
        </w:tc>
      </w:tr>
    </w:tbl>
    <w:p>
      <w:pPr>
        <w:spacing w:after="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200"/>
        <w:gridCol w:w="1600"/>
        <w:gridCol w:w="2400"/>
        <w:gridCol w:w="4160"/>
      </w:tblGrid>
      <w:tr>
        <w:tc>
          <w:tcPr>
            <w:tcW w:type="dxa" w:w="12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Ver</w:t>
            </w:r>
          </w:p>
        </w:tc>
        <w:tc>
          <w:tcPr>
            <w:tcW w:type="dxa" w:w="16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240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Author</w:t>
            </w:r>
          </w:p>
        </w:tc>
        <w:tc>
          <w:tcPr>
            <w:tcW w:type="dxa" w:w="4160"/>
            <w:tcBorders>
              <w:top w:val="single" w:color="455A64" w:sz="2"/>
              <w:left w:val="single" w:color="455A64" w:sz="2"/>
              <w:bottom w:val="single" w:color="455A64" w:sz="2"/>
              <w:right w:val="single" w:color="455A64" w:sz="2"/>
            </w:tcBorders>
            <w:shd w:fill="455A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Summary of Changes</w:t>
            </w:r>
          </w:p>
        </w:tc>
      </w:tr>
      <w:tr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[Date]</w:t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>[Name]</w:t>
            </w:r>
          </w:p>
        </w:tc>
        <w:tc>
          <w:tcPr>
            <w:tcW w:type="dxa" w:w="41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C1C2E"/>
                <w:sz w:val="19"/>
                <w:szCs w:val="19"/>
              </w:rPr>
              <w:t xml:space="preserve">Initial issue</w:t>
            </w:r>
          </w:p>
        </w:tc>
      </w:tr>
      <w:tr>
        <w:tc>
          <w:tcPr>
            <w:tcW w:type="dxa" w:w="12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  <w:tc>
          <w:tcPr>
            <w:tcW w:type="dxa" w:w="4160"/>
            <w:tcBorders>
              <w:top w:val="single" w:color="E8EEF4" w:sz="4"/>
              <w:left w:val="single" w:color="E8EEF4" w:sz="4"/>
              <w:bottom w:val="single" w:color="E8EEF4" w:sz="4"/>
              <w:right w:val="single" w:color="E8EEF4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70" w:before="70"/>
            </w:pPr>
            <w:r>
              <w:rPr>
                <w:rFonts w:ascii="Arial" w:cs="Arial" w:eastAsia="Arial" w:hAnsi="Arial"/>
                <w:i/>
                <w:iCs/>
                <w:color w:val="B0BEC5"/>
                <w:sz w:val="20"/>
                <w:szCs w:val="20"/>
              </w:rPr>
              <w:t xml:space="preserve"/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1C2E"/>
          <w:sz w:val="20"/>
          <w:szCs w:val="20"/>
        </w:rPr>
        <w:t xml:space="preserve"/>
      </w:r>
    </w:p>
    <w:p>
      <w:pPr>
        <w:spacing w:after="4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B0BEC5"/>
          <w:sz w:val="17"/>
          <w:szCs w:val="17"/>
        </w:rPr>
        <w:t xml:space="preserve">Document Reference: 00A896  ·  Classification: RESTRICTED  ·  © [Organisation Name]  ·  All rights reserved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EEF4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Risk Assessment Methodology Selection Record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Page </w:t>
    </w: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EEF4" w:sz="4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B0BEC5"/>
        <w:sz w:val="16"/>
        <w:szCs w:val="16"/>
      </w:rPr>
      <w:t xml:space="preserve">IEC 62443-2-1:2010 CSMS  ·  CSMS-RA-001  ·  [Organisation Name]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i w:val="false"/>
        <w:iCs w:val="false"/>
        <w:color w:val="E76F51"/>
        <w:sz w:val="16"/>
        <w:szCs w:val="16"/>
      </w:rPr>
      <w:t xml:space="preserve">RESTRICTED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2026-05-07T04:42:40.722Z</dcterms:created>
  <dcterms:modified xsi:type="dcterms:W3CDTF">2026-05-07T04:42:40.722Z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