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00A896"/>
                <w:sz w:val="17"/>
                <w:szCs w:val="17"/>
              </w:rPr>
              <w:t xml:space="preserve">IEC 62443-2-1:2010  ·  §4.2.3.6 SHALL</w:t>
            </w:r>
          </w:p>
          <w:p>
            <w:pPr>
              <w:spacing w:after="30" w:before="30"/>
            </w:pPr>
            <w:r>
              <w:rPr>
                <w:rFonts w:ascii="Arial" w:cs="Arial" w:eastAsia="Arial" w:hAnsi="Arial"/>
                <w:b/>
                <w:bCs/>
                <w:i w:val="false"/>
                <w:iCs w:val="false"/>
                <w:color w:val="0D1B2A"/>
                <w:sz w:val="38"/>
                <w:szCs w:val="38"/>
              </w:rPr>
              <w:t xml:space="preserve">IACS System Prioritisation Record</w:t>
            </w:r>
          </w:p>
          <w:p>
            <w:pPr>
              <w:spacing w:after="80" w:before="30"/>
            </w:pPr>
            <w:r>
              <w:rPr>
                <w:rFonts w:ascii="Arial" w:cs="Arial" w:eastAsia="Arial" w:hAnsi="Arial"/>
                <w:b w:val="false"/>
                <w:bCs w:val="false"/>
                <w:i w:val="false"/>
                <w:iCs w:val="false"/>
                <w:color w:val="455A64"/>
                <w:sz w:val="17"/>
                <w:szCs w:val="17"/>
              </w:rPr>
              <w:t xml:space="preserve">CSMS Document Reference: CSMS-RA-004  ·  Stage 2 — Risk Analysis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CSMS-RA-004</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00A896"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IEC 62443-2-1:2010 §4.2.3.6 (SHALL) requires the organisation to develop prioritisation criteria and assign a priority level to each IACS. This document defines those criteria and records the resulting priority assignment for all IACS assets in scope. Priority determines which systems undergo detailed vulnerability assessment first and receive the most urgent countermeasure attention.</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Why Prioritisation Matters</w:t>
            </w:r>
          </w:p>
          <w:p>
            <w:pPr>
              <w:spacing w:after="80" w:before="0"/>
            </w:pPr>
            <w:r>
              <w:rPr>
                <w:rFonts w:ascii="Arial" w:cs="Arial" w:eastAsia="Arial" w:hAnsi="Arial"/>
                <w:b w:val="false"/>
                <w:bCs w:val="false"/>
                <w:i w:val="false"/>
                <w:iCs w:val="false"/>
                <w:color w:val="455A64"/>
                <w:sz w:val="19"/>
                <w:szCs w:val="19"/>
              </w:rPr>
              <w:t xml:space="preserve">With limited resources, not all systems can receive equal attention simultaneously. Prioritisation ensures the most safety-critical and operationally significant systems are assessed and protected first. A documented, defensible prioritisation methodology is essential for audit purposes and for justifying resource allocation decisions to management.</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2. Prioritisation Criteria</w:t>
      </w:r>
    </w:p>
    <w:p>
      <w:pPr>
        <w:spacing w:after="60" w:before="60"/>
        <w:jc w:val="left"/>
      </w:pPr>
      <w:r>
        <w:rPr>
          <w:rFonts w:ascii="Arial" w:cs="Arial" w:eastAsia="Arial" w:hAnsi="Arial"/>
          <w:b w:val="false"/>
          <w:bCs w:val="false"/>
          <w:i w:val="false"/>
          <w:iCs w:val="false"/>
          <w:color w:val="1C1C2E"/>
          <w:sz w:val="20"/>
          <w:szCs w:val="20"/>
        </w:rPr>
        <w:t xml:space="preserve">Define the criteria used to determine system priority. Each criterion must be weighted. Weights must sum to 100%. Apply these criteria consistently to all IACS in scope.</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2880"/>
        <w:gridCol w:w="1440"/>
        <w:gridCol w:w="1440"/>
      </w:tblGrid>
      <w:tr>
        <w:tc>
          <w:tcPr>
            <w:tcW w:type="dxa" w:w="3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Criterion</w:t>
            </w:r>
          </w:p>
        </w:tc>
        <w:tc>
          <w:tcPr>
            <w:tcW w:type="dxa" w:w="288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Description</w:t>
            </w:r>
          </w:p>
        </w:tc>
        <w:tc>
          <w:tcPr>
            <w:tcW w:type="dxa" w:w="14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Weight (%)</w:t>
            </w:r>
          </w:p>
        </w:tc>
        <w:tc>
          <w:tcPr>
            <w:tcW w:type="dxa" w:w="14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Score Scale</w:t>
            </w:r>
          </w:p>
        </w:tc>
      </w:tr>
      <w:tr>
        <w:tc>
          <w:tcPr>
            <w:tcW w:type="dxa" w:w="3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Safety Consequence</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Severity of potential HSE impact if system is compromised or fails</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1–4</w:t>
            </w:r>
          </w:p>
        </w:tc>
      </w:tr>
      <w:tr>
        <w:tc>
          <w:tcPr>
            <w:tcW w:type="dxa" w:w="3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Production Criticality</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Impact on production output, revenue, and operational continuity if unavailable</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1–4</w:t>
            </w:r>
          </w:p>
        </w:tc>
      </w:tr>
      <w:tr>
        <w:tc>
          <w:tcPr>
            <w:tcW w:type="dxa" w:w="3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Connectivity / Exposure</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Level of network connectivity and external access creating attack surface</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1–4</w:t>
            </w:r>
          </w:p>
        </w:tc>
      </w:tr>
      <w:tr>
        <w:tc>
          <w:tcPr>
            <w:tcW w:type="dxa" w:w="3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Known Vulnerabilities</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Identified technical weaknesses — unpatched software, EOL systems, default credentials</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1–4</w:t>
            </w:r>
          </w:p>
        </w:tc>
      </w:tr>
      <w:tr>
        <w:tc>
          <w:tcPr>
            <w:tcW w:type="dxa" w:w="3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Consequence of Manipulation</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Ability of a threat actor to cause harm specifically by manipulating this system</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1–4</w:t>
            </w:r>
          </w:p>
        </w:tc>
      </w:tr>
      <w:tr>
        <w:tc>
          <w:tcPr>
            <w:tcW w:type="dxa" w:w="3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Regulatory / Legal Requirement</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Specific regulatory requirements mandating protection of this system type</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1–4</w:t>
            </w:r>
          </w:p>
        </w:tc>
      </w:tr>
      <w:tr>
        <w:tc>
          <w:tcPr>
            <w:tcW w:type="dxa" w:w="3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[Additional criterion — specify]</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1–4</w:t>
            </w:r>
          </w:p>
        </w:tc>
      </w:tr>
      <w:tr>
        <w:tc>
          <w:tcPr>
            <w:tcW w:type="dxa" w:w="3600"/>
            <w:tcBorders>
              <w:top w:val="single" w:color="00A896" w:sz="4"/>
              <w:left w:val="single" w:color="00A896" w:sz="4"/>
              <w:bottom w:val="single" w:color="00A896" w:sz="4"/>
              <w:right w:val="single" w:color="00A896" w:sz="4"/>
            </w:tcBorders>
            <w:shd w:fill="E0F7F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A896"/>
                <w:sz w:val="20"/>
                <w:szCs w:val="20"/>
              </w:rPr>
              <w:t xml:space="preserve">TOTAL WEIGHT</w:t>
            </w:r>
          </w:p>
        </w:tc>
        <w:tc>
          <w:tcPr>
            <w:tcW w:type="dxa" w:w="2880"/>
            <w:tcBorders>
              <w:top w:val="single" w:color="00A896" w:sz="4"/>
              <w:left w:val="single" w:color="00A896" w:sz="4"/>
              <w:bottom w:val="single" w:color="00A896" w:sz="4"/>
              <w:right w:val="single" w:color="00A896" w:sz="4"/>
            </w:tcBorders>
            <w:shd w:fill="E0F7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455A64"/>
                <w:sz w:val="20"/>
                <w:szCs w:val="20"/>
              </w:rPr>
              <w:t xml:space="preserve">Weights must sum to 100%</w:t>
            </w:r>
          </w:p>
        </w:tc>
        <w:tc>
          <w:tcPr>
            <w:tcW w:type="dxa" w:w="1440"/>
            <w:tcBorders>
              <w:top w:val="single" w:color="00A896" w:sz="4"/>
              <w:left w:val="single" w:color="00A896" w:sz="4"/>
              <w:bottom w:val="single" w:color="00A896" w:sz="4"/>
              <w:right w:val="single" w:color="00A896" w:sz="4"/>
            </w:tcBorders>
            <w:shd w:fill="E0F7F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A896"/>
                <w:sz w:val="20"/>
                <w:szCs w:val="20"/>
              </w:rPr>
              <w:t xml:space="preserve">100%</w:t>
            </w:r>
          </w:p>
        </w:tc>
        <w:tc>
          <w:tcPr>
            <w:tcW w:type="dxa" w:w="14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3. Priority Level Definitions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800"/>
        <w:gridCol w:w="3000"/>
        <w:gridCol w:w="3360"/>
      </w:tblGrid>
      <w:tr>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Priority</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Label</w:t>
            </w:r>
          </w:p>
        </w:tc>
        <w:tc>
          <w:tcPr>
            <w:tcW w:type="dxa" w:w="3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Weighted Score Range</w:t>
            </w:r>
          </w:p>
        </w:tc>
        <w:tc>
          <w:tcPr>
            <w:tcW w:type="dxa" w:w="33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Required Action</w:t>
            </w:r>
          </w:p>
        </w:tc>
      </w:tr>
      <w:tr>
        <w:tc>
          <w:tcPr>
            <w:tcW w:type="dxa" w:w="1200"/>
            <w:tcBorders>
              <w:top w:val="single" w:color="E76F51" w:sz="2"/>
              <w:left w:val="single" w:color="E76F51" w:sz="2"/>
              <w:bottom w:val="single" w:color="E76F51" w:sz="2"/>
              <w:right w:val="single" w:color="E76F51" w:sz="2"/>
            </w:tcBorders>
            <w:shd w:fill="E76F51"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P1</w:t>
            </w:r>
          </w:p>
        </w:tc>
        <w:tc>
          <w:tcPr>
            <w:tcW w:type="dxa" w:w="1800"/>
            <w:tcBorders>
              <w:top w:val="single" w:color="E8EEF4" w:sz="4"/>
              <w:left w:val="single" w:color="E8EEF4" w:sz="4"/>
              <w:bottom w:val="single" w:color="E8EEF4" w:sz="4"/>
              <w:right w:val="single" w:color="E8EEF4" w:sz="4"/>
            </w:tcBorders>
            <w:shd w:fill="FDE8E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E76F51"/>
                <w:sz w:val="20"/>
                <w:szCs w:val="20"/>
              </w:rPr>
              <w:t xml:space="preserve">CRITICAL</w:t>
            </w:r>
          </w:p>
        </w:tc>
        <w:tc>
          <w:tcPr>
            <w:tcW w:type="dxa" w:w="3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[Specify score threshold — e.g. ≥ 3.5]</w:t>
            </w:r>
          </w:p>
        </w:tc>
        <w:tc>
          <w:tcPr>
            <w:tcW w:type="dxa" w:w="3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Detailed vulnerability assessment within 30 days. Immediate interim controls where feasible.</w:t>
            </w:r>
          </w:p>
        </w:tc>
      </w:tr>
      <w:tr>
        <w:tc>
          <w:tcPr>
            <w:tcW w:type="dxa" w:w="12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P2</w:t>
            </w:r>
          </w:p>
        </w:tc>
        <w:tc>
          <w:tcPr>
            <w:tcW w:type="dxa" w:w="1800"/>
            <w:tcBorders>
              <w:top w:val="single" w:color="E8EEF4" w:sz="4"/>
              <w:left w:val="single" w:color="E8EEF4" w:sz="4"/>
              <w:bottom w:val="single" w:color="E8EEF4" w:sz="4"/>
              <w:right w:val="single" w:color="E8EEF4" w:sz="4"/>
            </w:tcBorders>
            <w:shd w:fill="FEF3E8"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4A261"/>
                <w:sz w:val="20"/>
                <w:szCs w:val="20"/>
              </w:rPr>
              <w:t xml:space="preserve">HIGH</w:t>
            </w:r>
          </w:p>
        </w:tc>
        <w:tc>
          <w:tcPr>
            <w:tcW w:type="dxa" w:w="3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2.5–3.49]</w:t>
            </w:r>
          </w:p>
        </w:tc>
        <w:tc>
          <w:tcPr>
            <w:tcW w:type="dxa" w:w="3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Detailed vulnerability assessment within 90 days.</w:t>
            </w:r>
          </w:p>
        </w:tc>
      </w:tr>
      <w:tr>
        <w:tc>
          <w:tcPr>
            <w:tcW w:type="dxa" w:w="1200"/>
            <w:tcBorders>
              <w:top w:val="single" w:color="2196F3" w:sz="2"/>
              <w:left w:val="single" w:color="2196F3" w:sz="2"/>
              <w:bottom w:val="single" w:color="2196F3" w:sz="2"/>
              <w:right w:val="single" w:color="2196F3" w:sz="2"/>
            </w:tcBorders>
            <w:shd w:fill="2196F3"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P3</w:t>
            </w:r>
          </w:p>
        </w:tc>
        <w:tc>
          <w:tcPr>
            <w:tcW w:type="dxa" w:w="1800"/>
            <w:tcBorders>
              <w:top w:val="single" w:color="E8EEF4" w:sz="4"/>
              <w:left w:val="single" w:color="E8EEF4" w:sz="4"/>
              <w:bottom w:val="single" w:color="E8EEF4" w:sz="4"/>
              <w:right w:val="single" w:color="E8EEF4" w:sz="4"/>
            </w:tcBorders>
            <w:shd w:fill="E3F2FD"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196F3"/>
                <w:sz w:val="20"/>
                <w:szCs w:val="20"/>
              </w:rPr>
              <w:t xml:space="preserve">MEDIUM</w:t>
            </w:r>
          </w:p>
        </w:tc>
        <w:tc>
          <w:tcPr>
            <w:tcW w:type="dxa" w:w="3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1.5–2.49]</w:t>
            </w:r>
          </w:p>
        </w:tc>
        <w:tc>
          <w:tcPr>
            <w:tcW w:type="dxa" w:w="3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Detailed vulnerability assessment within 6 months.</w:t>
            </w:r>
          </w:p>
        </w:tc>
      </w:tr>
      <w:tr>
        <w:tc>
          <w:tcPr>
            <w:tcW w:type="dxa" w:w="1200"/>
            <w:tcBorders>
              <w:top w:val="single" w:color="007A6E" w:sz="2"/>
              <w:left w:val="single" w:color="007A6E" w:sz="2"/>
              <w:bottom w:val="single" w:color="007A6E" w:sz="2"/>
              <w:right w:val="single" w:color="007A6E" w:sz="2"/>
            </w:tcBorders>
            <w:shd w:fill="007A6E"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P4</w:t>
            </w:r>
          </w:p>
        </w:tc>
        <w:tc>
          <w:tcPr>
            <w:tcW w:type="dxa" w:w="1800"/>
            <w:tcBorders>
              <w:top w:val="single" w:color="E8EEF4" w:sz="4"/>
              <w:left w:val="single" w:color="E8EEF4" w:sz="4"/>
              <w:bottom w:val="single" w:color="E8EEF4" w:sz="4"/>
              <w:right w:val="single" w:color="E8EEF4" w:sz="4"/>
            </w:tcBorders>
            <w:shd w:fill="E0F7F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A896"/>
                <w:sz w:val="20"/>
                <w:szCs w:val="20"/>
              </w:rPr>
              <w:t xml:space="preserve">LOW</w:t>
            </w:r>
          </w:p>
        </w:tc>
        <w:tc>
          <w:tcPr>
            <w:tcW w:type="dxa" w:w="3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&lt; 1.5]</w:t>
            </w:r>
          </w:p>
        </w:tc>
        <w:tc>
          <w:tcPr>
            <w:tcW w:type="dxa" w:w="3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Addressed in standard annual CSMS review cycle.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4. System Priority Assessment Results</w:t>
      </w:r>
    </w:p>
    <w:p>
      <w:pPr>
        <w:spacing w:after="60" w:before="60"/>
        <w:jc w:val="left"/>
      </w:pPr>
      <w:r>
        <w:rPr>
          <w:rFonts w:ascii="Arial" w:cs="Arial" w:eastAsia="Arial" w:hAnsi="Arial"/>
          <w:b w:val="false"/>
          <w:bCs w:val="false"/>
          <w:i w:val="false"/>
          <w:iCs w:val="false"/>
          <w:color w:val="1C1C2E"/>
          <w:sz w:val="20"/>
          <w:szCs w:val="20"/>
        </w:rPr>
        <w:t xml:space="preserve">Score each IACS system from the asset inventory (CSMS-RA-002) against the criteria defined in Section 2. Calculate the weighted score and assign the priority level. This table drives the sequencing of all subsequent risk assessment activity.</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1800"/>
        <w:gridCol w:w="900"/>
        <w:gridCol w:w="900"/>
        <w:gridCol w:w="900"/>
        <w:gridCol w:w="900"/>
        <w:gridCol w:w="900"/>
        <w:gridCol w:w="900"/>
        <w:gridCol w:w="1360"/>
      </w:tblGrid>
      <w:tr>
        <w:tc>
          <w:tcPr>
            <w:tcW w:type="dxa" w:w="7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Asset ID</w:t>
            </w:r>
          </w:p>
        </w:tc>
        <w:tc>
          <w:tcPr>
            <w:tcW w:type="dxa" w:w="18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System Name</w:t>
            </w:r>
          </w:p>
        </w:tc>
        <w:tc>
          <w:tcPr>
            <w:tcW w:type="dxa" w:w="9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Safety (C1)</w:t>
            </w:r>
          </w:p>
        </w:tc>
        <w:tc>
          <w:tcPr>
            <w:tcW w:type="dxa" w:w="9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Production (C2)</w:t>
            </w:r>
          </w:p>
        </w:tc>
        <w:tc>
          <w:tcPr>
            <w:tcW w:type="dxa" w:w="9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Exposure (C3)</w:t>
            </w:r>
          </w:p>
        </w:tc>
        <w:tc>
          <w:tcPr>
            <w:tcW w:type="dxa" w:w="9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Vuln (C4)</w:t>
            </w:r>
          </w:p>
        </w:tc>
        <w:tc>
          <w:tcPr>
            <w:tcW w:type="dxa" w:w="9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Manip (C5)</w:t>
            </w:r>
          </w:p>
        </w:tc>
        <w:tc>
          <w:tcPr>
            <w:tcW w:type="dxa" w:w="9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Reg (C6)</w:t>
            </w:r>
          </w:p>
        </w:tc>
        <w:tc>
          <w:tcPr>
            <w:tcW w:type="dxa" w:w="136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Priority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A001</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P1  ☐ P2
☐ P3  ☐ P4</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A002</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P1  ☐ P2
☐ P3  ☐ P4</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A003</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P1  ☐ P2
☐ P3  ☐ P4</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A004</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P1  ☐ P2
☐ P3  ☐ P4</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A005</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P1  ☐ P2
☐ P3  ☐ P4</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A006</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P1  ☐ P2
☐ P3  ☐ P4</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5. Prioritisation Governance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Assessment Conducted By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[Names and roles of all participants in prioritisation exercise]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Facilitated By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 of lead assessor]</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Date of Exercise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Endorsement</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of manager who endorses the priority assignments — typically CSMS Programme Manager or Plant Manager]</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Next Review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minimum: annually or on trigger]</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Review Triggers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[New asset added / major system change / security incident / regulatory requirement]</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 or on trigger]</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 Requirement</w:t>
            </w:r>
          </w:p>
          <w:p>
            <w:pPr>
              <w:spacing w:after="80" w:before="0"/>
            </w:pPr>
            <w:r>
              <w:rPr>
                <w:rFonts w:ascii="Arial" w:cs="Arial" w:eastAsia="Arial" w:hAnsi="Arial"/>
                <w:b w:val="false"/>
                <w:bCs w:val="false"/>
                <w:i w:val="false"/>
                <w:iCs w:val="false"/>
                <w:color w:val="455A64"/>
                <w:sz w:val="19"/>
                <w:szCs w:val="19"/>
              </w:rPr>
              <w:t xml:space="preserve">All amendments to this document must be recorded below. No change is valid without written approval from the document owner. Superseded versions are archived and retained for a minimum of five years in accordance with the organisation's records retention policy.</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00A896  ·  Classification: RESTRICTED  ·  © [Organisation Name]  ·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IACS System Prioritisation Record</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CSMS-RA-004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2026-05-07T04:42:41.251Z</dcterms:created>
  <dcterms:modified xsi:type="dcterms:W3CDTF">2026-05-07T04:42:41.251Z</dcterms:modified>
</cp:coreProperties>
</file>

<file path=docProps/custom.xml><?xml version="1.0" encoding="utf-8"?>
<Properties xmlns="http://schemas.openxmlformats.org/officeDocument/2006/custom-properties" xmlns:vt="http://schemas.openxmlformats.org/officeDocument/2006/docPropsVTypes"/>
</file>