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76F51"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17"/>
                <w:szCs w:val="17"/>
              </w:rPr>
              <w:t xml:space="preserve">CLASSIFICATION: RESTRICTED  |  IEC 62443-2-1:2010 CSMS DOCUMENT  |  IACS USE ONLY</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6F3"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180"/>
            <w:tcBorders>
              <w:top w:val="none" w:color="FFFFFF" w:sz="0"/>
              <w:left w:val="none" w:color="FFFFFF" w:sz="0"/>
              <w:bottom w:val="none" w:color="FFFFFF" w:sz="0"/>
              <w:right w:val="none" w:color="FFFFFF" w:sz="0"/>
            </w:tcBorders>
            <w:shd w:fill="F8FAFB" w:val="clear"/>
            <w:tcMar>
              <w:top w:type="dxa" w:w="80"/>
              <w:left w:type="dxa" w:w="120"/>
              <w:bottom w:type="dxa" w:w="80"/>
              <w:right w:type="dxa" w:w="120"/>
            </w:tcMar>
            <w:vAlign w:val="top"/>
          </w:tcPr>
          <w:p>
            <w:pPr>
              <w:spacing w:after="30" w:before="80"/>
            </w:pPr>
            <w:r>
              <w:rPr>
                <w:rFonts w:ascii="Arial" w:cs="Arial" w:eastAsia="Arial" w:hAnsi="Arial"/>
                <w:b/>
                <w:bCs/>
                <w:i w:val="false"/>
                <w:iCs w:val="false"/>
                <w:color w:val="2196F3"/>
                <w:sz w:val="17"/>
                <w:szCs w:val="17"/>
              </w:rPr>
              <w:t xml:space="preserve">IEC 62443-2-1:2010  ·  §4.2.3.3 SHALL</w:t>
            </w:r>
          </w:p>
          <w:p>
            <w:pPr>
              <w:spacing w:after="30" w:before="30"/>
            </w:pPr>
            <w:r>
              <w:rPr>
                <w:rFonts w:ascii="Arial" w:cs="Arial" w:eastAsia="Arial" w:hAnsi="Arial"/>
                <w:b/>
                <w:bCs/>
                <w:i w:val="false"/>
                <w:iCs w:val="false"/>
                <w:color w:val="0D1B2A"/>
                <w:sz w:val="38"/>
                <w:szCs w:val="38"/>
              </w:rPr>
              <w:t xml:space="preserve">High-Level Risk Assessment Report</w:t>
            </w:r>
          </w:p>
          <w:p>
            <w:pPr>
              <w:spacing w:after="80" w:before="30"/>
            </w:pPr>
            <w:r>
              <w:rPr>
                <w:rFonts w:ascii="Arial" w:cs="Arial" w:eastAsia="Arial" w:hAnsi="Arial"/>
                <w:b w:val="false"/>
                <w:bCs w:val="false"/>
                <w:i w:val="false"/>
                <w:iCs w:val="false"/>
                <w:color w:val="455A64"/>
                <w:sz w:val="17"/>
                <w:szCs w:val="17"/>
              </w:rPr>
              <w:t xml:space="preserve">CSMS Document Reference: CSMS-RA-005  ·  Stage 2 — Risk Analysis</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200"/>
        <w:gridCol w:w="1200"/>
        <w:gridCol w:w="1560"/>
        <w:gridCol w:w="2040"/>
        <w:gridCol w:w="1800"/>
      </w:tblGrid>
      <w:tr>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 Ref</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Version</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Status</w:t>
            </w:r>
          </w:p>
        </w:tc>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Issue Date</w:t>
            </w:r>
          </w:p>
        </w:tc>
        <w:tc>
          <w:tcPr>
            <w:tcW w:type="dxa" w:w="20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Document Owner</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r>
      <w:tr>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CSMS-RA-005</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200"/>
            <w:tcBorders>
              <w:top w:val="single" w:color="F4A261" w:sz="4"/>
              <w:left w:val="single" w:color="F4A261" w:sz="4"/>
              <w:bottom w:val="single" w:color="F4A261" w:sz="4"/>
              <w:right w:val="single" w:color="F4A261" w:sz="4"/>
            </w:tcBorders>
            <w:shd w:fill="FEF3E8"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F4A261"/>
                <w:sz w:val="19"/>
                <w:szCs w:val="19"/>
              </w:rPr>
              <w:t xml:space="preserve">DRAFT</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[DD-MMM-YYYY]</w:t>
            </w:r>
          </w:p>
        </w:tc>
        <w:tc>
          <w:tcPr>
            <w:tcW w:type="dxa" w:w="20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r>
    </w:tbl>
    <w:p>
      <w:pPr>
        <w:spacing w:after="0" w:before="60"/>
      </w:pPr>
      <w:r>
        <w:rPr>
          <w:rFonts w:ascii="Arial" w:cs="Arial" w:eastAsia="Arial" w:hAnsi="Arial"/>
          <w:b w:val="false"/>
          <w:bCs w:val="false"/>
          <w:i w:val="false"/>
          <w:iCs w:val="false"/>
          <w:color w:val="1C1C2E"/>
          <w:sz w:val="20"/>
          <w:szCs w:val="20"/>
        </w:rPr>
        <w:t xml:space="preserve"/>
      </w:r>
    </w:p>
    <w:p>
      <w:pPr>
        <w:pBdr>
          <w:bottom w:val="single" w:color="2196F3"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2196F3" w:sz="6" w:space="4"/>
        </w:pBdr>
        <w:spacing w:after="100" w:before="280"/>
      </w:pPr>
      <w:r>
        <w:rPr>
          <w:rFonts w:ascii="Arial" w:cs="Arial" w:eastAsia="Arial" w:hAnsi="Arial"/>
          <w:b/>
          <w:bCs/>
          <w:i w:val="false"/>
          <w:iCs w:val="false"/>
          <w:color w:val="2196F3"/>
          <w:sz w:val="26"/>
          <w:szCs w:val="26"/>
        </w:rPr>
        <w:t xml:space="preserve">1. Purpose and Scope</w:t>
      </w:r>
    </w:p>
    <w:p>
      <w:pPr>
        <w:spacing w:after="60" w:before="60"/>
        <w:jc w:val="left"/>
      </w:pPr>
      <w:r>
        <w:rPr>
          <w:rFonts w:ascii="Arial" w:cs="Arial" w:eastAsia="Arial" w:hAnsi="Arial"/>
          <w:b w:val="false"/>
          <w:bCs w:val="false"/>
          <w:i w:val="false"/>
          <w:iCs w:val="false"/>
          <w:color w:val="1C1C2E"/>
          <w:sz w:val="20"/>
          <w:szCs w:val="20"/>
        </w:rPr>
        <w:t xml:space="preserve">This report documents the high-level system risk assessment conducted in accordance with IEC 62443-2-1:2010 §4.2.3.3 (SHALL). The high-level assessment identifies threats at the system level, characterises general vulnerabilities, and establishes the consequence framework before detailed vulnerability assessment commences. It provides the risk narrative required by management and defines the priority sequence for detailed assessments.</w:t>
      </w:r>
    </w:p>
    <w:p>
      <w:pPr>
        <w:spacing w:after="0" w:before="12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196F3"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E3F2FD"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2196F3"/>
                <w:sz w:val="19"/>
                <w:szCs w:val="19"/>
              </w:rPr>
              <w:t xml:space="preserve">Sequence Requirement — Annex B §B.4</w:t>
            </w:r>
          </w:p>
          <w:p>
            <w:pPr>
              <w:spacing w:after="80" w:before="0"/>
            </w:pPr>
            <w:r>
              <w:rPr>
                <w:rFonts w:ascii="Arial" w:cs="Arial" w:eastAsia="Arial" w:hAnsi="Arial"/>
                <w:b w:val="false"/>
                <w:bCs w:val="false"/>
                <w:i w:val="false"/>
                <w:iCs w:val="false"/>
                <w:color w:val="455A64"/>
                <w:sz w:val="19"/>
                <w:szCs w:val="19"/>
              </w:rPr>
              <w:t xml:space="preserve">The high-level assessment MUST precede detailed vulnerability assessment. Annex B is explicit: presenting detailed technical findings without a risk narrative produces reports management cannot act on. This document is the foundation on which all subsequent CSMS risk activity rests.</w:t>
            </w:r>
          </w:p>
        </w:tc>
      </w:tr>
    </w:tbl>
    <w:p>
      <w:pPr>
        <w:spacing w:after="0" w:before="80"/>
      </w:pPr>
      <w:r>
        <w:rPr>
          <w:rFonts w:ascii="Arial" w:cs="Arial" w:eastAsia="Arial" w:hAnsi="Arial"/>
          <w:b w:val="false"/>
          <w:bCs w:val="false"/>
          <w:i w:val="false"/>
          <w:iCs w:val="false"/>
          <w:color w:val="1C1C2E"/>
          <w:sz w:val="20"/>
          <w:szCs w:val="20"/>
        </w:rPr>
        <w:t xml:space="preserve"/>
      </w:r>
    </w:p>
    <w:p>
      <w:pPr>
        <w:pBdr>
          <w:bottom w:val="single" w:color="2196F3" w:sz="6" w:space="4"/>
        </w:pBdr>
        <w:spacing w:after="100" w:before="280"/>
      </w:pPr>
      <w:r>
        <w:rPr>
          <w:rFonts w:ascii="Arial" w:cs="Arial" w:eastAsia="Arial" w:hAnsi="Arial"/>
          <w:b/>
          <w:bCs/>
          <w:i w:val="false"/>
          <w:iCs w:val="false"/>
          <w:color w:val="2196F3"/>
          <w:sz w:val="26"/>
          <w:szCs w:val="26"/>
        </w:rPr>
        <w:t xml:space="preserve">2. Assessment Administration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Site / Facility</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and location]</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Assessment Reference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CSMS-RA-005</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Assessment Lead</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and role]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Assessment Team Members</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 OT Engineer; Safety Engineer; Operations; IT Security]</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Assessment Period</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[Start date] to [End date]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Methodology Used</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[Reference CSMS-RA-001 — e.g. ISA/IEC 62443 Risk Matrix]</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Systems in Scope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[Reference CSMS-RA-002 — total count of IACS assessed]</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Assessment Type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High-Level System Risk Assessment per §4.2.3.3</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2196F3" w:sz="6" w:space="4"/>
        </w:pBdr>
        <w:spacing w:after="100" w:before="280"/>
      </w:pPr>
      <w:r>
        <w:rPr>
          <w:rFonts w:ascii="Arial" w:cs="Arial" w:eastAsia="Arial" w:hAnsi="Arial"/>
          <w:b/>
          <w:bCs/>
          <w:i w:val="false"/>
          <w:iCs w:val="false"/>
          <w:color w:val="2196F3"/>
          <w:sz w:val="26"/>
          <w:szCs w:val="26"/>
        </w:rPr>
        <w:t xml:space="preserve">3. Threat Landscape</w:t>
      </w:r>
    </w:p>
    <w:p>
      <w:pPr>
        <w:spacing w:after="60" w:before="60"/>
        <w:jc w:val="left"/>
      </w:pPr>
      <w:r>
        <w:rPr>
          <w:rFonts w:ascii="Arial" w:cs="Arial" w:eastAsia="Arial" w:hAnsi="Arial"/>
          <w:b w:val="false"/>
          <w:bCs w:val="false"/>
          <w:i w:val="false"/>
          <w:iCs w:val="false"/>
          <w:color w:val="1C1C2E"/>
          <w:sz w:val="20"/>
          <w:szCs w:val="20"/>
        </w:rPr>
        <w:t xml:space="preserve">Identify and characterise the threat sources considered relevant to this IACS environment. For each threat source, describe the threat events they may initiate and the attack vectors available to them.</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2000"/>
        <w:gridCol w:w="2000"/>
        <w:gridCol w:w="1760"/>
        <w:gridCol w:w="1800"/>
      </w:tblGrid>
      <w:tr>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Threat Source</w:t>
            </w:r>
          </w:p>
        </w:tc>
        <w:tc>
          <w:tcPr>
            <w:tcW w:type="dxa" w:w="20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Motivation</w:t>
            </w:r>
          </w:p>
        </w:tc>
        <w:tc>
          <w:tcPr>
            <w:tcW w:type="dxa" w:w="20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Threat Events</w:t>
            </w:r>
          </w:p>
        </w:tc>
        <w:tc>
          <w:tcPr>
            <w:tcW w:type="dxa" w:w="17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Attack Vectors</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Relevance to this Site</w:t>
            </w:r>
          </w:p>
        </w:tc>
      </w:tr>
      <w:tr>
        <w:tc>
          <w:tcPr>
            <w:tcW w:type="dxa" w:w="1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External Attacker / Hacktivist</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Financial gain, disruption, ideology</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Malware delivery, remote exploitation, credential theft</w:t>
            </w:r>
          </w:p>
        </w:tc>
        <w:tc>
          <w:tcPr>
            <w:tcW w:type="dxa" w:w="1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Internet-connected systems, phishing, supply chain</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High  ☐ Medium  ☐ Low</w:t>
            </w:r>
          </w:p>
        </w:tc>
      </w:tr>
      <w:tr>
        <w:tc>
          <w:tcPr>
            <w:tcW w:type="dxa" w:w="1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Nation-State Actor</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Disruption of critical infrastructure, espionage</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Advanced persistent threat, zero-day exploitation, insider placement</w:t>
            </w:r>
          </w:p>
        </w:tc>
        <w:tc>
          <w:tcPr>
            <w:tcW w:type="dxa" w:w="1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Spear-phishing, vendor access, supply chain compromise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High  ☐ Medium  ☐ Low</w:t>
            </w:r>
          </w:p>
        </w:tc>
      </w:tr>
      <w:tr>
        <w:tc>
          <w:tcPr>
            <w:tcW w:type="dxa" w:w="1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Malicious Insider</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Financial gain, grievance, coercion</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Unauthorised configuration change, data theft, sabotage</w:t>
            </w:r>
          </w:p>
        </w:tc>
        <w:tc>
          <w:tcPr>
            <w:tcW w:type="dxa" w:w="1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Physical access, privileged accounts, removable media</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High  ☐ Medium  ☐ Low</w:t>
            </w:r>
          </w:p>
        </w:tc>
      </w:tr>
      <w:tr>
        <w:tc>
          <w:tcPr>
            <w:tcW w:type="dxa" w:w="1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Accidental Insider</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Human error, lack of training</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Misconfiguration, accidental malware introduction, incorrect setpoint</w:t>
            </w:r>
          </w:p>
        </w:tc>
        <w:tc>
          <w:tcPr>
            <w:tcW w:type="dxa" w:w="1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USB media, unintentional network changes, patch errors</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High  ☐ Medium  ☐ Low</w:t>
            </w:r>
          </w:p>
        </w:tc>
      </w:tr>
      <w:tr>
        <w:tc>
          <w:tcPr>
            <w:tcW w:type="dxa" w:w="1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Supply Chain / Vendor</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Compromised vendor, malicious software update</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Trojanised update, rogue remote access, malicious firmware</w:t>
            </w:r>
          </w:p>
        </w:tc>
        <w:tc>
          <w:tcPr>
            <w:tcW w:type="dxa" w:w="1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Remote access connections, portable media, new equipment</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High  ☐ Medium  ☐ Low</w:t>
            </w:r>
          </w:p>
        </w:tc>
      </w:tr>
      <w:tr>
        <w:tc>
          <w:tcPr>
            <w:tcW w:type="dxa" w:w="1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[Additional — specify]</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w:r>
          </w:p>
        </w:tc>
        <w:tc>
          <w:tcPr>
            <w:tcW w:type="dxa" w:w="1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High  ☐ Medium  ☐ Low</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2196F3" w:sz="6" w:space="4"/>
        </w:pBdr>
        <w:spacing w:after="100" w:before="280"/>
      </w:pPr>
      <w:r>
        <w:rPr>
          <w:rFonts w:ascii="Arial" w:cs="Arial" w:eastAsia="Arial" w:hAnsi="Arial"/>
          <w:b/>
          <w:bCs/>
          <w:i w:val="false"/>
          <w:iCs w:val="false"/>
          <w:color w:val="2196F3"/>
          <w:sz w:val="26"/>
          <w:szCs w:val="26"/>
        </w:rPr>
        <w:t xml:space="preserve">4. General Vulnerability Characterisation</w:t>
      </w:r>
    </w:p>
    <w:p>
      <w:pPr>
        <w:spacing w:after="60" w:before="60"/>
        <w:jc w:val="left"/>
      </w:pPr>
      <w:r>
        <w:rPr>
          <w:rFonts w:ascii="Arial" w:cs="Arial" w:eastAsia="Arial" w:hAnsi="Arial"/>
          <w:b w:val="false"/>
          <w:bCs w:val="false"/>
          <w:i w:val="false"/>
          <w:iCs w:val="false"/>
          <w:color w:val="1C1C2E"/>
          <w:sz w:val="20"/>
          <w:szCs w:val="20"/>
        </w:rPr>
        <w:t xml:space="preserve">At the high level, identify the general categories of vulnerability present across the IACS environment. Specific technical vulnerabilities are captured in the Detailed Vulnerability Assessment (CSMS-RA-007).</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2000"/>
        <w:gridCol w:w="2400"/>
        <w:gridCol w:w="2560"/>
      </w:tblGrid>
      <w:tr>
        <w:tc>
          <w:tcPr>
            <w:tcW w:type="dxa" w:w="2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Vulnerability Category</w:t>
            </w:r>
          </w:p>
        </w:tc>
        <w:tc>
          <w:tcPr>
            <w:tcW w:type="dxa" w:w="20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Prevalence</w:t>
            </w:r>
          </w:p>
        </w:tc>
        <w:tc>
          <w:tcPr>
            <w:tcW w:type="dxa" w:w="2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Systems Most Affected</w:t>
            </w:r>
          </w:p>
        </w:tc>
        <w:tc>
          <w:tcPr>
            <w:tcW w:type="dxa" w:w="2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General Description</w:t>
            </w:r>
          </w:p>
        </w:tc>
      </w:tr>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Legacy / End-of-Life Systems</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Widespread  ☐ Limited  ☐ Isolated</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[Describe scale of EOL exposure across the IACS environment]</w:t>
            </w:r>
          </w:p>
        </w:tc>
      </w:tr>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Inadequate Network Segmentation</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Widespread  ☐ Limited  ☐ Isolated</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[Describe how network topology creates risk — e.g. flat network, IT/OT convergence]</w:t>
            </w:r>
          </w:p>
        </w:tc>
      </w:tr>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Weak Authentication</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Widespread  ☐ Limited  ☐ Isolated</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[Default passwords, shared accounts, no MFA]</w:t>
            </w:r>
          </w:p>
        </w:tc>
      </w:tr>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Unmanaged Remote Access</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Widespread  ☐ Limited  ☐ Isolated</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[Vendor remote access, modems, unsecured jump servers]</w:t>
            </w:r>
          </w:p>
        </w:tc>
      </w:tr>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Removable Media Exposure</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Widespread  ☐ Limited  ☐ Isolated</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[Uncontrolled USB, unscanned laptops used for configuration]</w:t>
            </w:r>
          </w:p>
        </w:tc>
      </w:tr>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Inadequate Patch Management</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Widespread  ☐ Limited  ☐ Isolated</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[Patching gaps, uncoordinated patching, no patch testing process]</w:t>
            </w:r>
          </w:p>
        </w:tc>
      </w:tr>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Physical Security Gaps</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Widespread  ☐ Limited  ☐ Isolated</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[Unlocked panels, unescorted vendor access, CCTV gaps]</w:t>
            </w:r>
          </w:p>
        </w:tc>
      </w:tr>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[Other — specify]</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2196F3" w:sz="6" w:space="4"/>
        </w:pBdr>
        <w:spacing w:after="100" w:before="280"/>
      </w:pPr>
      <w:r>
        <w:rPr>
          <w:rFonts w:ascii="Arial" w:cs="Arial" w:eastAsia="Arial" w:hAnsi="Arial"/>
          <w:b/>
          <w:bCs/>
          <w:i w:val="false"/>
          <w:iCs w:val="false"/>
          <w:color w:val="2196F3"/>
          <w:sz w:val="26"/>
          <w:szCs w:val="26"/>
        </w:rPr>
        <w:t xml:space="preserve">5. Consequence Framework</w:t>
      </w:r>
    </w:p>
    <w:p>
      <w:pPr>
        <w:spacing w:after="60" w:before="60"/>
        <w:jc w:val="left"/>
      </w:pPr>
      <w:r>
        <w:rPr>
          <w:rFonts w:ascii="Arial" w:cs="Arial" w:eastAsia="Arial" w:hAnsi="Arial"/>
          <w:b w:val="false"/>
          <w:bCs w:val="false"/>
          <w:i w:val="false"/>
          <w:iCs w:val="false"/>
          <w:color w:val="1C1C2E"/>
          <w:sz w:val="20"/>
          <w:szCs w:val="20"/>
        </w:rPr>
        <w:t xml:space="preserve">Define the consequence scales applied in this assessment. These scales must match those defined in CSMS-RA-001 and remain consistent across all risk assessments.</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1600"/>
        <w:gridCol w:w="1600"/>
        <w:gridCol w:w="2800"/>
        <w:gridCol w:w="2160"/>
      </w:tblGrid>
      <w:tr>
        <w:tc>
          <w:tcPr>
            <w:tcW w:type="dxa" w:w="12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Level</w:t>
            </w:r>
          </w:p>
        </w:tc>
        <w:tc>
          <w:tcPr>
            <w:tcW w:type="dxa" w:w="16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Rating</w:t>
            </w:r>
          </w:p>
        </w:tc>
        <w:tc>
          <w:tcPr>
            <w:tcW w:type="dxa" w:w="16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Score</w:t>
            </w:r>
          </w:p>
        </w:tc>
        <w:tc>
          <w:tcPr>
            <w:tcW w:type="dxa" w:w="28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Safety / HSE Consequence</w:t>
            </w:r>
          </w:p>
        </w:tc>
        <w:tc>
          <w:tcPr>
            <w:tcW w:type="dxa" w:w="216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Production / Financial</w:t>
            </w:r>
          </w:p>
        </w:tc>
      </w:tr>
      <w:tr>
        <w:tc>
          <w:tcPr>
            <w:tcW w:type="dxa" w:w="1200"/>
            <w:tcBorders>
              <w:top w:val="single" w:color="E76F51" w:sz="2"/>
              <w:left w:val="single" w:color="E76F51" w:sz="2"/>
              <w:bottom w:val="single" w:color="E76F51" w:sz="2"/>
              <w:right w:val="single" w:color="E76F51" w:sz="2"/>
            </w:tcBorders>
            <w:shd w:fill="E76F51"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Catastrophic</w:t>
            </w:r>
          </w:p>
        </w:tc>
        <w:tc>
          <w:tcPr>
            <w:tcW w:type="dxa" w:w="1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Catastrophic</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w:t>
            </w:r>
          </w:p>
        </w:tc>
        <w:tc>
          <w:tcPr>
            <w:tcW w:type="dxa" w:w="2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Fatalities. Major environmental release. Loss of containment at scale.</w:t>
            </w:r>
          </w:p>
        </w:tc>
        <w:tc>
          <w:tcPr>
            <w:tcW w:type="dxa" w:w="2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Total production loss. Months to recover. &gt;$[X]M loss.</w:t>
            </w:r>
          </w:p>
        </w:tc>
      </w:tr>
      <w:tr>
        <w:tc>
          <w:tcPr>
            <w:tcW w:type="dxa" w:w="12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Critical</w:t>
            </w:r>
          </w:p>
        </w:tc>
        <w:tc>
          <w:tcPr>
            <w:tcW w:type="dxa" w:w="1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Critical</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3</w:t>
            </w:r>
          </w:p>
        </w:tc>
        <w:tc>
          <w:tcPr>
            <w:tcW w:type="dxa" w:w="2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Serious injuries. Significant environmental impact. Major HSE incident.</w:t>
            </w:r>
          </w:p>
        </w:tc>
        <w:tc>
          <w:tcPr>
            <w:tcW w:type="dxa" w:w="2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Significant production loss. Days to weeks offline. &gt;$[X]M.</w:t>
            </w:r>
          </w:p>
        </w:tc>
      </w:tr>
      <w:tr>
        <w:tc>
          <w:tcPr>
            <w:tcW w:type="dxa" w:w="1200"/>
            <w:tcBorders>
              <w:top w:val="single" w:color="2196F3" w:sz="2"/>
              <w:left w:val="single" w:color="2196F3" w:sz="2"/>
              <w:bottom w:val="single" w:color="2196F3" w:sz="2"/>
              <w:right w:val="single" w:color="2196F3" w:sz="2"/>
            </w:tcBorders>
            <w:shd w:fill="2196F3"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Marginal</w:t>
            </w:r>
          </w:p>
        </w:tc>
        <w:tc>
          <w:tcPr>
            <w:tcW w:type="dxa" w:w="1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Marginal</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2</w:t>
            </w:r>
          </w:p>
        </w:tc>
        <w:tc>
          <w:tcPr>
            <w:tcW w:type="dxa" w:w="2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Minor injuries. Limited environmental impact. Recoverable.</w:t>
            </w:r>
          </w:p>
        </w:tc>
        <w:tc>
          <w:tcPr>
            <w:tcW w:type="dxa" w:w="2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Hours to days offline. Production degraded. &lt;$[X]M.</w:t>
            </w:r>
          </w:p>
        </w:tc>
      </w:tr>
      <w:tr>
        <w:tc>
          <w:tcPr>
            <w:tcW w:type="dxa" w:w="12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Negligible</w:t>
            </w:r>
          </w:p>
        </w:tc>
        <w:tc>
          <w:tcPr>
            <w:tcW w:type="dxa" w:w="1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Negligible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w:t>
            </w:r>
          </w:p>
        </w:tc>
        <w:tc>
          <w:tcPr>
            <w:tcW w:type="dxa" w:w="2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No injury. No environmental impact. Fully recoverable.</w:t>
            </w:r>
          </w:p>
        </w:tc>
        <w:tc>
          <w:tcPr>
            <w:tcW w:type="dxa" w:w="2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Minutes to hours offline. No lasting impact.</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2196F3" w:sz="6" w:space="4"/>
        </w:pBdr>
        <w:spacing w:after="100" w:before="280"/>
      </w:pPr>
      <w:r>
        <w:rPr>
          <w:rFonts w:ascii="Arial" w:cs="Arial" w:eastAsia="Arial" w:hAnsi="Arial"/>
          <w:b/>
          <w:bCs/>
          <w:i w:val="false"/>
          <w:iCs w:val="false"/>
          <w:color w:val="2196F3"/>
          <w:sz w:val="26"/>
          <w:szCs w:val="26"/>
        </w:rPr>
        <w:t xml:space="preserve">6. High-Level Risk Assessment Results</w:t>
      </w:r>
    </w:p>
    <w:p>
      <w:pPr>
        <w:spacing w:after="60" w:before="60"/>
        <w:jc w:val="left"/>
      </w:pPr>
      <w:r>
        <w:rPr>
          <w:rFonts w:ascii="Arial" w:cs="Arial" w:eastAsia="Arial" w:hAnsi="Arial"/>
          <w:b w:val="false"/>
          <w:bCs w:val="false"/>
          <w:i w:val="false"/>
          <w:iCs w:val="false"/>
          <w:color w:val="1C1C2E"/>
          <w:sz w:val="20"/>
          <w:szCs w:val="20"/>
        </w:rPr>
        <w:t xml:space="preserve">Record the high-level risk assessment result for each IACS system. One row per system. Reference the asset IDs from CSMS-RA-002.</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1700"/>
        <w:gridCol w:w="1900"/>
        <w:gridCol w:w="1200"/>
        <w:gridCol w:w="1200"/>
        <w:gridCol w:w="1260"/>
        <w:gridCol w:w="1400"/>
      </w:tblGrid>
      <w:tr>
        <w:tc>
          <w:tcPr>
            <w:tcW w:type="dxa" w:w="7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Asset ID</w:t>
            </w:r>
          </w:p>
        </w:tc>
        <w:tc>
          <w:tcPr>
            <w:tcW w:type="dxa" w:w="17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System</w:t>
            </w:r>
          </w:p>
        </w:tc>
        <w:tc>
          <w:tcPr>
            <w:tcW w:type="dxa" w:w="19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Primary Threat Scenario</w:t>
            </w:r>
          </w:p>
        </w:tc>
        <w:tc>
          <w:tcPr>
            <w:tcW w:type="dxa" w:w="12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Likelihood (1–4)</w:t>
            </w:r>
          </w:p>
        </w:tc>
        <w:tc>
          <w:tcPr>
            <w:tcW w:type="dxa" w:w="12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Consequence (1–4)</w:t>
            </w:r>
          </w:p>
        </w:tc>
        <w:tc>
          <w:tcPr>
            <w:tcW w:type="dxa" w:w="126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Risk Level</w:t>
            </w:r>
          </w:p>
        </w:tc>
        <w:tc>
          <w:tcPr>
            <w:tcW w:type="dxa" w:w="14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Priority</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A001</w:t>
            </w:r>
          </w:p>
        </w:tc>
        <w:tc>
          <w:tcPr>
            <w:tcW w:type="dxa" w:w="1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[Key threat scenario for this system]</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12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P1 ☐ P2
☐ P3 ☐ P4</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A002</w:t>
            </w:r>
          </w:p>
        </w:tc>
        <w:tc>
          <w:tcPr>
            <w:tcW w:type="dxa" w:w="1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[Key threat scenario for this system]</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12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P1 ☐ P2
☐ P3 ☐ P4</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A003</w:t>
            </w:r>
          </w:p>
        </w:tc>
        <w:tc>
          <w:tcPr>
            <w:tcW w:type="dxa" w:w="1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[Key threat scenario for this system]</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12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P1 ☐ P2
☐ P3 ☐ P4</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A004</w:t>
            </w:r>
          </w:p>
        </w:tc>
        <w:tc>
          <w:tcPr>
            <w:tcW w:type="dxa" w:w="1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[Key threat scenario for this system]</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12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P1 ☐ P2
☐ P3 ☐ P4</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A005</w:t>
            </w:r>
          </w:p>
        </w:tc>
        <w:tc>
          <w:tcPr>
            <w:tcW w:type="dxa" w:w="1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[Key threat scenario for this system]</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12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P1 ☐ P2
☐ P3 ☐ P4</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A006</w:t>
            </w:r>
          </w:p>
        </w:tc>
        <w:tc>
          <w:tcPr>
            <w:tcW w:type="dxa" w:w="1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9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[Key threat scenario for this system]</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12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P1 ☐ P2
☐ P3 ☐ P4</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2196F3" w:sz="6" w:space="4"/>
        </w:pBdr>
        <w:spacing w:after="100" w:before="280"/>
      </w:pPr>
      <w:r>
        <w:rPr>
          <w:rFonts w:ascii="Arial" w:cs="Arial" w:eastAsia="Arial" w:hAnsi="Arial"/>
          <w:b/>
          <w:bCs/>
          <w:i w:val="false"/>
          <w:iCs w:val="false"/>
          <w:color w:val="2196F3"/>
          <w:sz w:val="26"/>
          <w:szCs w:val="26"/>
        </w:rPr>
        <w:t xml:space="preserve">7. Key Findings and Management Summary</w:t>
      </w:r>
    </w:p>
    <w:p>
      <w:pPr>
        <w:spacing w:after="80" w:before="220"/>
      </w:pPr>
      <w:r>
        <w:rPr>
          <w:rFonts w:ascii="Arial" w:cs="Arial" w:eastAsia="Arial" w:hAnsi="Arial"/>
          <w:b/>
          <w:bCs/>
          <w:i w:val="false"/>
          <w:iCs w:val="false"/>
          <w:color w:val="2196F3"/>
          <w:sz w:val="22"/>
          <w:szCs w:val="22"/>
        </w:rPr>
        <w:t xml:space="preserve">7.1 Critical Findings Requiring Immediate Action</w:t>
      </w:r>
    </w:p>
    <w:p>
      <w:pPr>
        <w:spacing w:after="60" w:before="60"/>
        <w:jc w:val="left"/>
      </w:pPr>
      <w:r>
        <w:rPr>
          <w:rFonts w:ascii="Arial" w:cs="Arial" w:eastAsia="Arial" w:hAnsi="Arial"/>
          <w:b w:val="false"/>
          <w:bCs w:val="false"/>
          <w:i w:val="false"/>
          <w:iCs w:val="false"/>
          <w:color w:val="1C1C2E"/>
          <w:sz w:val="20"/>
          <w:szCs w:val="20"/>
        </w:rPr>
        <w:t xml:space="preserve">List all systems assessed as CRITICAL risk requiring immediate interim controls prior to completion of detailed vulnerability assessment:</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Asset / System</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[Asset ID and name from RA-002]</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Risk Summary</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the risk in business / safety terms — one paragraph]</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Immediate Action Required</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[Specific interim control to be applied before detailed assessment — e.g. network isolation, physical lock, monitoring]</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Action Owner</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Target Date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Asset / System</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[Asset ID and name from RA-002]</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Risk Summary</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the risk in business / safety terms — one paragraph]</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Immediate Action Required</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[Specific interim control to be applied before detailed assessment — e.g. network isolation, physical lock, monitoring]</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Action Owner</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Target Date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Asset / System</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[Asset ID and name from RA-002]</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Risk Summary</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the risk in business / safety terms — one paragraph]</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Immediate Action Required</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[Specific interim control to be applied before detailed assessment — e.g. network isolation, physical lock, monitoring]</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Action Owner</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Target Date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bl>
    <w:p>
      <w:pPr>
        <w:spacing w:after="0" w:before="40"/>
      </w:pPr>
      <w:r>
        <w:rPr>
          <w:rFonts w:ascii="Arial" w:cs="Arial" w:eastAsia="Arial" w:hAnsi="Arial"/>
          <w:b w:val="false"/>
          <w:bCs w:val="false"/>
          <w:i w:val="false"/>
          <w:iCs w:val="false"/>
          <w:color w:val="1C1C2E"/>
          <w:sz w:val="20"/>
          <w:szCs w:val="20"/>
        </w:rPr>
        <w:t xml:space="preserve"/>
      </w:r>
    </w:p>
    <w:p>
      <w:pPr>
        <w:spacing w:after="0" w:before="80"/>
      </w:pPr>
      <w:r>
        <w:rPr>
          <w:rFonts w:ascii="Arial" w:cs="Arial" w:eastAsia="Arial" w:hAnsi="Arial"/>
          <w:b w:val="false"/>
          <w:bCs w:val="false"/>
          <w:i w:val="false"/>
          <w:iCs w:val="false"/>
          <w:color w:val="1C1C2E"/>
          <w:sz w:val="20"/>
          <w:szCs w:val="20"/>
        </w:rPr>
        <w:t xml:space="preserve"/>
      </w:r>
    </w:p>
    <w:p>
      <w:pPr>
        <w:spacing w:after="80" w:before="220"/>
      </w:pPr>
      <w:r>
        <w:rPr>
          <w:rFonts w:ascii="Arial" w:cs="Arial" w:eastAsia="Arial" w:hAnsi="Arial"/>
          <w:b/>
          <w:bCs/>
          <w:i w:val="false"/>
          <w:iCs w:val="false"/>
          <w:color w:val="2196F3"/>
          <w:sz w:val="22"/>
          <w:szCs w:val="22"/>
        </w:rPr>
        <w:t xml:space="preserve">7.2 Overall Risk Profile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Total systems assessed</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P1 / CRITICAL</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 systems</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P2 / HIGH</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 systems</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P3 / MEDIUM</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 systems</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P4 / LOW</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 systems</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Most prevalent vulnerability category</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[From Section 4 — e.g. Legacy/EOL Systems]</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Primary threat source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[From Section 3 — e.g. Accidental Insider / External Attacker]</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Key recommendation to management</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[Single most important action — e.g. immediate network segmentation of control zone from corporate]</w:t>
            </w:r>
          </w:p>
        </w:tc>
      </w:tr>
    </w:tbl>
    <w:p>
      <w:pPr>
        <w:spacing w:after="0" w:before="200"/>
      </w:pPr>
      <w:r>
        <w:rPr>
          <w:rFonts w:ascii="Arial" w:cs="Arial" w:eastAsia="Arial" w:hAnsi="Arial"/>
          <w:b w:val="false"/>
          <w:bCs w:val="false"/>
          <w:i w:val="false"/>
          <w:iCs w:val="false"/>
          <w:color w:val="1C1C2E"/>
          <w:sz w:val="20"/>
          <w:szCs w:val="20"/>
        </w:rPr>
        <w:t xml:space="preserve"/>
      </w:r>
    </w:p>
    <w:p>
      <w:pPr>
        <w:pBdr>
          <w:bottom w:val="single" w:color="E8EEF4"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2196F3" w:sz="6" w:space="4"/>
        </w:pBdr>
        <w:spacing w:after="100" w:before="280"/>
      </w:pPr>
      <w:r>
        <w:rPr>
          <w:rFonts w:ascii="Arial" w:cs="Arial" w:eastAsia="Arial" w:hAnsi="Arial"/>
          <w:b/>
          <w:bCs/>
          <w:i w:val="false"/>
          <w:iCs w:val="false"/>
          <w:color w:val="2196F3"/>
          <w:sz w:val="26"/>
          <w:szCs w:val="26"/>
        </w:rPr>
        <w:t xml:space="preserve">Document Review and Approval History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Prepared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Next Review</w:t>
            </w:r>
          </w:p>
        </w:tc>
      </w:tr>
      <w:tr>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[Date — minimum annual or on trigger]</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E0F7F5"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00A896"/>
                <w:sz w:val="19"/>
                <w:szCs w:val="19"/>
              </w:rPr>
              <w:t xml:space="preserve">Version Control Requirement</w:t>
            </w:r>
          </w:p>
          <w:p>
            <w:pPr>
              <w:spacing w:after="80" w:before="0"/>
            </w:pPr>
            <w:r>
              <w:rPr>
                <w:rFonts w:ascii="Arial" w:cs="Arial" w:eastAsia="Arial" w:hAnsi="Arial"/>
                <w:b w:val="false"/>
                <w:bCs w:val="false"/>
                <w:i w:val="false"/>
                <w:iCs w:val="false"/>
                <w:color w:val="455A64"/>
                <w:sz w:val="19"/>
                <w:szCs w:val="19"/>
              </w:rPr>
              <w:t xml:space="preserve">All amendments to this document must be recorded below. No change is valid without written approval from the document owner. Superseded versions are archived and retained for a minimum of five years in accordance with the organisation's records retention policy.</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1600"/>
        <w:gridCol w:w="2400"/>
        <w:gridCol w:w="4160"/>
      </w:tblGrid>
      <w:tr>
        <w:tc>
          <w:tcPr>
            <w:tcW w:type="dxa" w:w="12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w:t>
            </w:r>
          </w:p>
        </w:tc>
        <w:tc>
          <w:tcPr>
            <w:tcW w:type="dxa" w:w="16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c>
          <w:tcPr>
            <w:tcW w:type="dxa" w:w="24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Author</w:t>
            </w:r>
          </w:p>
        </w:tc>
        <w:tc>
          <w:tcPr>
            <w:tcW w:type="dxa" w:w="416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Summary of Changes</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Initial issue</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bl>
    <w:p>
      <w:pPr>
        <w:spacing w:after="0" w:before="60"/>
      </w:pPr>
      <w:r>
        <w:rPr>
          <w:rFonts w:ascii="Arial" w:cs="Arial" w:eastAsia="Arial" w:hAnsi="Arial"/>
          <w:b w:val="false"/>
          <w:bCs w:val="false"/>
          <w:i w:val="false"/>
          <w:iCs w:val="false"/>
          <w:color w:val="1C1C2E"/>
          <w:sz w:val="20"/>
          <w:szCs w:val="20"/>
        </w:rPr>
        <w:t xml:space="preserve"/>
      </w:r>
    </w:p>
    <w:p>
      <w:pPr>
        <w:spacing w:after="40" w:before="80"/>
        <w:jc w:val="left"/>
      </w:pPr>
      <w:r>
        <w:rPr>
          <w:rFonts w:ascii="Arial" w:cs="Arial" w:eastAsia="Arial" w:hAnsi="Arial"/>
          <w:b w:val="false"/>
          <w:bCs w:val="false"/>
          <w:i w:val="false"/>
          <w:iCs w:val="false"/>
          <w:color w:val="B0BEC5"/>
          <w:sz w:val="17"/>
          <w:szCs w:val="17"/>
        </w:rPr>
        <w:t xml:space="preserve">Document Reference: 2196F3  ·  Classification: RESTRICTED  ·  © [Organisation Name]  ·  All rights reserved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EF4" w:sz="4" w:space="4"/>
      </w:pBdr>
      <w:tabs>
        <w:tab w:val="right" w:pos="9360"/>
      </w:tabs>
      <w:spacing w:after="0" w:before="80"/>
    </w:pPr>
    <w:r>
      <w:rPr>
        <w:rFonts w:ascii="Arial" w:cs="Arial" w:eastAsia="Arial" w:hAnsi="Arial"/>
        <w:b w:val="false"/>
        <w:bCs w:val="false"/>
        <w:i w:val="false"/>
        <w:iCs w:val="false"/>
        <w:color w:val="B0BEC5"/>
        <w:sz w:val="16"/>
        <w:szCs w:val="16"/>
      </w:rPr>
      <w:t xml:space="preserve">High-Level Risk Assessment Report</w:t>
    </w:r>
    <w:r>
      <w:rPr>
        <w:rFonts w:ascii="Arial" w:cs="Arial" w:eastAsia="Arial" w:hAnsi="Arial"/>
        <w:sz w:val="16"/>
        <w:szCs w:val="16"/>
      </w:rPr>
      <w:t xml:space="preserve">	</w:t>
    </w:r>
    <w:r>
      <w:rPr>
        <w:rFonts w:ascii="Arial" w:cs="Arial" w:eastAsia="Arial" w:hAnsi="Arial"/>
        <w:b w:val="false"/>
        <w:bCs w:val="false"/>
        <w:i w:val="false"/>
        <w:iCs w:val="false"/>
        <w:color w:val="B0BEC5"/>
        <w:sz w:val="16"/>
        <w:szCs w:val="16"/>
      </w:rP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EF4" w:sz="4" w:space="4"/>
      </w:pBdr>
      <w:tabs>
        <w:tab w:val="right" w:pos="9360"/>
      </w:tabs>
      <w:spacing w:after="80" w:before="0"/>
    </w:pPr>
    <w:r>
      <w:rPr>
        <w:rFonts w:ascii="Arial" w:cs="Arial" w:eastAsia="Arial" w:hAnsi="Arial"/>
        <w:b w:val="false"/>
        <w:bCs w:val="false"/>
        <w:i w:val="false"/>
        <w:iCs w:val="false"/>
        <w:color w:val="B0BEC5"/>
        <w:sz w:val="16"/>
        <w:szCs w:val="16"/>
      </w:rPr>
      <w:t xml:space="preserve">IEC 62443-2-1:2010 CSMS  ·  CSMS-RA-005  ·  [Organisation Name]</w:t>
    </w:r>
    <w:r>
      <w:rPr>
        <w:rFonts w:ascii="Arial" w:cs="Arial" w:eastAsia="Arial" w:hAnsi="Arial"/>
        <w:sz w:val="16"/>
        <w:szCs w:val="16"/>
      </w:rPr>
      <w:t xml:space="preserve">	</w:t>
    </w:r>
    <w:r>
      <w:rPr>
        <w:rFonts w:ascii="Arial" w:cs="Arial" w:eastAsia="Arial" w:hAnsi="Arial"/>
        <w:b/>
        <w:bCs/>
        <w:i w:val="false"/>
        <w:iCs w:val="false"/>
        <w:color w:val="E76F51"/>
        <w:sz w:val="16"/>
        <w:szCs w:val="16"/>
      </w:rPr>
      <w:t xml:space="preserve">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2026-05-07T04:42:41.338Z</dcterms:created>
  <dcterms:modified xsi:type="dcterms:W3CDTF">2026-05-07T04:42:41.339Z</dcterms:modified>
</cp:coreProperties>
</file>

<file path=docProps/custom.xml><?xml version="1.0" encoding="utf-8"?>
<Properties xmlns="http://schemas.openxmlformats.org/officeDocument/2006/custom-properties" xmlns:vt="http://schemas.openxmlformats.org/officeDocument/2006/docPropsVTypes"/>
</file>