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§4.2.3.9 / §4.2.3.13 SHALL</w:t>
            </w:r>
          </w:p>
          <w:p>
            <w:pPr>
              <w:spacing w:after="30" w:before="30"/>
            </w:pPr>
            <w:r>
              <w:rPr>
                <w:rFonts w:ascii="Arial" w:cs="Arial" w:eastAsia="Arial" w:hAnsi="Arial"/>
                <w:b/>
                <w:bCs/>
                <w:i w:val="false"/>
                <w:iCs w:val="false"/>
                <w:color w:val="0D1B2A"/>
                <w:sz w:val="38"/>
                <w:szCs w:val="38"/>
              </w:rPr>
              <w:t xml:space="preserve">IACS Cyber Security Risk Register</w:t>
            </w:r>
          </w:p>
          <w:p>
            <w:pPr>
              <w:spacing w:after="80" w:before="30"/>
            </w:pPr>
            <w:r>
              <w:rPr>
                <w:rFonts w:ascii="Arial" w:cs="Arial" w:eastAsia="Arial" w:hAnsi="Arial"/>
                <w:b w:val="false"/>
                <w:bCs w:val="false"/>
                <w:i w:val="false"/>
                <w:iCs w:val="false"/>
                <w:color w:val="455A64"/>
                <w:sz w:val="17"/>
                <w:szCs w:val="17"/>
              </w:rPr>
              <w:t xml:space="preserve">CSMS Document Reference: CSMS-RA-008  ·  Stage 2 — Risk Analysis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CSMS-RA-008</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is the IACS Cyber Security Risk Register, maintained in accordance with IEC 62443-2-1:2010 §4.2.3.9 and §4.2.3.13 (both SHALL). It is the central, authoritative record of all cyber security risks identified across the IACS in scope, their current status, assigned owners, and the countermeasures applied or planned. This is a living document — it is never complete.</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Living Document — Mandatory Maintenance</w:t>
            </w:r>
          </w:p>
          <w:p>
            <w:pPr>
              <w:spacing w:after="80" w:before="0"/>
            </w:pPr>
            <w:r>
              <w:rPr>
                <w:rFonts w:ascii="Arial" w:cs="Arial" w:eastAsia="Arial" w:hAnsi="Arial"/>
                <w:b w:val="false"/>
                <w:bCs w:val="false"/>
                <w:i w:val="false"/>
                <w:iCs w:val="false"/>
                <w:color w:val="455A64"/>
                <w:sz w:val="19"/>
                <w:szCs w:val="19"/>
              </w:rPr>
              <w:t xml:space="preserve">This register must be updated within 10 business days of: any new risk identified through assessment or incident; any change in risk rating; any countermeasure implemented or closed; any reassessment event. Stale risk registers are a primary audit finding. Date-stamp every update.</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Register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Organisation / Site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Risk Register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accuracy and currency]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Last Update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Last Full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full review required minimum annually]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Scheduled Review</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Risk Register Status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[Active / Under Review]</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Source Documents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CSMS-RA-005 (HL Assessment), CSMS-RA-006 (Vuln Assessment), CSMS-RA-007 (Detailed RA)</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Escalation Path for Critical Risks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who is notified immediately for CRITICAL risks — e.g. Plant Manager + HSE Manager within 24 hours]</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Risk Rating Summary (Dashboard)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0"/>
        <w:gridCol w:w="1870"/>
        <w:gridCol w:w="1870"/>
        <w:gridCol w:w="1870"/>
        <w:gridCol w:w="1880"/>
      </w:tblGrid>
      <w:tr>
        <w:tc>
          <w:tcPr>
            <w:tcW w:type="dxa" w:w="1870"/>
            <w:tcBorders>
              <w:top w:val="single" w:color="E76F51" w:sz="2"/>
              <w:left w:val="single" w:color="E76F51" w:sz="2"/>
              <w:bottom w:val="single" w:color="E76F51" w:sz="2"/>
              <w:right w:val="single" w:color="E76F51" w:sz="2"/>
            </w:tcBorders>
            <w:shd w:fill="E76F5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CRITICAL</w:t>
            </w:r>
          </w:p>
        </w:tc>
        <w:tc>
          <w:tcPr>
            <w:tcW w:type="dxa" w:w="187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HIGH</w:t>
            </w:r>
          </w:p>
        </w:tc>
        <w:tc>
          <w:tcPr>
            <w:tcW w:type="dxa" w:w="1870"/>
            <w:tcBorders>
              <w:top w:val="single" w:color="2196F3" w:sz="2"/>
              <w:left w:val="single" w:color="2196F3" w:sz="2"/>
              <w:bottom w:val="single" w:color="2196F3" w:sz="2"/>
              <w:right w:val="single" w:color="2196F3" w:sz="2"/>
            </w:tcBorders>
            <w:shd w:fill="2196F3"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MEDIUM</w:t>
            </w:r>
          </w:p>
        </w:tc>
        <w:tc>
          <w:tcPr>
            <w:tcW w:type="dxa" w:w="187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LOW</w:t>
            </w:r>
          </w:p>
        </w:tc>
        <w:tc>
          <w:tcPr>
            <w:tcW w:type="dxa" w:w="188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TOTAL RISKS</w:t>
            </w:r>
          </w:p>
        </w:tc>
      </w:tr>
      <w:tr>
        <w:tc>
          <w:tcPr>
            <w:tcW w:type="dxa" w:w="1870"/>
            <w:tcBorders>
              <w:top w:val="single" w:color="E76F51" w:sz="4"/>
              <w:left w:val="single" w:color="E76F51" w:sz="4"/>
              <w:bottom w:val="single" w:color="E76F51" w:sz="4"/>
              <w:right w:val="single" w:color="E76F51" w:sz="4"/>
            </w:tcBorders>
            <w:shd w:fill="FDE8E4"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E76F51"/>
                <w:sz w:val="36"/>
                <w:szCs w:val="36"/>
              </w:rPr>
              <w:t xml:space="preserve">[Count]</w:t>
            </w:r>
          </w:p>
        </w:tc>
        <w:tc>
          <w:tcPr>
            <w:tcW w:type="dxa" w:w="187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4A261"/>
                <w:sz w:val="36"/>
                <w:szCs w:val="36"/>
              </w:rPr>
              <w:t xml:space="preserve">[Count]</w:t>
            </w:r>
          </w:p>
        </w:tc>
        <w:tc>
          <w:tcPr>
            <w:tcW w:type="dxa" w:w="1870"/>
            <w:tcBorders>
              <w:top w:val="single" w:color="2196F3" w:sz="4"/>
              <w:left w:val="single" w:color="2196F3" w:sz="4"/>
              <w:bottom w:val="single" w:color="2196F3" w:sz="4"/>
              <w:right w:val="single" w:color="2196F3" w:sz="4"/>
            </w:tcBorders>
            <w:shd w:fill="E3F2FD"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2196F3"/>
                <w:sz w:val="36"/>
                <w:szCs w:val="36"/>
              </w:rPr>
              <w:t xml:space="preserve">[Count]</w:t>
            </w:r>
          </w:p>
        </w:tc>
        <w:tc>
          <w:tcPr>
            <w:tcW w:type="dxa" w:w="1870"/>
            <w:tcBorders>
              <w:top w:val="single" w:color="00A896" w:sz="4"/>
              <w:left w:val="single" w:color="00A896" w:sz="4"/>
              <w:bottom w:val="single" w:color="00A896" w:sz="4"/>
              <w:right w:val="single" w:color="00A896" w:sz="4"/>
            </w:tcBorders>
            <w:shd w:fill="E0F7F5"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00A896"/>
                <w:sz w:val="36"/>
                <w:szCs w:val="36"/>
              </w:rPr>
              <w:t xml:space="preserve">[Count]</w:t>
            </w:r>
          </w:p>
        </w:tc>
        <w:tc>
          <w:tcPr>
            <w:tcW w:type="dxa" w:w="188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455A64"/>
                <w:sz w:val="36"/>
                <w:szCs w:val="36"/>
              </w:rPr>
              <w:t xml:space="preserve">[Count]</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Risk Register — Active Risks</w:t>
      </w:r>
    </w:p>
    <w:p>
      <w:pPr>
        <w:spacing w:after="60" w:before="60"/>
        <w:jc w:val="left"/>
      </w:pPr>
      <w:r>
        <w:rPr>
          <w:rFonts w:ascii="Arial" w:cs="Arial" w:eastAsia="Arial" w:hAnsi="Arial"/>
          <w:b w:val="false"/>
          <w:bCs w:val="false"/>
          <w:i w:val="false"/>
          <w:iCs w:val="false"/>
          <w:color w:val="1C1C2E"/>
          <w:sz w:val="20"/>
          <w:szCs w:val="20"/>
        </w:rPr>
        <w:t xml:space="preserve">Complete one row per identified risk. Use the Risk ID from CSMS-RA-007. Flag HSE-linked risks explicitly — they require special handling and the countermeasure must be HSE-validated before implementation.</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1300"/>
        <w:gridCol w:w="1600"/>
        <w:gridCol w:w="660"/>
        <w:gridCol w:w="660"/>
        <w:gridCol w:w="600"/>
        <w:gridCol w:w="700"/>
        <w:gridCol w:w="1200"/>
        <w:gridCol w:w="2080"/>
      </w:tblGrid>
      <w:tr>
        <w:tc>
          <w:tcPr>
            <w:tcW w:type="dxa" w:w="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ID</w:t>
            </w:r>
          </w:p>
        </w:tc>
        <w:tc>
          <w:tcPr>
            <w:tcW w:type="dxa" w:w="13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 System</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Statement</w:t>
            </w:r>
          </w:p>
        </w:tc>
        <w:tc>
          <w:tcPr>
            <w:tcW w:type="dxa" w:w="6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w:t>
            </w:r>
          </w:p>
        </w:tc>
        <w:tc>
          <w:tcPr>
            <w:tcW w:type="dxa" w:w="6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w:t>
            </w:r>
          </w:p>
        </w:tc>
        <w:tc>
          <w:tcPr>
            <w:tcW w:type="dxa" w:w="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Score</w:t>
            </w:r>
          </w:p>
        </w:tc>
        <w:tc>
          <w:tcPr>
            <w:tcW w:type="dxa" w:w="7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Rating</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Owner</w:t>
            </w:r>
          </w:p>
        </w:tc>
        <w:tc>
          <w:tcPr>
            <w:tcW w:type="dxa" w:w="20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Required Countermeasure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R001</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R002</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R003</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R004</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R005</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R006</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R007</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R008</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R009</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r>
        <w:tc>
          <w:tcPr>
            <w:tcW w:type="dxa" w:w="56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R010</w:t>
            </w:r>
          </w:p>
        </w:tc>
        <w:tc>
          <w:tcPr>
            <w:tcW w:type="dxa" w:w="13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 a result of (threat) exploiting (vulnerability), (asset) could (consequence)]</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[1–4]</w:t>
            </w:r>
          </w:p>
        </w:tc>
        <w:tc>
          <w:tcPr>
            <w:tcW w:type="dxa" w:w="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[L×C]</w:t>
            </w:r>
          </w:p>
        </w:tc>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[Technical / Admin / Physical countermeasure — reference CSMS policy or procedure]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Risk Status Tracking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1400"/>
        <w:gridCol w:w="1600"/>
        <w:gridCol w:w="1200"/>
        <w:gridCol w:w="1200"/>
        <w:gridCol w:w="1200"/>
        <w:gridCol w:w="2200"/>
      </w:tblGrid>
      <w:tr>
        <w:tc>
          <w:tcPr>
            <w:tcW w:type="dxa" w:w="5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ID</w:t>
            </w:r>
          </w:p>
        </w:tc>
        <w:tc>
          <w:tcPr>
            <w:tcW w:type="dxa" w:w="1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Countermeasure</w:t>
            </w:r>
          </w:p>
        </w:tc>
        <w:tc>
          <w:tcPr>
            <w:tcW w:type="dxa" w:w="16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Implementation Status</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Target Date</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Actual Date</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Residual Risk</w:t>
            </w:r>
          </w:p>
        </w:tc>
        <w:tc>
          <w:tcPr>
            <w:tcW w:type="dxa" w:w="2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Closure Evidence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r>
        <w:tc>
          <w:tcPr>
            <w:tcW w:type="dxa" w:w="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Not Started
☐ In Progress
☐ Complete
☐ Accepted
☐ Transferred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
☐ Closed</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[Document / test result / audit finding confirming countermeasure is effective]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Risk Acceptance Register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DE8E4"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E76F51"/>
                <w:sz w:val="19"/>
                <w:szCs w:val="19"/>
              </w:rPr>
              <w:t xml:space="preserve">Formal Acceptance Requirement</w:t>
            </w:r>
          </w:p>
          <w:p>
            <w:pPr>
              <w:spacing w:after="80" w:before="0"/>
            </w:pPr>
            <w:r>
              <w:rPr>
                <w:rFonts w:ascii="Arial" w:cs="Arial" w:eastAsia="Arial" w:hAnsi="Arial"/>
                <w:b w:val="false"/>
                <w:bCs w:val="false"/>
                <w:i w:val="false"/>
                <w:iCs w:val="false"/>
                <w:color w:val="455A64"/>
                <w:sz w:val="19"/>
                <w:szCs w:val="19"/>
              </w:rPr>
              <w:t xml:space="preserve">Any risk that is accepted without countermeasure must be formally documented, justified, and signed by a named accountable manager. Risk acceptance is not the same as risk ignorance. Accepted risks must be reviewed at each reassessment cycle.</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1400"/>
        <w:gridCol w:w="2000"/>
        <w:gridCol w:w="1600"/>
        <w:gridCol w:w="1600"/>
        <w:gridCol w:w="1800"/>
      </w:tblGrid>
      <w:tr>
        <w:tc>
          <w:tcPr>
            <w:tcW w:type="dxa" w:w="7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ID</w:t>
            </w:r>
          </w:p>
        </w:tc>
        <w:tc>
          <w:tcPr>
            <w:tcW w:type="dxa" w:w="1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Rating</w:t>
            </w:r>
          </w:p>
        </w:tc>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Reason for Acceptance</w:t>
            </w:r>
          </w:p>
        </w:tc>
        <w:tc>
          <w:tcPr>
            <w:tcW w:type="dxa" w:w="1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Compensating Controls</w:t>
            </w:r>
          </w:p>
        </w:tc>
        <w:tc>
          <w:tcPr>
            <w:tcW w:type="dxa" w:w="1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Accepted By (Name/Role)</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Date</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[Must be a specific, documented justification — not 'budget' alone]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partial controls applied]</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[Named manager — not the risk owner]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[Mandatory — max 12 months]</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[Must be a specific, documented justification — not 'budget' alone]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partial controls applied]</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[Named manager — not the risk owner]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[Mandatory — max 12 months]</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[Must be a specific, documented justification — not 'budget' alone]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partial controls applied]</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[Named manager — not the risk owner]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[Mandatory — max 12 months]</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 or on trigger]</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 Requirement</w:t>
            </w:r>
          </w:p>
          <w:p>
            <w:pPr>
              <w:spacing w:after="80" w:before="0"/>
            </w:pPr>
            <w:r>
              <w:rPr>
                <w:rFonts w:ascii="Arial" w:cs="Arial" w:eastAsia="Arial" w:hAnsi="Arial"/>
                <w:b w:val="false"/>
                <w:bCs w:val="false"/>
                <w:i w:val="false"/>
                <w:iCs w:val="false"/>
                <w:color w:val="455A64"/>
                <w:sz w:val="19"/>
                <w:szCs w:val="19"/>
              </w:rPr>
              <w:t xml:space="preserve">All amendments to this document must be recorded below. No change is valid without written approval from the document owner. Superseded versions are archived and retained for a minimum of five years in accordance with the organisation's records retention policy.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IACS Cyber Security Risk Register</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CSMS-RA-008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2026-05-07T04:42:41.623Z</dcterms:created>
  <dcterms:modified xsi:type="dcterms:W3CDTF">2026-05-07T04:42:41.623Z</dcterms:modified>
</cp:coreProperties>
</file>

<file path=docProps/custom.xml><?xml version="1.0" encoding="utf-8"?>
<Properties xmlns="http://schemas.openxmlformats.org/officeDocument/2006/custom-properties" xmlns:vt="http://schemas.openxmlformats.org/officeDocument/2006/docPropsVTypes"/>
</file>