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§4.2.3.10 SHALL</w:t>
            </w:r>
          </w:p>
          <w:p>
            <w:pPr>
              <w:spacing w:after="30" w:before="30"/>
            </w:pPr>
            <w:r>
              <w:rPr>
                <w:rFonts w:ascii="Arial" w:cs="Arial" w:eastAsia="Arial" w:hAnsi="Arial"/>
                <w:b/>
                <w:bCs/>
                <w:i w:val="false"/>
                <w:iCs w:val="false"/>
                <w:color w:val="0D1B2A"/>
                <w:sz w:val="38"/>
                <w:szCs w:val="38"/>
              </w:rPr>
              <w:t xml:space="preserve">Risk and Vulnerability Reassessment Trigger Register</w:t>
            </w:r>
          </w:p>
          <w:p>
            <w:pPr>
              <w:spacing w:after="80" w:before="30"/>
            </w:pPr>
            <w:r>
              <w:rPr>
                <w:rFonts w:ascii="Arial" w:cs="Arial" w:eastAsia="Arial" w:hAnsi="Arial"/>
                <w:b w:val="false"/>
                <w:bCs w:val="false"/>
                <w:i w:val="false"/>
                <w:iCs w:val="false"/>
                <w:color w:val="455A64"/>
                <w:sz w:val="17"/>
                <w:szCs w:val="17"/>
              </w:rPr>
              <w:t xml:space="preserve">CSMS Document Reference: CSMS-RA-009  ·  Stage 2 — Risk Analysis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CSMS-RA-009</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IEC 62443-2-1:2010 §4.2.3.10 (SHALL) requires the organisation to identify the events that trigger a new risk and vulnerability assessment. This document defines those triggers, the thresholds at which they activate, the required response, and the responsible parties. Establishing triggers in advance is what makes the CSMS self-correcting — it does not rely on anyone remembering to act.</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Design Principle</w:t>
            </w:r>
          </w:p>
          <w:p>
            <w:pPr>
              <w:spacing w:after="80" w:before="0"/>
            </w:pPr>
            <w:r>
              <w:rPr>
                <w:rFonts w:ascii="Arial" w:cs="Arial" w:eastAsia="Arial" w:hAnsi="Arial"/>
                <w:b w:val="false"/>
                <w:bCs w:val="false"/>
                <w:i w:val="false"/>
                <w:iCs w:val="false"/>
                <w:color w:val="455A64"/>
                <w:sz w:val="19"/>
                <w:szCs w:val="19"/>
              </w:rPr>
              <w:t xml:space="preserve">A trigger is a pre-agreed condition that automatically obligates a named person to initiate a specific action within a defined timeframe. Triggers without owners, timelines, and documented response requirements are statements of intent, not CSMS controls.</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Trigger Register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Organisation / Site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Register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 responsible for monitoring triggers and ensuring response]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Register Version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1.0</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Last Review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Next Review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Trigger Monitoring Method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how triggers are monitored — e.g. ICS-CERT subscription, change management log, incident register, calendar]</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Standard Reassessment Triggers</w:t>
      </w:r>
    </w:p>
    <w:p>
      <w:pPr>
        <w:spacing w:after="60" w:before="60"/>
        <w:jc w:val="left"/>
      </w:pPr>
      <w:r>
        <w:rPr>
          <w:rFonts w:ascii="Arial" w:cs="Arial" w:eastAsia="Arial" w:hAnsi="Arial"/>
          <w:b w:val="false"/>
          <w:bCs w:val="false"/>
          <w:i w:val="false"/>
          <w:iCs w:val="false"/>
          <w:color w:val="1C1C2E"/>
          <w:sz w:val="20"/>
          <w:szCs w:val="20"/>
        </w:rPr>
        <w:t xml:space="preserve">These are the mandatory minimum triggers required by §4.2.3.10. All are pre-populated. Confirm and customise the thresholds and response timelines for your organisation. Add organisation-specific triggers in Section 4.</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
        <w:gridCol w:w="1800"/>
        <w:gridCol w:w="2000"/>
        <w:gridCol w:w="1760"/>
        <w:gridCol w:w="1700"/>
        <w:gridCol w:w="1800"/>
      </w:tblGrid>
      <w:tr>
        <w:tc>
          <w:tcPr>
            <w:tcW w:type="dxa" w:w="3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Trigger Event</w:t>
            </w:r>
          </w:p>
        </w:tc>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Activation Threshold</w:t>
            </w:r>
          </w:p>
        </w:tc>
        <w:tc>
          <w:tcPr>
            <w:tcW w:type="dxa" w:w="17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Reassessment Scope</w:t>
            </w:r>
          </w:p>
        </w:tc>
        <w:tc>
          <w:tcPr>
            <w:tcW w:type="dxa" w:w="17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Response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Required Response Time</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T01</w:t>
            </w:r>
          </w:p>
        </w:tc>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Security Incident</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Any incident classified HIGH or CRITICAL on the organisation's incident severity matrix. Also triggered by any incident where a threat actor gained access to an IACS asset, regardless of severity.</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re-assessment of affected zone(s). Review all risk register entries for related threats.</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Programme Manager</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Initiate within 5 working days. Complete within 30 days.</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T02</w:t>
            </w:r>
          </w:p>
        </w:tc>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Major IACS Change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Addition, replacement, or significant upgrade of any asset with Priority Level P1 or P2. Also triggered by any network architecture change affecting zone boundaries or firewall rules.</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Zone-specific risk re-assessment. Reassess all assets in the affected zone and adjacent zones.</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Security Lead</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Initiate before commissioning. Complete before system goes live.</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T03</w:t>
            </w:r>
          </w:p>
        </w:tc>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New Critical Vulnerability Published</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ICS-CERT advisory or vendor security bulletin with CVSS score ≥ 7.0 affecting firmware, OS, or software versions present in the IACS inventory.</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Targeted assessment of all assets running the affected version. Review and update risk register entries.</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Security Lead</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Acknowledge within 24 hours. Assessment within 14 days.</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T04</w:t>
            </w:r>
          </w:p>
        </w:tc>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Regulatory / Standards Change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New or amended regulation, industry standard, or national guidance imposing new cyber security requirements relevant to this IACS environment.</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Compliance gap analysis against new requirements. Reassess risk register for gaps in coverage.</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Programme Manager</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Acknowledge within 5 days. Gap analysis within 60 days.</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T05</w:t>
            </w:r>
          </w:p>
        </w:tc>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Threat Landscape Change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Credible, sector-specific intelligence (from government CERT, industry body, or peer organisation) indicating a new or elevated threat specifically targeting this type of IACS or industry.</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High-level threat reassessment. Update threat landscape section of CSMS-RA-005. Review countermeasures for identified threat type.</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Programme Manager</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Review within 14 days.</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T06</w:t>
            </w:r>
          </w:p>
        </w:tc>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Vendor / Supply Chain Incident</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Security breach at a primary vendor or supplier with access to IACS systems or software, or discovery of a compromised update / firmware.</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Assess all systems supplied by affected vendor. Review remote access credentials and access logs.</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Security Lead + IT Security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Revoke vendor access immediately. Assessment within 10 days.</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T07</w:t>
            </w:r>
          </w:p>
        </w:tc>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Elapsed Time — Scheduled</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Maximum time elapsed since the last full risk assessment — regardless of whether any other trigger has been activated.</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risk re-assessment of all in-scope IACS. Update risk register, vulnerability records, and network diagrams.</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Programme Manager</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Annual — initiate 8 weeks before anniversary date.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Organisation-Specific Triggers</w:t>
      </w:r>
    </w:p>
    <w:p>
      <w:pPr>
        <w:spacing w:after="60" w:before="60"/>
        <w:jc w:val="left"/>
      </w:pPr>
      <w:r>
        <w:rPr>
          <w:rFonts w:ascii="Arial" w:cs="Arial" w:eastAsia="Arial" w:hAnsi="Arial"/>
          <w:b w:val="false"/>
          <w:bCs w:val="false"/>
          <w:i w:val="false"/>
          <w:iCs w:val="false"/>
          <w:color w:val="1C1C2E"/>
          <w:sz w:val="20"/>
          <w:szCs w:val="20"/>
        </w:rPr>
        <w:t xml:space="preserve">Add triggers specific to this organisation, site, or regulatory environment. Examples: HSE regulator inspection outcome; insurance renewal requirement; major production mode change; M&amp;A activity.</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
        <w:gridCol w:w="1800"/>
        <w:gridCol w:w="2000"/>
        <w:gridCol w:w="1760"/>
        <w:gridCol w:w="1700"/>
        <w:gridCol w:w="1800"/>
      </w:tblGrid>
      <w:tr>
        <w:tc>
          <w:tcPr>
            <w:tcW w:type="dxa" w:w="3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w:t>
            </w:r>
          </w:p>
        </w:tc>
        <w:tc>
          <w:tcPr>
            <w:tcW w:type="dxa" w:w="18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Trigger Event</w:t>
            </w:r>
          </w:p>
        </w:tc>
        <w:tc>
          <w:tcPr>
            <w:tcW w:type="dxa" w:w="20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Activation Threshold</w:t>
            </w:r>
          </w:p>
        </w:tc>
        <w:tc>
          <w:tcPr>
            <w:tcW w:type="dxa" w:w="17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Reassessment Scope</w:t>
            </w:r>
          </w:p>
        </w:tc>
        <w:tc>
          <w:tcPr>
            <w:tcW w:type="dxa" w:w="17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Response Owner</w:t>
            </w:r>
          </w:p>
        </w:tc>
        <w:tc>
          <w:tcPr>
            <w:tcW w:type="dxa" w:w="18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Response Time</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T08</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[Trigger name — specific to this organisation]</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condition / value activates this trigger?]</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[Which systems / zones must be reassessed?]</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[Timeframe for response]</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T09</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[Trigger name — specific to this organisation]</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condition / value activates this trigger?]</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[Which systems / zones must be reassessed?]</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[Timeframe for response]</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T10</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[Trigger name — specific to this organisation]</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condition / value activates this trigger?]</w:t>
            </w:r>
          </w:p>
        </w:tc>
        <w:tc>
          <w:tcPr>
            <w:tcW w:type="dxa" w:w="1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[Which systems / zones must be reassessed?]</w:t>
            </w:r>
          </w:p>
        </w:tc>
        <w:tc>
          <w:tcPr>
            <w:tcW w:type="dxa" w:w="1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[Timeframe for response]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Trigger Event Log</w:t>
      </w:r>
    </w:p>
    <w:p>
      <w:pPr>
        <w:spacing w:after="60" w:before="60"/>
        <w:jc w:val="left"/>
      </w:pPr>
      <w:r>
        <w:rPr>
          <w:rFonts w:ascii="Arial" w:cs="Arial" w:eastAsia="Arial" w:hAnsi="Arial"/>
          <w:b w:val="false"/>
          <w:bCs w:val="false"/>
          <w:i w:val="false"/>
          <w:iCs w:val="false"/>
          <w:color w:val="1C1C2E"/>
          <w:sz w:val="20"/>
          <w:szCs w:val="20"/>
        </w:rPr>
        <w:t xml:space="preserve">Record every trigger activation. This log is evidence that the CSMS responded appropriately to changing conditions. It is reviewed during conformance audits.</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1200"/>
        <w:gridCol w:w="2200"/>
        <w:gridCol w:w="1400"/>
        <w:gridCol w:w="1460"/>
        <w:gridCol w:w="2400"/>
      </w:tblGrid>
      <w:tr>
        <w:tc>
          <w:tcPr>
            <w:tcW w:type="dxa" w:w="7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Trigger ID</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 Activated</w:t>
            </w:r>
          </w:p>
        </w:tc>
        <w:tc>
          <w:tcPr>
            <w:tcW w:type="dxa" w:w="2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Event Description</w:t>
            </w:r>
          </w:p>
        </w:tc>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Notified To</w:t>
            </w:r>
          </w:p>
        </w:tc>
        <w:tc>
          <w:tcPr>
            <w:tcW w:type="dxa" w:w="14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Assessment Initiated</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Outcome / Action Taken</w:t>
            </w:r>
          </w:p>
        </w:tc>
      </w:tr>
      <w:tr>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reassessment report produced]</w:t>
            </w:r>
          </w:p>
        </w:tc>
      </w:tr>
      <w:tr>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reassessment report produced]</w:t>
            </w:r>
          </w:p>
        </w:tc>
      </w:tr>
      <w:tr>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reassessment report produced]</w:t>
            </w:r>
          </w:p>
        </w:tc>
      </w:tr>
      <w:tr>
        <w:tc>
          <w:tcPr>
            <w:tcW w:type="dxa" w:w="7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reassessment report produced]</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6. Trigger Register Review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1600"/>
        <w:gridCol w:w="3160"/>
        <w:gridCol w:w="2800"/>
      </w:tblGrid>
      <w:tr>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 Date</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31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Reason for Review</w:t>
            </w:r>
          </w:p>
        </w:tc>
        <w:tc>
          <w:tcPr>
            <w:tcW w:type="dxa" w:w="2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Changes Made</w:t>
            </w:r>
          </w:p>
        </w:tc>
      </w:tr>
      <w:tr>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3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[Annual / Post-incident / Regulatory change]</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[Triggers added / modified / removed]</w:t>
            </w:r>
          </w:p>
        </w:tc>
      </w:tr>
      <w:tr>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3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[Annual / Post-incident / Regulatory change]</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[Triggers added / modified / removed]</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 or on trigger]</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 Requirement</w:t>
            </w:r>
          </w:p>
          <w:p>
            <w:pPr>
              <w:spacing w:after="80" w:before="0"/>
            </w:pPr>
            <w:r>
              <w:rPr>
                <w:rFonts w:ascii="Arial" w:cs="Arial" w:eastAsia="Arial" w:hAnsi="Arial"/>
                <w:b w:val="false"/>
                <w:bCs w:val="false"/>
                <w:i w:val="false"/>
                <w:iCs w:val="false"/>
                <w:color w:val="455A64"/>
                <w:sz w:val="19"/>
                <w:szCs w:val="19"/>
              </w:rPr>
              <w:t xml:space="preserve">All amendments to this document must be recorded below. No change is valid without written approval from the document owner. Superseded versions are archived and retained for a minimum of five years in accordance with the organisation's records retention policy.</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  ·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Risk and Vulnerability Reassessment Trigger Register</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CSMS-RA-009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2026-05-07T04:42:41.707Z</dcterms:created>
  <dcterms:modified xsi:type="dcterms:W3CDTF">2026-05-07T04:42:41.707Z</dcterms:modified>
</cp:coreProperties>
</file>

<file path=docProps/custom.xml><?xml version="1.0" encoding="utf-8"?>
<Properties xmlns="http://schemas.openxmlformats.org/officeDocument/2006/custom-properties" xmlns:vt="http://schemas.openxmlformats.org/officeDocument/2006/docPropsVTypes"/>
</file>