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§4.2.3.13 SHALL</w:t>
            </w:r>
          </w:p>
          <w:p>
            <w:pPr>
              <w:spacing w:after="30" w:before="30"/>
            </w:pPr>
            <w:r>
              <w:rPr>
                <w:rFonts w:ascii="Arial" w:cs="Arial" w:eastAsia="Arial" w:hAnsi="Arial"/>
                <w:b/>
                <w:bCs/>
                <w:i w:val="false"/>
                <w:iCs w:val="false"/>
                <w:color w:val="0D1B2A"/>
                <w:sz w:val="38"/>
                <w:szCs w:val="38"/>
              </w:rPr>
              <w:t xml:space="preserve">Vulnerability Assessment Records — Lifecycle Log</w:t>
            </w:r>
          </w:p>
          <w:p>
            <w:pPr>
              <w:spacing w:after="80" w:before="30"/>
            </w:pPr>
            <w:r>
              <w:rPr>
                <w:rFonts w:ascii="Arial" w:cs="Arial" w:eastAsia="Arial" w:hAnsi="Arial"/>
                <w:b w:val="false"/>
                <w:bCs w:val="false"/>
                <w:i w:val="false"/>
                <w:iCs w:val="false"/>
                <w:color w:val="455A64"/>
                <w:sz w:val="17"/>
                <w:szCs w:val="17"/>
              </w:rPr>
              <w:t xml:space="preserve">CSMS Document Reference: CSMS-RA-010  ·  Stage 2 — Risk Analysis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CSMS-RA-010</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§4.2.3.13 (SHALL) requires the organisation to document both the risk assessment methodology and its results, and to retain those records. This document serves as the lifecycle log for all vulnerability assessment activities, providing a chronological record of when assessments were conducted, what was found, and what was done. It is the primary document produced for audit review of CSMS risk analysis activity over time.</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DE8E4"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E76F51"/>
                <w:sz w:val="19"/>
                <w:szCs w:val="19"/>
              </w:rPr>
              <w:t xml:space="preserve">Retention Requirement</w:t>
            </w:r>
          </w:p>
          <w:p>
            <w:pPr>
              <w:spacing w:after="80" w:before="0"/>
            </w:pPr>
            <w:r>
              <w:rPr>
                <w:rFonts w:ascii="Arial" w:cs="Arial" w:eastAsia="Arial" w:hAnsi="Arial"/>
                <w:b w:val="false"/>
                <w:bCs w:val="false"/>
                <w:i w:val="false"/>
                <w:iCs w:val="false"/>
                <w:color w:val="455A64"/>
                <w:sz w:val="19"/>
                <w:szCs w:val="19"/>
              </w:rPr>
              <w:t xml:space="preserve">Assessment records must be retained for the operational life of the assessed asset plus a minimum of five years after the asset is decommissioned, or for the period required by applicable regulation if longer. Records must be stored and protected in accordance with the Information Classification Scheme (CSMS-IM-001) — RESTRICTED classification applies.</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Record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Organisation / Site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Record Custodian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maintaining and protecting this log]</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Storage Location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[Secure file path / document management system — with access controls identified]</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Backup Location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[Secondary secure storage location for resilience]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Retention Period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Asset operational life + 5 years minimum, or [X] years per [regulation name]]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Disposal Method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Secure deletion per NIST SP 800-88 / physical destruction of media]</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Access Controls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[Restricted to CSMS team only. Access log maintained. External access requires written approval from CSMS Programme Manager.]</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Assessment Activity Log</w:t>
      </w:r>
    </w:p>
    <w:p>
      <w:pPr>
        <w:spacing w:after="60" w:before="60"/>
        <w:jc w:val="left"/>
      </w:pPr>
      <w:r>
        <w:rPr>
          <w:rFonts w:ascii="Arial" w:cs="Arial" w:eastAsia="Arial" w:hAnsi="Arial"/>
          <w:b w:val="false"/>
          <w:bCs w:val="false"/>
          <w:i w:val="false"/>
          <w:iCs w:val="false"/>
          <w:color w:val="1C1C2E"/>
          <w:sz w:val="20"/>
          <w:szCs w:val="20"/>
        </w:rPr>
        <w:t xml:space="preserve">Record every formal vulnerability assessment conducted. Each entry must reference the detailed assessment document (CSMS-RA-006 or subsequent version). This log provides the audit trail required by §4.2.3.13.</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1200"/>
        <w:gridCol w:w="1800"/>
        <w:gridCol w:w="1200"/>
        <w:gridCol w:w="1360"/>
        <w:gridCol w:w="1400"/>
        <w:gridCol w:w="1800"/>
      </w:tblGrid>
      <w:tr>
        <w:tc>
          <w:tcPr>
            <w:tcW w:type="dxa" w:w="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Assess. ID</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Systems Assessed</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Assessment Type</w:t>
            </w:r>
          </w:p>
        </w:tc>
        <w:tc>
          <w:tcPr>
            <w:tcW w:type="dxa" w:w="13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Lead Assessor</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Report Reference</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Trigger Event</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VA-001</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IDs from RA-002]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High-Level
☐ Detailed
☐ Targeted
☐ Triggered</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[CSMS-RA-006 v1.0]</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[Scheduled / Post-incident / Regulatory / Change]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VA-002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IDs from RA-002]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High-Level
☐ Detailed
☐ Targeted
☐ Triggered</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[CSMS-RA-006 v1.0]</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[Scheduled / Post-incident / Regulatory / Change]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VA-003</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IDs from RA-002]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High-Level
☐ Detailed
☐ Targeted
☐ Triggered</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[CSMS-RA-006 v1.0]</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[Scheduled / Post-incident / Regulatory / Change]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VA-004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IDs from RA-002]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High-Level
☐ Detailed
☐ Targeted
☐ Triggered</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[CSMS-RA-006 v1.0]</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[Scheduled / Post-incident / Regulatory / Change]</w:t>
            </w:r>
          </w:p>
        </w:tc>
      </w:tr>
      <w:tr>
        <w:tc>
          <w:tcPr>
            <w:tcW w:type="dxa" w:w="6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VA-005</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IDs from RA-002]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High-Level
☐ Detailed
☐ Targeted
☐ Triggered</w:t>
            </w:r>
          </w:p>
        </w:tc>
        <w:tc>
          <w:tcPr>
            <w:tcW w:type="dxa" w:w="1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[CSMS-RA-006 v1.0]</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[Scheduled / Post-incident / Regulatory / Change]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Findings Status Tracker</w:t>
      </w:r>
    </w:p>
    <w:p>
      <w:pPr>
        <w:spacing w:after="60" w:before="60"/>
        <w:jc w:val="left"/>
      </w:pPr>
      <w:r>
        <w:rPr>
          <w:rFonts w:ascii="Arial" w:cs="Arial" w:eastAsia="Arial" w:hAnsi="Arial"/>
          <w:b w:val="false"/>
          <w:bCs w:val="false"/>
          <w:i w:val="false"/>
          <w:iCs w:val="false"/>
          <w:color w:val="1C1C2E"/>
          <w:sz w:val="20"/>
          <w:szCs w:val="20"/>
        </w:rPr>
        <w:t xml:space="preserve">Track the status of all material findings across all assessments. This ensures no finding is lost between assessment cycles. A finding is considered closed only when a countermeasure has been implemented and independently verified as effective.</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760"/>
        <w:gridCol w:w="1560"/>
        <w:gridCol w:w="1600"/>
        <w:gridCol w:w="1200"/>
        <w:gridCol w:w="1000"/>
        <w:gridCol w:w="1200"/>
        <w:gridCol w:w="1340"/>
      </w:tblGrid>
      <w:tr>
        <w:tc>
          <w:tcPr>
            <w:tcW w:type="dxa" w:w="7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Finding ID</w:t>
            </w:r>
          </w:p>
        </w:tc>
        <w:tc>
          <w:tcPr>
            <w:tcW w:type="dxa" w:w="7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Assess. ID</w:t>
            </w:r>
          </w:p>
        </w:tc>
        <w:tc>
          <w:tcPr>
            <w:tcW w:type="dxa" w:w="156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Asset / System</w:t>
            </w:r>
          </w:p>
        </w:tc>
        <w:tc>
          <w:tcPr>
            <w:tcW w:type="dxa" w:w="16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Vulnerability Summary</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Severity</w:t>
            </w:r>
          </w:p>
        </w:tc>
        <w:tc>
          <w:tcPr>
            <w:tcW w:type="dxa" w:w="10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20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Countermeasure</w:t>
            </w:r>
          </w:p>
        </w:tc>
        <w:tc>
          <w:tcPr>
            <w:tcW w:type="dxa" w:w="1340"/>
            <w:tcBorders>
              <w:top w:val="single" w:color="00A896" w:sz="2"/>
              <w:left w:val="single" w:color="00A896" w:sz="2"/>
              <w:bottom w:val="single" w:color="00A896" w:sz="2"/>
              <w:right w:val="single" w:color="00A896" w:sz="2"/>
            </w:tcBorders>
            <w:shd w:fill="00A896"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Closed Date</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F001</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F002</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F003</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F004</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F005</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F006</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F007</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F008</w:t>
            </w:r>
          </w:p>
        </w:tc>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[Asset ID + name]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[One-line description]</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CRIT
☐ HIGH
☐ MED
☐ LOW</w:t>
            </w:r>
          </w:p>
        </w:tc>
        <w:tc>
          <w:tcPr>
            <w:tcW w:type="dxa" w:w="1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Open
☐ In Progress
☐ Accepted
☐ Closed</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[Reference to countermeasure applied]</w:t>
            </w:r>
          </w:p>
        </w:tc>
        <w:tc>
          <w:tcPr>
            <w:tcW w:type="dxa" w:w="1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Assessment Records Index</w:t>
      </w:r>
    </w:p>
    <w:p>
      <w:pPr>
        <w:spacing w:after="60" w:before="60"/>
        <w:jc w:val="left"/>
      </w:pPr>
      <w:r>
        <w:rPr>
          <w:rFonts w:ascii="Arial" w:cs="Arial" w:eastAsia="Arial" w:hAnsi="Arial"/>
          <w:b w:val="false"/>
          <w:bCs w:val="false"/>
          <w:i w:val="false"/>
          <w:iCs w:val="false"/>
          <w:color w:val="1C1C2E"/>
          <w:sz w:val="20"/>
          <w:szCs w:val="20"/>
        </w:rPr>
        <w:t xml:space="preserve">Maintain an index of all physical and digital records associated with each assessment. This enables retrieval during audit and supports evidence of compliance with §4.2.3.13.</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2400"/>
        <w:gridCol w:w="1600"/>
        <w:gridCol w:w="2000"/>
        <w:gridCol w:w="2600"/>
      </w:tblGrid>
      <w:tr>
        <w:tc>
          <w:tcPr>
            <w:tcW w:type="dxa" w:w="7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Assess. ID</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Title</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 / Date</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Storage Location</w:t>
            </w:r>
          </w:p>
        </w:tc>
        <w:tc>
          <w:tcPr>
            <w:tcW w:type="dxa" w:w="2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Access Restrictions</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Detailed Vulnerability Assessment Report — Unit 3 DCS]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  /  DD-MMM-YYYY]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 Physical archive]</w:t>
            </w:r>
          </w:p>
        </w:tc>
        <w:tc>
          <w:tcPr>
            <w:tcW w:type="dxa" w:w="2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Team only / Named individuals]</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Detailed Vulnerability Assessment Report — Unit 3 DCS]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  /  DD-MMM-YYYY]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 Physical archive]</w:t>
            </w:r>
          </w:p>
        </w:tc>
        <w:tc>
          <w:tcPr>
            <w:tcW w:type="dxa" w:w="2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Team only / Named individuals]</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Detailed Vulnerability Assessment Report — Unit 3 DCS]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  /  DD-MMM-YYYY]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 Physical archive]</w:t>
            </w:r>
          </w:p>
        </w:tc>
        <w:tc>
          <w:tcPr>
            <w:tcW w:type="dxa" w:w="2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Team only / Named individuals]</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Detailed Vulnerability Assessment Report — Unit 3 DCS]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  /  DD-MMM-YYYY]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 Physical archive]</w:t>
            </w:r>
          </w:p>
        </w:tc>
        <w:tc>
          <w:tcPr>
            <w:tcW w:type="dxa" w:w="2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Team only / Named individuals]</w:t>
            </w:r>
          </w:p>
        </w:tc>
      </w:tr>
      <w:tr>
        <w:tc>
          <w:tcPr>
            <w:tcW w:type="dxa" w:w="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[VA-001]</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Detailed Vulnerability Assessment Report — Unit 3 DCS]</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[v1.0  /  DD-MMM-YYYY]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[File path / SharePoint / Physical archive]</w:t>
            </w:r>
          </w:p>
        </w:tc>
        <w:tc>
          <w:tcPr>
            <w:tcW w:type="dxa" w:w="2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Team only / Named individuals]</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Periodic Accuracy Review</w:t>
      </w:r>
    </w:p>
    <w:p>
      <w:pPr>
        <w:spacing w:after="60" w:before="60"/>
        <w:jc w:val="left"/>
      </w:pPr>
      <w:r>
        <w:rPr>
          <w:rFonts w:ascii="Arial" w:cs="Arial" w:eastAsia="Arial" w:hAnsi="Arial"/>
          <w:b w:val="false"/>
          <w:bCs w:val="false"/>
          <w:i w:val="false"/>
          <w:iCs w:val="false"/>
          <w:color w:val="1C1C2E"/>
          <w:sz w:val="20"/>
          <w:szCs w:val="20"/>
        </w:rPr>
        <w:t xml:space="preserve">Vulnerability records must be reviewed for continued accuracy on a defined schedule (§4.2.3.14 SHOULD). Record each review below to evidence ongoing maintenance.</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1600"/>
        <w:gridCol w:w="2400"/>
        <w:gridCol w:w="2000"/>
        <w:gridCol w:w="1960"/>
      </w:tblGrid>
      <w:tr>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 Date</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Scope of Review</w:t>
            </w:r>
          </w:p>
        </w:tc>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Findings</w:t>
            </w:r>
          </w:p>
        </w:tc>
        <w:tc>
          <w:tcPr>
            <w:tcW w:type="dxa" w:w="19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Action Taken</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records / Specific systems / Specific assessment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[Records current / Gaps identified / Updates required]</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[Updated records / Reassessment initiated / No action required]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records / Specific systems / Specific assessment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[Records current / Gaps identified / Updates required]</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[Updated records / Reassessment initiated / No action required]</w:t>
            </w:r>
          </w:p>
        </w:tc>
      </w:tr>
      <w:tr>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records / Specific systems / Specific assessment ID]</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[Records current / Gaps identified / Updates required]</w:t>
            </w:r>
          </w:p>
        </w:tc>
        <w:tc>
          <w:tcPr>
            <w:tcW w:type="dxa" w:w="19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[Updated records / Reassessment initiated / No action required]</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 or on trigger]</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 Requirement</w:t>
            </w:r>
          </w:p>
          <w:p>
            <w:pPr>
              <w:spacing w:after="80" w:before="0"/>
            </w:pPr>
            <w:r>
              <w:rPr>
                <w:rFonts w:ascii="Arial" w:cs="Arial" w:eastAsia="Arial" w:hAnsi="Arial"/>
                <w:b w:val="false"/>
                <w:bCs w:val="false"/>
                <w:i w:val="false"/>
                <w:iCs w:val="false"/>
                <w:color w:val="455A64"/>
                <w:sz w:val="19"/>
                <w:szCs w:val="19"/>
              </w:rPr>
              <w:t xml:space="preserve">All amendments to this document must be recorded below. No change is valid without written approval from the document owner. Superseded versions are archived and retained for a minimum of five years in accordance with the organisation's records retention policy.</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  ·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Vulnerability Assessment Records — Lifecycle Log</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CSMS-RA-010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2026-05-07T04:42:41.763Z</dcterms:created>
  <dcterms:modified xsi:type="dcterms:W3CDTF">2026-05-07T04:42:41.763Z</dcterms:modified>
</cp:coreProperties>
</file>

<file path=docProps/custom.xml><?xml version="1.0" encoding="utf-8"?>
<Properties xmlns="http://schemas.openxmlformats.org/officeDocument/2006/custom-properties" xmlns:vt="http://schemas.openxmlformats.org/officeDocument/2006/docPropsVTypes"/>
</file>