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status-report"/>
    <w:p>
      <w:pPr>
        <w:pStyle w:val="Heading1"/>
      </w:pPr>
      <w:r>
        <w:t xml:space="preserve">Project Status Report</w:t>
      </w:r>
    </w:p>
    <w:bookmarkStart w:id="1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an overview of the</w:t>
      </w:r>
      <w:r>
        <w:t xml:space="preserve"> </w:t>
      </w:r>
      <w:r>
        <w:rPr>
          <w:b/>
          <w:bCs/>
        </w:rPr>
        <w:t xml:space="preserve">ConstructionProjectA</w:t>
      </w:r>
      <w:r>
        <w:t xml:space="preserve"> </w:t>
      </w:r>
      <w:r>
        <w:t xml:space="preserve">progress for Q1 2026. Overall the project is</w:t>
      </w:r>
      <w:r>
        <w:t xml:space="preserve"> </w:t>
      </w:r>
      <w:r>
        <w:rPr>
          <w:i/>
          <w:iCs/>
        </w:rPr>
        <w:t xml:space="preserve">on track</w:t>
      </w:r>
      <w:r>
        <w:t xml:space="preserve"> </w:t>
      </w:r>
      <w:r>
        <w:t xml:space="preserve">with minor delays in the electrical subsystem.</w:t>
      </w:r>
    </w:p>
    <w:bookmarkEnd w:id="16"/>
    <w:bookmarkStart w:id="20" w:name="timeline-overview"/>
    <w:p>
      <w:pPr>
        <w:pStyle w:val="Heading2"/>
      </w:pPr>
      <w:r>
        <w:t xml:space="preserve">Timeline Overview</w:t>
      </w:r>
    </w:p>
    <w:bookmarkStart w:id="17" w:name="phase-1-foundation"/>
    <w:p>
      <w:pPr>
        <w:pStyle w:val="Heading3"/>
      </w:pPr>
      <w:r>
        <w:t xml:space="preserve">Phase 1: Foundation</w:t>
      </w:r>
    </w:p>
    <w:p>
      <w:pPr>
        <w:pStyle w:val="FirstParagraph"/>
      </w:pPr>
      <w:r>
        <w:t xml:space="preserve">The foundation work has been completed ahead of schedule. All concrete pours passed quality inspection on the first attempt.</w:t>
      </w:r>
    </w:p>
    <w:bookmarkEnd w:id="17"/>
    <w:bookmarkStart w:id="18" w:name="phase-2-structural-framework"/>
    <w:p>
      <w:pPr>
        <w:pStyle w:val="Heading3"/>
      </w:pPr>
      <w:r>
        <w:t xml:space="preserve">Phase 2: Structural Framework</w:t>
      </w:r>
    </w:p>
    <w:p>
      <w:pPr>
        <w:pStyle w:val="FirstParagraph"/>
      </w:pPr>
      <w:r>
        <w:t xml:space="preserve">Steel framework is 85% complete. Remaining work includes:</w:t>
      </w:r>
    </w:p>
    <w:p>
      <w:pPr>
        <w:pStyle w:val="Compact"/>
        <w:numPr>
          <w:ilvl w:val="0"/>
          <w:numId w:val="1001"/>
        </w:numPr>
      </w:pPr>
      <w:r>
        <w:t xml:space="preserve">North wing upper floor beams</w:t>
      </w:r>
    </w:p>
    <w:p>
      <w:pPr>
        <w:pStyle w:val="Compact"/>
        <w:numPr>
          <w:ilvl w:val="0"/>
          <w:numId w:val="1001"/>
        </w:numPr>
      </w:pPr>
      <w:r>
        <w:t xml:space="preserve">Elevator shaft reinforcement</w:t>
      </w:r>
    </w:p>
    <w:p>
      <w:pPr>
        <w:pStyle w:val="Compact"/>
        <w:numPr>
          <w:ilvl w:val="0"/>
          <w:numId w:val="1001"/>
        </w:numPr>
      </w:pPr>
      <w:r>
        <w:t xml:space="preserve">Roof truss installation</w:t>
      </w:r>
    </w:p>
    <w:bookmarkEnd w:id="18"/>
    <w:bookmarkStart w:id="19" w:name="phase-3-systems-installation"/>
    <w:p>
      <w:pPr>
        <w:pStyle w:val="Heading3"/>
      </w:pPr>
      <w:r>
        <w:t xml:space="preserve">Phase 3: Systems Installation</w:t>
      </w:r>
    </w:p>
    <w:p>
      <w:pPr>
        <w:pStyle w:val="FirstParagraph"/>
      </w:pPr>
      <w:r>
        <w:t xml:space="preserve">Planned systems include:</w:t>
      </w:r>
    </w:p>
    <w:p>
      <w:pPr>
        <w:pStyle w:val="Compact"/>
        <w:numPr>
          <w:ilvl w:val="0"/>
          <w:numId w:val="1002"/>
        </w:numPr>
      </w:pPr>
      <w:r>
        <w:t xml:space="preserve">Electrical wiring and panel installation</w:t>
      </w:r>
    </w:p>
    <w:p>
      <w:pPr>
        <w:pStyle w:val="Compact"/>
        <w:numPr>
          <w:ilvl w:val="0"/>
          <w:numId w:val="1002"/>
        </w:numPr>
      </w:pPr>
      <w:r>
        <w:t xml:space="preserve">HVAC ductwork and unit placement</w:t>
      </w:r>
    </w:p>
    <w:p>
      <w:pPr>
        <w:pStyle w:val="Compact"/>
        <w:numPr>
          <w:ilvl w:val="0"/>
          <w:numId w:val="1002"/>
        </w:numPr>
      </w:pPr>
      <w:r>
        <w:t xml:space="preserve">Plumbing rough-in and fixtures</w:t>
      </w:r>
    </w:p>
    <w:p>
      <w:pPr>
        <w:pStyle w:val="Compact"/>
        <w:numPr>
          <w:ilvl w:val="0"/>
          <w:numId w:val="1002"/>
        </w:numPr>
      </w:pPr>
      <w:r>
        <w:t xml:space="preserve">Fire suppression system</w:t>
      </w:r>
    </w:p>
    <w:bookmarkEnd w:id="19"/>
    <w:bookmarkEnd w:id="20"/>
    <w:bookmarkStart w:id="21" w:name="budget-summary"/>
    <w:p>
      <w:pPr>
        <w:pStyle w:val="Heading2"/>
      </w:pPr>
      <w:r>
        <w:t xml:space="preserve">Budget Summary</w:t>
      </w:r>
    </w:p>
    <w:tbl>
      <w:tblPr>
        <w:tblStyle w:val="Table 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€250,000</w:t>
            </w:r>
          </w:p>
        </w:tc>
        <w:tc>
          <w:tcPr/>
          <w:p>
            <w:pPr>
              <w:pStyle w:val="Compact"/>
            </w:pPr>
            <w:r>
              <w:t xml:space="preserve">€243,500</w:t>
            </w:r>
          </w:p>
        </w:tc>
        <w:tc>
          <w:tcPr/>
          <w:p>
            <w:pPr>
              <w:pStyle w:val="Compact"/>
            </w:pPr>
            <w:r>
              <w:t xml:space="preserve">-€6,500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€890,000</w:t>
            </w:r>
          </w:p>
        </w:tc>
        <w:tc>
          <w:tcPr/>
          <w:p>
            <w:pPr>
              <w:pStyle w:val="Compact"/>
            </w:pPr>
            <w:r>
              <w:t xml:space="preserve">€912,000</w:t>
            </w:r>
          </w:p>
        </w:tc>
        <w:tc>
          <w:tcPr/>
          <w:p>
            <w:pPr>
              <w:pStyle w:val="Compact"/>
            </w:pPr>
            <w:r>
              <w:t xml:space="preserve">+€22,000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€340,000</w:t>
            </w:r>
          </w:p>
        </w:tc>
        <w:tc>
          <w:tcPr/>
          <w:p>
            <w:pPr>
              <w:pStyle w:val="Compact"/>
            </w:pPr>
            <w:r>
              <w:t xml:space="preserve">€185,000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HVAC</w:t>
            </w:r>
          </w:p>
        </w:tc>
        <w:tc>
          <w:tcPr/>
          <w:p>
            <w:pPr>
              <w:pStyle w:val="Compact"/>
            </w:pPr>
            <w:r>
              <w:t xml:space="preserve">€275,000</w:t>
            </w:r>
          </w:p>
        </w:tc>
        <w:tc>
          <w:tcPr/>
          <w:p>
            <w:pPr>
              <w:pStyle w:val="Compact"/>
            </w:pPr>
            <w:r>
              <w:t xml:space="preserve">€45,000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Plumbing</w:t>
            </w:r>
          </w:p>
        </w:tc>
        <w:tc>
          <w:tcPr/>
          <w:p>
            <w:pPr>
              <w:pStyle w:val="Compact"/>
            </w:pPr>
            <w:r>
              <w:t xml:space="preserve">€180,000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€1,935,000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€1,385,500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risk-assessment"/>
    <w:p>
      <w:pPr>
        <w:pStyle w:val="Heading2"/>
      </w:pPr>
      <w:r>
        <w:t xml:space="preserve">Risk Assessment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delivery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Pre-ordered steel for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 disruptions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Indoor work scheduled for winter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Subcontractor availability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Contracts signed with backup firms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 delays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All permits filed 60 days in advance</w:t>
            </w:r>
          </w:p>
        </w:tc>
      </w:tr>
    </w:tbl>
    <w:bookmarkEnd w:id="22"/>
    <w:bookmarkStart w:id="23" w:name="key-decisions-required"/>
    <w:p>
      <w:pPr>
        <w:pStyle w:val="Heading2"/>
      </w:pPr>
      <w:r>
        <w:t xml:space="preserve">Key Decisions Required</w:t>
      </w:r>
    </w:p>
    <w:p>
      <w:pPr>
        <w:pStyle w:val="BlockText"/>
      </w:pPr>
      <w:r>
        <w:t xml:space="preserve">The project steering committee needs to approve the revised electrical plan by March 15th to avoid schedule impact on Phase 3 systems installation.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Complete north wing beam installation by Feb 28</w:t>
      </w:r>
    </w:p>
    <w:p>
      <w:pPr>
        <w:pStyle w:val="Compact"/>
        <w:numPr>
          <w:ilvl w:val="0"/>
          <w:numId w:val="1003"/>
        </w:numPr>
      </w:pPr>
      <w:r>
        <w:t xml:space="preserve">Begin electrical rough-in on March 1</w:t>
      </w:r>
    </w:p>
    <w:p>
      <w:pPr>
        <w:pStyle w:val="Compact"/>
        <w:numPr>
          <w:ilvl w:val="0"/>
          <w:numId w:val="1003"/>
        </w:numPr>
      </w:pPr>
      <w:r>
        <w:t xml:space="preserve">Schedule HVAC contractor kickoff meeting</w:t>
      </w:r>
    </w:p>
    <w:p>
      <w:pPr>
        <w:pStyle w:val="Compact"/>
        <w:numPr>
          <w:ilvl w:val="0"/>
          <w:numId w:val="1003"/>
        </w:numPr>
      </w:pPr>
      <w:r>
        <w:t xml:space="preserve">Submit Phase 3 permit amendments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 the Project Management Office — February 2026</w:t>
      </w:r>
    </w:p>
    <w:bookmarkEnd w:id="24"/>
    <w:bookmarkEnd w:id="25"/>
    <w:sectPr>
      <w:headerReference r:id="rId6" w:type="default"/>
      <w:footerReference r:id="rId7" w:type="default"/>
      <w:pgSz w:h="16838" w:orient="portrait" w:w="11906"/>
      <w:pgMar w:bottom="1440" w:footer="708" w:gutter="0" w:header="708" w:left="1440" w:right="1440" w:top="1440"/>
      <w:pgNumType w:fmt="decimal"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center" w:pos="4513"/>
        <w:tab w:val="right" w:pos="9026"/>
      </w:tabs>
      <w:spacing w:before="200"/>
    </w:pPr>
    <w:r>
      <w:rPr>
        <w:rFonts w:ascii="Calibri" w:cs="Calibri" w:eastAsia="Calibri" w:hAnsi="Calibri"/>
        <w:color w:val="666666"/>
        <w:sz w:val="16"/>
        <w:szCs w:val="16"/>
      </w:rPr>
      <w:t xml:space="preserve">Generated by SharePoint MCP</w:t>
    </w:r>
    <w: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200"/>
      <w:jc w:val="right"/>
    </w:pPr>
    <w:r>
      <w:rPr>
        <w:rFonts w:ascii="Calibri" w:cs="Calibri" w:eastAsia="Calibri" w:hAnsi="Calibri"/>
        <w:b/>
        <w:bCs/>
        <w:caps/>
        <w:color w:val="666666"/>
        <w:sz w:val="16"/>
        <w:szCs w:val="16"/>
      </w:rPr>
      <w:t xml:space="preserve">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pPr>
      <w:spacing w:after="300"/>
      <w:jc w:val="left"/>
    </w:pPr>
    <w:rPr>
      <w:rFonts w:ascii="Calibri Light" w:cs="Calibri Light" w:eastAsia="Calibri Light" w:hAnsi="Calibri Light"/>
      <w:b/>
      <w:bCs/>
      <w:color w:val="1F4E79"/>
      <w:sz w:val="64"/>
      <w:szCs w:val="64"/>
    </w:rPr>
  </w:style>
  <w:style w:styleId="Heading1" w:type="paragraph">
    <w:name w:val="Heading 1"/>
    <w:basedOn w:val="Normal"/>
    <w:next w:val="Normal"/>
    <w:qFormat/>
    <w:pPr>
      <w:pBdr>
        <w:bottom w:color="1F4E79" w:space="4" w:sz="8" w:val="single"/>
      </w:pBdr>
      <w:spacing w:after="200" w:before="360"/>
    </w:pPr>
    <w:rPr>
      <w:rFonts w:ascii="Calibri Light" w:cs="Calibri Light" w:eastAsia="Calibri Light" w:hAnsi="Calibri Light"/>
      <w:b/>
      <w:bCs/>
      <w:color w:val="1F4E79"/>
      <w:sz w:val="52"/>
      <w:szCs w:val="52"/>
    </w:rPr>
  </w:style>
  <w:style w:styleId="Heading2" w:type="paragraph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styleId="Heading3" w:type="paragraph">
    <w:name w:val="Heading 3"/>
    <w:basedOn w:val="Normal"/>
    <w:next w:val="Normal"/>
    <w:qFormat/>
    <w:pPr>
      <w:spacing w:after="80" w:before="200"/>
    </w:pPr>
    <w:rPr>
      <w:rFonts w:ascii="Calibri Light" w:cs="Calibri Light" w:eastAsia="Calibri Light" w:hAnsi="Calibri Light"/>
      <w:b/>
      <w:bCs/>
      <w:color w:val="2E2E2E"/>
      <w:sz w:val="28"/>
      <w:szCs w:val="28"/>
    </w:rPr>
  </w:style>
  <w:style w:styleId="Heading4" w:type="paragraph">
    <w:name w:val="Heading 4"/>
    <w:basedOn w:val="Normal"/>
    <w:next w:val="Normal"/>
    <w:qFormat/>
    <w:pPr>
      <w:spacing w:after="80" w:before="160"/>
    </w:pPr>
    <w:rPr>
      <w:rFonts w:ascii="Calibri Light" w:cs="Calibri Light" w:eastAsia="Calibri Light" w:hAnsi="Calibri Light"/>
      <w:b/>
      <w:bCs/>
      <w:i/>
      <w:iCs/>
      <w:color w:val="666666"/>
      <w:sz w:val="24"/>
      <w:szCs w:val="24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  <w:pPr>
      <w:spacing w:after="60"/>
    </w:pPr>
    <w:rPr>
      <w:rFonts w:ascii="Calibri" w:cs="Calibri" w:eastAsia="Calibri" w:hAnsi="Calibri"/>
      <w:sz w:val="22"/>
      <w:szCs w:val="22"/>
    </w:rPr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Subtitle" w:type="paragraph">
    <w:name w:val="Subtitle"/>
    <w:basedOn w:val="Normal"/>
    <w:next w:val="Normal"/>
    <w:pPr>
      <w:spacing w:after="200"/>
    </w:pPr>
    <w:rPr>
      <w:rFonts w:ascii="Calibri Light" w:cs="Calibri Light" w:eastAsia="Calibri Light" w:hAnsi="Calibri Light"/>
      <w:i/>
      <w:iCs/>
      <w:color w:val="666666"/>
      <w:sz w:val="28"/>
      <w:szCs w:val="28"/>
    </w:rPr>
  </w:style>
  <w:style w:styleId="Quote" w:type="paragraph">
    <w:name w:val="Quote"/>
    <w:basedOn w:val="Normal"/>
    <w:next w:val="Normal"/>
    <w:pPr>
      <w:pBdr>
        <w:left w:color="1F4E79" w:space="8" w:sz="12" w:val="single"/>
      </w:pBdr>
      <w:spacing w:after="120" w:before="120"/>
      <w:ind w:left="720" w:right="720"/>
    </w:pPr>
    <w:rPr>
      <w:i/>
      <w:iCs/>
      <w:color w:val="666666"/>
    </w:rPr>
  </w:style>
  <w:style xmlns:w="http://schemas.openxmlformats.org/wordprocessingml/2006/main"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xmlns:w="http://schemas.openxmlformats.org/wordprocessingml/2006/main" w:styleId="Table Grid" w:type="table">
    <w:name w:val="Table Grid"/>
    <w:basedOn w:val="TableNormal"/>
    <w:uiPriority w:val="39"/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  <w:tblStylePr w:type="band1Horz">
      <w:tcPr>
        <w:shd w:color="auto" w:fill="D6E4F0" w:val="clear"/>
      </w:tcPr>
    </w:tblStylePr>
    <w:tblStylePr w:type="band2Horz">
      <w:tcPr>
        <w:shd w:color="auto" w:fill="FFFFF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2026-02-13T08:32:13Z</dcterms:created>
  <dcterms:modified xsi:type="dcterms:W3CDTF">2026-02-13T08:32:13Z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