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Center"/>
      </w:pPr>
      <w:r>
        <w:rPr>
          <w:b w:val="false"/>
          <w:bCs w:val="false"/>
        </w:rPr>
        <w:t xml:space="preserve">Национальный исследовательский университет «Высшая школа экономики»</w:t>
      </w:r>
    </w:p>
    <w:p>
      <w:pPr>
        <w:pStyle w:val="TitleCenter"/>
      </w:pPr>
      <w:r>
        <w:rPr>
          <w:b w:val="false"/>
          <w:bCs w:val="false"/>
        </w:rPr>
        <w:t xml:space="preserve">Московский институт электроники и математики им. А.Н. Тихонова</w:t>
      </w:r>
    </w:p>
    <w:p>
      <w:pPr>
        <w:pStyle w:val="TitleCenter"/>
      </w:pPr>
    </w:p>
    <w:p>
      <w:pPr>
        <w:pStyle w:val="TitleCenter"/>
      </w:pPr>
    </w:p>
    <w:p>
      <w:pPr>
        <w:pStyle w:val="TitleCenter"/>
      </w:pPr>
    </w:p>
    <w:p>
      <w:pPr>
        <w:pStyle w:val="TitleCenter"/>
      </w:pPr>
      <w:r>
        <w:rPr>
          <w:b/>
          <w:bCs/>
        </w:rPr>
        <w:t xml:space="preserve">УТВЕРЖДАЮ</w:t>
      </w:r>
    </w:p>
    <w:p>
      <w:pPr>
        <w:pStyle w:val="TitleCenter"/>
      </w:pPr>
      <w:r>
        <w:rPr>
          <w:b w:val="false"/>
          <w:bCs w:val="false"/>
        </w:rPr>
        <w:t xml:space="preserve">Руководитель дисциплины</w:t>
      </w:r>
    </w:p>
    <w:p>
      <w:pPr>
        <w:pStyle w:val="TitleCenter"/>
      </w:pPr>
      <w:r>
        <w:rPr>
          <w:b w:val="false"/>
          <w:bCs w:val="false"/>
        </w:rPr>
        <w:t xml:space="preserve">«Технологии разработки программного обеспечения»</w:t>
      </w:r>
    </w:p>
    <w:p>
      <w:pPr>
        <w:pStyle w:val="TitleCenter"/>
      </w:pPr>
      <w:r>
        <w:rPr>
          <w:b w:val="false"/>
          <w:bCs w:val="false"/>
        </w:rPr>
        <w:t xml:space="preserve">______________ /______________/</w:t>
      </w:r>
    </w:p>
    <w:p>
      <w:pPr>
        <w:pStyle w:val="TitleCenter"/>
      </w:pPr>
      <w:r>
        <w:rPr>
          <w:b w:val="false"/>
          <w:bCs w:val="false"/>
        </w:rPr>
        <w:t xml:space="preserve">«____» ______________ 2026 г.</w:t>
      </w:r>
    </w:p>
    <w:p>
      <w:pPr>
        <w:pStyle w:val="TitleCenter"/>
      </w:pPr>
    </w:p>
    <w:p>
      <w:pPr>
        <w:pStyle w:val="TitleCenter"/>
      </w:pPr>
    </w:p>
    <w:p>
      <w:pPr>
        <w:pStyle w:val="TitleCenter"/>
      </w:pPr>
    </w:p>
    <w:p>
      <w:pPr>
        <w:pStyle w:val="TitleCenter"/>
      </w:pPr>
      <w:r>
        <w:rPr>
          <w:b/>
          <w:bCs/>
        </w:rPr>
        <w:t xml:space="preserve">СИСТЕМА ИНТЕЛЛЕКТУАЛЬНОГО ПОИСКА ДУБЛИКАТОВ</w:t>
      </w:r>
    </w:p>
    <w:p>
      <w:pPr>
        <w:pStyle w:val="TitleCenter"/>
      </w:pPr>
      <w:r>
        <w:rPr>
          <w:b/>
          <w:bCs/>
        </w:rPr>
        <w:t xml:space="preserve">ОБРАЩЕНИЙ В ТЕХНИЧЕСКУЮ ПОДДЕРЖКУ</w:t>
      </w:r>
    </w:p>
    <w:p>
      <w:pPr>
        <w:pStyle w:val="TitleCenter"/>
      </w:pPr>
    </w:p>
    <w:p>
      <w:pPr>
        <w:pStyle w:val="TitleCenter"/>
      </w:pPr>
      <w:r>
        <w:rPr>
          <w:b/>
          <w:bCs/>
        </w:rPr>
        <w:t xml:space="preserve">ТЕХНИЧЕСКОЕ ЗАДАНИЕ</w:t>
      </w:r>
    </w:p>
    <w:p>
      <w:pPr>
        <w:pStyle w:val="TitleCenter"/>
      </w:pPr>
    </w:p>
    <w:p>
      <w:pPr>
        <w:pStyle w:val="TitleCenter"/>
      </w:pPr>
      <w:r>
        <w:rPr>
          <w:b w:val="false"/>
          <w:bCs w:val="false"/>
        </w:rPr>
        <w:t xml:space="preserve">СПДО.001.ТЗ</w:t>
      </w:r>
    </w:p>
    <w:p>
      <w:pPr>
        <w:pStyle w:val="TitleCenter"/>
      </w:pPr>
      <w:r>
        <w:rPr>
          <w:b w:val="false"/>
          <w:bCs w:val="false"/>
        </w:rPr>
        <w:t xml:space="preserve">Листов 40</w:t>
      </w:r>
    </w:p>
    <w:p>
      <w:pPr>
        <w:pStyle w:val="TitleCenter"/>
      </w:pPr>
    </w:p>
    <w:p>
      <w:pPr>
        <w:pStyle w:val="TitleCenter"/>
      </w:pPr>
    </w:p>
    <w:p>
      <w:pPr>
        <w:pStyle w:val="TitleLeft"/>
      </w:pPr>
      <w:r>
        <w:rPr>
          <w:b/>
          <w:bCs/>
        </w:rPr>
        <w:t xml:space="preserve">СОГЛАСОВАНО</w:t>
      </w:r>
    </w:p>
    <w:p>
      <w:pPr>
        <w:pStyle w:val="TitleLeft"/>
      </w:pPr>
      <w:r>
        <w:rPr>
          <w:b w:val="false"/>
          <w:bCs w:val="false"/>
        </w:rPr>
        <w:t xml:space="preserve">Руководитель проекта, инженер по тестированию</w:t>
      </w:r>
    </w:p>
    <w:p>
      <w:pPr>
        <w:pStyle w:val="TitleLeft"/>
      </w:pPr>
      <w:r>
        <w:rPr>
          <w:b w:val="false"/>
          <w:bCs w:val="false"/>
        </w:rPr>
        <w:t xml:space="preserve">______________ Д.С. Красавин</w:t>
      </w:r>
    </w:p>
    <w:p>
      <w:pPr>
        <w:pStyle w:val="TitleLeft"/>
      </w:pPr>
      <w:r>
        <w:rPr>
          <w:b w:val="false"/>
          <w:bCs w:val="false"/>
        </w:rPr>
        <w:t xml:space="preserve">«____» ______________ 2026 г.</w:t>
      </w:r>
    </w:p>
    <w:p>
      <w:pPr>
        <w:pStyle w:val="TitleLeft"/>
        <w:spacing w:before="200"/>
      </w:pPr>
      <w:r>
        <w:rPr>
          <w:b w:val="false"/>
          <w:bCs w:val="false"/>
        </w:rPr>
        <w:t xml:space="preserve">Разработчик, технический писатель</w:t>
      </w:r>
    </w:p>
    <w:p>
      <w:pPr>
        <w:pStyle w:val="TitleLeft"/>
      </w:pPr>
      <w:r>
        <w:rPr>
          <w:b w:val="false"/>
          <w:bCs w:val="false"/>
        </w:rPr>
        <w:t xml:space="preserve">______________ В.А. Елькин</w:t>
      </w:r>
    </w:p>
    <w:p>
      <w:pPr>
        <w:pStyle w:val="TitleLeft"/>
      </w:pPr>
      <w:r>
        <w:rPr>
          <w:b w:val="false"/>
          <w:bCs w:val="false"/>
        </w:rPr>
        <w:t xml:space="preserve">«____» ______________ 2026 г.</w:t>
      </w:r>
    </w:p>
    <w:p>
      <w:pPr>
        <w:sectPr>
          <w:footerReference w:type="default" r:id="rId7"/>
          <w:pgSz w:w="11906" w:h="16838" w:orient="portrait"/>
          <w:pgMar w:top="1133" w:right="850" w:bottom="1133" w:left="17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 Наименование и область применения</w:t>
      </w:r>
    </w:p>
    <w:p>
      <w:pPr>
        <w:pStyle w:val="Heading2"/>
      </w:pPr>
      <w:r>
        <w:t xml:space="preserve">1.1 Наименование программы</w:t>
      </w:r>
    </w:p>
    <w:p>
      <w:r>
        <w:rPr>
          <w:b w:val="false"/>
          <w:bCs w:val="false"/>
          <w:i w:val="false"/>
          <w:iCs w:val="false"/>
        </w:rPr>
        <w:t xml:space="preserve">Полное наименование программы — «Система интеллектуального поиска дубликатов обращений в техническую поддержку», далее по тексту — «система» или «программа».</w:t>
      </w:r>
    </w:p>
    <w:p>
      <w:r>
        <w:rPr>
          <w:b w:val="false"/>
          <w:bCs w:val="false"/>
          <w:i w:val="false"/>
          <w:iCs w:val="false"/>
        </w:rPr>
        <w:t xml:space="preserve">Краткое наименование — СПДО. Обозначение комплекта документации — СПДО.001.</w:t>
      </w:r>
    </w:p>
    <w:p>
      <w:pPr>
        <w:pStyle w:val="Heading2"/>
      </w:pPr>
      <w:r>
        <w:t xml:space="preserve">1.2 Область применения</w:t>
      </w:r>
    </w:p>
    <w:p>
      <w:r>
        <w:rPr>
          <w:b w:val="false"/>
          <w:bCs w:val="false"/>
          <w:i w:val="false"/>
          <w:iCs w:val="false"/>
        </w:rPr>
        <w:t xml:space="preserve">Система применяется в службах технической поддержки информационных систем организаций и учебных заведений, в которых регистрация обращений пользователей ведётся в свободной текстовой форме и наблюдается повторная регистрация обращений об одной и той же неисправности.</w:t>
      </w:r>
    </w:p>
    <w:p>
      <w:r>
        <w:rPr>
          <w:b w:val="false"/>
          <w:bCs w:val="false"/>
          <w:i w:val="false"/>
          <w:iCs w:val="false"/>
        </w:rPr>
        <w:t xml:space="preserve">Система рассчитана на реестр обращений объёмом до 10 000 записей и на одновременную работу до 10 пользователей.</w:t>
      </w:r>
    </w:p>
    <w:p>
      <w:r>
        <w:rPr>
          <w:b w:val="false"/>
          <w:bCs w:val="false"/>
          <w:i w:val="false"/>
          <w:iCs w:val="false"/>
        </w:rPr>
        <w:t xml:space="preserve">Система не является системой управления задачами. В область применения первой версии не входят: мобильное приложение; управление спринтами, трудозатратами и проектными задачами; обучение собственной языковой модели; автоматическое закрытие обращений без участия человека; интеграция с электронной почтой, мессенджерами и внешними helpdesk-системами; обработка голосовых обращений; генерация ответов с помощью больших языковых моделей; микросервисная инфраструктура; автоматическое дообучение модели на пользовательских данных.</w:t>
      </w:r>
    </w:p>
    <w:p>
      <w:pPr>
        <w:pStyle w:val="Heading2"/>
      </w:pPr>
      <w:r>
        <w:t xml:space="preserve">1.3 Термины и определения</w:t>
      </w:r>
    </w:p>
    <w:p>
      <w:r>
        <w:rPr>
          <w:b w:val="false"/>
          <w:bCs w:val="false"/>
          <w:i w:val="false"/>
          <w:iCs w:val="false"/>
        </w:rPr>
        <w:t xml:space="preserve">В настоящем техническом задании применяются следующие термины: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обращение — зарегистрированное сообщение пользователя о проблеме, содержащее заголовок, описание, категорию, компонент, статус и, при наличии, решение;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черновик — обращение, введённое пользователем, но ещё не зарегистрированное в реестре;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дубликат — обращение, описывающее ту же неисправность, что и сравниваемое обращение, иными словами;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связанное обращение — обращение, описывающее иную неисправность, имеющую с сравниваемым обращением общую причину, компонент или контекст;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независимое обращение — обращение, не являющееся ни дубликатом, ни связанным;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основное обращение — обращение, к которому отнесены дубликаты; его решение распространяется на дубликаты;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конфиденциальное обращение — обращение, помеченное оператором как не подлежащее показу в рекомендациях посторонним пользователям;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сеанс поиска — однократный запуск подбора похожих обращений для заданного текста с фиксацией параметров и версии модели;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рекомендация — сформированное системой предложение установить связь между двумя обращениями с указанием коэффициента сходства;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коэффициент сходства — числовая оценка близости двух обращений в диапазоне от 0 до 1;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порог сходства — граничное значение коэффициента сходства, при превышении которого рекомендация выводится оператору;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векторное представление (эмбеддинг) — числовой вектор фиксированной размерности, сопоставленный тексту обращения моделью обработки естественного языка;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эталонный набор — размеченный вручную набор обращений, разделённый на настроечную и проверочную части; проверочная часть используется только для измерения показателей качества.</w:t>
      </w:r>
    </w:p>
    <w:p>
      <w:pPr>
        <w:pStyle w:val="Heading1"/>
      </w:pPr>
      <w:r>
        <w:t xml:space="preserve">2 Основание для разработки</w:t>
      </w:r>
    </w:p>
    <w:p>
      <w:pPr>
        <w:pStyle w:val="Heading2"/>
      </w:pPr>
      <w:r>
        <w:t xml:space="preserve">2.1 Документ, на основании которого ведётся разработка</w:t>
      </w:r>
    </w:p>
    <w:p>
      <w:r>
        <w:rPr>
          <w:b w:val="false"/>
          <w:bCs w:val="false"/>
          <w:i w:val="false"/>
          <w:iCs w:val="false"/>
        </w:rPr>
        <w:t xml:space="preserve">Разработка ведётся на основании задания на командный проект по дисциплине «Технологии разработки программного обеспечения» образовательной программы МИЭМ НИУ ВШЭ и технических требований СПДО.001.ТТ.</w:t>
      </w:r>
    </w:p>
    <w:p>
      <w:pPr>
        <w:pStyle w:val="Heading2"/>
      </w:pPr>
      <w:r>
        <w:t xml:space="preserve">2.2 Организация, утвердившая основание, и дата утверждения</w:t>
      </w:r>
    </w:p>
    <w:p>
      <w:r>
        <w:rPr>
          <w:b w:val="false"/>
          <w:bCs w:val="false"/>
          <w:i w:val="false"/>
          <w:iCs w:val="false"/>
        </w:rPr>
        <w:t xml:space="preserve">Задание утверждено руководителем дисциплины «Технологии разработки программного обеспечения» МИЭМ НИУ ВШЭ.</w:t>
      </w:r>
    </w:p>
    <w:p>
      <w:pPr>
        <w:pStyle w:val="Heading2"/>
      </w:pPr>
      <w:r>
        <w:t xml:space="preserve">2.3 Наименование темы разработки</w:t>
      </w:r>
    </w:p>
    <w:p>
      <w:r>
        <w:rPr>
          <w:b w:val="false"/>
          <w:bCs w:val="false"/>
          <w:i w:val="false"/>
          <w:iCs w:val="false"/>
        </w:rPr>
        <w:t xml:space="preserve">«Разработка системы интеллектуального поиска дубликатов обращений в техническую поддержку».</w:t>
      </w:r>
    </w:p>
    <w:p>
      <w:pPr>
        <w:pStyle w:val="Heading2"/>
      </w:pPr>
      <w:r>
        <w:t xml:space="preserve">2.4 Исполнители</w:t>
      </w:r>
    </w:p>
    <w:p>
      <w:r>
        <w:rPr>
          <w:b w:val="false"/>
          <w:bCs w:val="false"/>
          <w:i w:val="false"/>
          <w:iCs w:val="false"/>
        </w:rPr>
        <w:t xml:space="preserve">Работа выполняется проектной группой в составе: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Красавин Даниил Сергеевич — руководитель проекта, инженер по тестированию;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Елькин Вадим Алексеевич — разработчик, технический писатель.</w:t>
      </w:r>
    </w:p>
    <w:p>
      <w:pPr>
        <w:pStyle w:val="Heading1"/>
      </w:pPr>
      <w:r>
        <w:t xml:space="preserve">3 Назначение разработки</w:t>
      </w:r>
    </w:p>
    <w:p>
      <w:pPr>
        <w:pStyle w:val="Heading2"/>
      </w:pPr>
      <w:r>
        <w:t xml:space="preserve">3.1 Функциональное назначение</w:t>
      </w:r>
    </w:p>
    <w:p>
      <w:r>
        <w:rPr>
          <w:b w:val="false"/>
          <w:bCs w:val="false"/>
          <w:i w:val="false"/>
          <w:iCs w:val="false"/>
        </w:rPr>
        <w:t xml:space="preserve">Система предназначена для ведения реестра обращений в службу технической поддержки и для автоматического подбора ранее зарегистрированных обращений, семантически близких к вновь создаваемому, с последующим принятием решения оператором.</w:t>
      </w:r>
    </w:p>
    <w:p>
      <w:r>
        <w:rPr>
          <w:b w:val="false"/>
          <w:bCs w:val="false"/>
          <w:i w:val="false"/>
          <w:iCs w:val="false"/>
        </w:rPr>
        <w:t xml:space="preserve">Система не принимает решения о связывании обращений самостоятельно: она формирует ранжированный список кандидатов, а окончательное решение принимает пользователь или оператор технической поддержки. Такой порядок обеспечивает проверяемость результата и снижает влияние ошибок алгоритма на данные реестра.</w:t>
      </w:r>
    </w:p>
    <w:p>
      <w:r>
        <w:rPr>
          <w:b w:val="false"/>
          <w:bCs w:val="false"/>
          <w:i w:val="false"/>
          <w:iCs w:val="false"/>
        </w:rPr>
        <w:t xml:space="preserve">Основная техническая ценность системы — замкнутый цикл: подбор кандидатов, решение человека, сохранение обратной связи, измерение качества алгоритма.</w:t>
      </w:r>
    </w:p>
    <w:p>
      <w:pPr>
        <w:pStyle w:val="Heading2"/>
      </w:pPr>
      <w:r>
        <w:t xml:space="preserve">3.2 Эксплуатационное назначение</w:t>
      </w:r>
    </w:p>
    <w:p>
      <w:r>
        <w:rPr>
          <w:b w:val="false"/>
          <w:bCs w:val="false"/>
          <w:i w:val="false"/>
          <w:iCs w:val="false"/>
        </w:rPr>
        <w:t xml:space="preserve">Система эксплуатируется персоналом службы технической поддержки и пользователями информационной системы. Специальная подготовка пользователей не требуется; для операторов достаточно ознакомления с руководством оператора.</w:t>
      </w:r>
    </w:p>
    <w:p>
      <w:pPr>
        <w:pStyle w:val="Heading2"/>
      </w:pPr>
      <w:r>
        <w:t xml:space="preserve">3.3 Цели разработки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сокращение числа повторно регистрируемых обращений об одной и той же неисправности;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сокращение времени поиска ранее найденного решения аналогичной проблемы;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обеспечение объективной измеримости качества подбора похожих обращений;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получение практических навыков полного цикла разработки программного обеспечения с оформлением документации по ГОСТ.</w:t>
      </w:r>
    </w:p>
    <w:p>
      <w:pPr>
        <w:pStyle w:val="Heading1"/>
      </w:pPr>
      <w:r>
        <w:t xml:space="preserve">4 Требования к программе</w:t>
      </w:r>
    </w:p>
    <w:p>
      <w:pPr>
        <w:pStyle w:val="Heading2"/>
      </w:pPr>
      <w:r>
        <w:t xml:space="preserve">4.1 Требования к функциональным характеристикам</w:t>
      </w:r>
    </w:p>
    <w:p>
      <w:pPr>
        <w:pStyle w:val="Heading3"/>
      </w:pPr>
      <w:r>
        <w:t xml:space="preserve">4.1.1 Состав выполняемых функций</w:t>
      </w:r>
    </w:p>
    <w:p>
      <w:r>
        <w:rPr>
          <w:b w:val="false"/>
          <w:bCs w:val="false"/>
          <w:i w:val="false"/>
          <w:iCs w:val="false"/>
        </w:rPr>
        <w:t xml:space="preserve">Система должна выполнять функции, приведённые в таблице 1. Обозначения ТЗ.Фn соответствуют требованиям ТТ.Фn технических требований СПДО.001.ТТ и используются далее в программе и методике испытаний и в матрице трассируемости (приложение В).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1</w:t>
        </w:r>
      </w:fldSimple>
      <w:r>
        <w:t xml:space="preserve"> — Состав выполняемых функций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288"/>
        <w:gridCol w:w="5322"/>
        <w:gridCol w:w="1625"/>
        <w:gridCol w:w="1120"/>
      </w:tblGrid>
      <w:tr>
        <w:trPr>
          <w:cantSplit/>
          <w:tblHeader/>
        </w:trPr>
        <w:tc>
          <w:tcPr>
            <w:tcW w:type="dxa" w:w="1288"/>
          </w:tcPr>
          <w:p>
            <w:pPr>
              <w:pStyle w:val="TableHeader"/>
            </w:pPr>
            <w:r>
              <w:t xml:space="preserve">Обозначение</w:t>
            </w:r>
          </w:p>
        </w:tc>
        <w:tc>
          <w:tcPr>
            <w:tcW w:type="dxa" w:w="5322"/>
          </w:tcPr>
          <w:p>
            <w:pPr>
              <w:pStyle w:val="TableHeader"/>
            </w:pPr>
            <w:r>
              <w:t xml:space="preserve">Наименование функции</w:t>
            </w:r>
          </w:p>
        </w:tc>
        <w:tc>
          <w:tcPr>
            <w:tcW w:type="dxa" w:w="1625"/>
          </w:tcPr>
          <w:p>
            <w:pPr>
              <w:pStyle w:val="TableHeader"/>
            </w:pPr>
            <w:r>
              <w:t xml:space="preserve">Роль</w:t>
            </w:r>
          </w:p>
        </w:tc>
        <w:tc>
          <w:tcPr>
            <w:tcW w:type="dxa" w:w="1120"/>
          </w:tcPr>
          <w:p>
            <w:pPr>
              <w:pStyle w:val="TableHeader"/>
            </w:pPr>
            <w:r>
              <w:t xml:space="preserve">Приоритет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ТЗ.Ф1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Регистрация обращения: ввод заголовка, описания, выбор категории и компонента; присвоение номера, даты и начального статуса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Пользователь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ТЗ.Ф2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Редактирование черновика обращения до регистрации; текст черновика не теряется при ошибке модуля поиска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Пользователь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ТЗ.Ф3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Автоматический поиск похожих обращений при вводе текста нового обращения с фиксацией сеанса поиска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Система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ТЗ.Ф4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Вывод ранжированного списка кандидатов (не более 10): заголовок, статус, категория, коэффициент сходства, предполагаемый вид связи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Система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ТЗ.Ф5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Просмотр карточки найденного обращения и его опубликованного решения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Пользователь, оператор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ТЗ.Ф6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Отметка «решение помогло / не помогло» для опубликованного решения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Пользователь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ТЗ.Ф7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Пометка создаваемого или существующего обращения как дубликата выбранного с запретом прямых и косвенных циклов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Пользователь, оператор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ТЗ.Ф8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Установление связи вида «связанное обращение», не изменяющей статус обращений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Оператор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ТЗ.Ф9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Отклонение рекомендации с сохранением факта отклонения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Пользователь, оператор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ТЗ.Ф10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Создание независимого обращения при наличии найденных совпадений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Пользователь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ТЗ.Ф11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Ведение реестра обращений: просмотр, совместная фильтрация по статусу, категории и компоненту, полнотекстовый поиск; пользователь видит только свои обращения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Оператор, пользователь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ТЗ.Ф12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Изменение статуса обращения по допустимым переходам и публикация решения; закрытие без решения требует комментария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Оператор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ТЗ.Ф13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Ведение истории существенных изменений обращения: статус, связи, решение, автор, дата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Система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ТЗ.Ф14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Просмотр статистики качества рекомендаций: число сеансов поиска, доля сеансов с подтверждённым дубликатом, доля отклонённых рекомендаций, число дубликатов в первых трёх позициях, recall@3 на проверочной выборке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Администратор, оператор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ТЗ.Ф15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Аутентификация и разграничение прав по ролям; пометка обращения как конфиденциального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Все роли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Обяз.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ТЗ.Ф16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Настройка порога сходства, числа результатов и весовых коэффициентов формулы ранжирования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Администратор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Жел.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ТЗ.Ф17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Объяснение причин сходства для рекомендации: совпадение категории, компонента, текста ошибки, близость формулировок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Система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Жел.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ТЗ.Ф18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Уведомление автора дубликата внутри приложения о решении основного обращения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Система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Жел.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ТЗ.Ф19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Автоматическое предложение категории нового обращения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Система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Жел.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ТЗ.Ф20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Обнаружение массового поступления однотипных обращений и их объединение в инцидент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Система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Жел.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ТЗ.Ф21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Объединение дубликатов в группу с выбором основного обращения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Оператор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Жел.</w:t>
            </w:r>
          </w:p>
        </w:tc>
      </w:tr>
      <w:tr>
        <w:trPr>
          <w:cantSplit/>
          <w:tblHeader w:val="false"/>
        </w:trPr>
        <w:tc>
          <w:tcPr>
            <w:tcW w:type="dxa" w:w="1288"/>
          </w:tcPr>
          <w:p>
            <w:pPr>
              <w:pStyle w:val="TableText"/>
            </w:pPr>
            <w:r>
              <w:t xml:space="preserve">ТЗ.Ф22</w:t>
            </w:r>
          </w:p>
        </w:tc>
        <w:tc>
          <w:tcPr>
            <w:tcW w:type="dxa" w:w="5322"/>
          </w:tcPr>
          <w:p>
            <w:pPr>
              <w:pStyle w:val="TableText"/>
            </w:pPr>
            <w:r>
              <w:t xml:space="preserve">Повторное построение поискового индекса для применения новой модели к существующим обращениям</w:t>
            </w:r>
          </w:p>
        </w:tc>
        <w:tc>
          <w:tcPr>
            <w:tcW w:type="dxa" w:w="1625"/>
          </w:tcPr>
          <w:p>
            <w:pPr>
              <w:pStyle w:val="TableText"/>
            </w:pPr>
            <w:r>
              <w:t xml:space="preserve">Администратор</w:t>
            </w:r>
          </w:p>
        </w:tc>
        <w:tc>
          <w:tcPr>
            <w:tcW w:type="dxa" w:w="1120"/>
          </w:tcPr>
          <w:p>
            <w:pPr>
              <w:pStyle w:val="TableText"/>
            </w:pPr>
            <w:r>
              <w:t xml:space="preserve">Жел.</w:t>
            </w:r>
          </w:p>
        </w:tc>
      </w:tr>
    </w:tbl>
    <w:p>
      <w:pPr>
        <w:pStyle w:val="AfterTable"/>
      </w:pPr>
    </w:p>
    <w:p>
      <w:r>
        <w:rPr>
          <w:b w:val="false"/>
          <w:bCs w:val="false"/>
          <w:i w:val="false"/>
          <w:iCs w:val="false"/>
        </w:rPr>
        <w:t xml:space="preserve">Функции ТЗ.Ф1 — ТЗ.Ф15 являются обязательными. Функции ТЗ.Ф16 — ТЗ.Ф22 реализуются при наличии резерва времени и не являются основанием для отказа в приёмке.</w:t>
      </w:r>
    </w:p>
    <w:p>
      <w:pPr>
        <w:pStyle w:val="Heading3"/>
      </w:pPr>
      <w:r>
        <w:t xml:space="preserve">4.1.2 Алгоритм подбора похожих обращений</w:t>
      </w:r>
    </w:p>
    <w:p>
      <w:r>
        <w:rPr>
          <w:b w:val="false"/>
          <w:bCs w:val="false"/>
          <w:i w:val="false"/>
          <w:iCs w:val="false"/>
        </w:rPr>
        <w:t xml:space="preserve">Подбор кандидатов выполняется гибридным методом. Итоговый коэффициент сходства S вычисляется по формуле:</w:t>
      </w:r>
    </w:p>
    <w:p>
      <w:pPr>
        <w:pStyle w:val="TitleCenter"/>
        <w:spacing w:after="120" w:before="120"/>
      </w:pPr>
      <w:r>
        <w:rPr>
          <w:b w:val="false"/>
          <w:bCs w:val="false"/>
        </w:rPr>
        <w:t xml:space="preserve">S = w1 · S(семантика) + w2 · S(лексика) + w3 · S(категория) + w4 · S(компонент),</w:t>
      </w:r>
    </w:p>
    <w:p>
      <w:r>
        <w:rPr>
          <w:b w:val="false"/>
          <w:bCs w:val="false"/>
          <w:i w:val="false"/>
          <w:iCs w:val="false"/>
        </w:rPr>
        <w:t xml:space="preserve">где S(семантика) — косинусное сходство векторных представлений объединённого текста «заголовок + описание», полученных предобученной моделью; S(лексика) — лексическое сходство текстов по TF-IDF или BM25; S(категория) и S(компонент) — двоичные признаки совпадения соответствующих полей; w1 — w4 — неотрицательные весовые коэффициенты, сумма которых равна 1.</w:t>
      </w:r>
    </w:p>
    <w:p>
      <w:r>
        <w:rPr>
          <w:b w:val="false"/>
          <w:bCs w:val="false"/>
          <w:i w:val="false"/>
          <w:iCs w:val="false"/>
        </w:rPr>
        <w:t xml:space="preserve">Начальные значения весов: w1 = 0,55; w2 = 0,15; w3 = 0,15; w4 = 0,15. Веса и пороги хранятся в конфигурации и уточняются на настроечной части эталонного набора.</w:t>
      </w:r>
    </w:p>
    <w:p>
      <w:r>
        <w:rPr>
          <w:b w:val="false"/>
          <w:bCs w:val="false"/>
          <w:i w:val="false"/>
          <w:iCs w:val="false"/>
        </w:rPr>
        <w:t xml:space="preserve">Вид связи определяется по двухпороговой схеме: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S ≥ P1 — обращение предлагается как возможный дубликат;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P2 ≤ S &lt; P1 — обращение предлагается как возможно связанное;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S &lt; P2 — обращение не выводится в списке кандидатов.</w:t>
      </w:r>
    </w:p>
    <w:p>
      <w:r>
        <w:rPr>
          <w:b w:val="false"/>
          <w:bCs w:val="false"/>
          <w:i w:val="false"/>
          <w:iCs w:val="false"/>
        </w:rPr>
        <w:t xml:space="preserve">Начальные значения порогов: P1 = 0,80, P2 = 0,60. Значения уточняются в ходе испытаний.</w:t>
      </w:r>
    </w:p>
    <w:p>
      <w:r>
        <w:rPr>
          <w:b w:val="false"/>
          <w:bCs w:val="false"/>
          <w:i w:val="false"/>
          <w:iCs w:val="false"/>
        </w:rPr>
        <w:t xml:space="preserve">В ходе разработки должны быть реализованы и сопоставлены два режима вычисления сходства: базовый (только лексическое сходство, w1 = 0) и основной (гибридный). Результаты сопоставления включаются в пояснительную записку. Для каждого сеанса поиска сохраняются режим, версия модели и значения параметров, с которыми получены рекомендации.</w:t>
      </w:r>
    </w:p>
    <w:p>
      <w:pPr>
        <w:pStyle w:val="Heading3"/>
      </w:pPr>
      <w:r>
        <w:t xml:space="preserve">4.1.3 Организация входных данных</w:t>
      </w:r>
    </w:p>
    <w:p>
      <w:r>
        <w:rPr>
          <w:b w:val="false"/>
          <w:bCs w:val="false"/>
          <w:i w:val="false"/>
          <w:iCs w:val="false"/>
        </w:rPr>
        <w:t xml:space="preserve">Входными данными системы являются: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текст нового обращения: заголовок длиной до 200 символов и описание длиной до 4000 символов;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значения справочных полей: категория и компонент, выбираемые из справочников;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решения пользователя и оператора по предложенным рекомендациям и отметки о полезности решений;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демонстрационный набор обращений, загружаемый из файла формата CSV или JSON;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эталонная разметка групп дубликатов с указанием принадлежности записи к настроечной или проверочной части.</w:t>
      </w:r>
    </w:p>
    <w:p>
      <w:r>
        <w:rPr>
          <w:b w:val="false"/>
          <w:bCs w:val="false"/>
          <w:i w:val="false"/>
          <w:iCs w:val="false"/>
        </w:rPr>
        <w:t xml:space="preserve">Основные сущности предметной области и их состав приведены в таблице 2.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2</w:t>
        </w:r>
      </w:fldSimple>
      <w:r>
        <w:t xml:space="preserve"> — Состав основных сущностей предметной области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73"/>
        <w:gridCol w:w="6682"/>
      </w:tblGrid>
      <w:tr>
        <w:trPr>
          <w:cantSplit/>
          <w:tblHeader/>
        </w:trPr>
        <w:tc>
          <w:tcPr>
            <w:tcW w:type="dxa" w:w="2673"/>
          </w:tcPr>
          <w:p>
            <w:pPr>
              <w:pStyle w:val="TableHeader"/>
            </w:pPr>
            <w:r>
              <w:t xml:space="preserve">Сущность</w:t>
            </w:r>
          </w:p>
        </w:tc>
        <w:tc>
          <w:tcPr>
            <w:tcW w:type="dxa" w:w="6682"/>
          </w:tcPr>
          <w:p>
            <w:pPr>
              <w:pStyle w:val="TableHeader"/>
            </w:pPr>
            <w:r>
              <w:t xml:space="preserve">Состав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Обращение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идентификатор, заголовок, описание, категория, компонент, статус, автор, признак конфиденциальности, дата регистрации, дата изменения, ссылка на решение, ссылка на основное обращение, векторное представление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Пользователь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идентификатор, имя, роль, хеш пароля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Категория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идентификатор, наименование, описание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Компонент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идентификатор, наименование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Связь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идентификатор, обращение-источник, обращение-цель, вид связи (дубликат, связанное), автор связи, дата установления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Сеанс поиска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идентификатор, текст запроса, обращение (после регистрации), дата, режим, версия модели, значения порогов и весов, число возвращённых кандидатов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Рекомендация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идентификатор, сеанс поиска, обращение-кандидат, позиция в выдаче, коэффициент сходства, составляющие сходства, предложенный вид связи, объяснение, вердикт (не рассмотрена, принята, отклонена), дата вердикта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Решение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идентификатор, обращение, текст решения, автор, дата публикации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Оценка решения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идентификатор, решение, пользователь, признак «помогло», дата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История изменений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идентификатор, обращение, вид изменения, прежнее значение, новое значение, комментарий, автор, дата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Параметры поиска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пороги P1, P2, число результатов, весовые коэффициенты w1 — w4, идентификатор модели</w:t>
            </w:r>
          </w:p>
        </w:tc>
      </w:tr>
    </w:tbl>
    <w:p>
      <w:pPr>
        <w:pStyle w:val="AfterTable"/>
      </w:pPr>
    </w:p>
    <w:p>
      <w:pPr>
        <w:pStyle w:val="Heading3"/>
      </w:pPr>
      <w:r>
        <w:t xml:space="preserve">4.1.4 Организация выходных данных</w:t>
      </w:r>
    </w:p>
    <w:p>
      <w:r>
        <w:rPr>
          <w:b w:val="false"/>
          <w:bCs w:val="false"/>
          <w:i w:val="false"/>
          <w:iCs w:val="false"/>
        </w:rPr>
        <w:t xml:space="preserve">Выходными данными системы являются: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ранжированный список кандидатов с коэффициентами сходства, предполагаемым видом связи и (при реализации ТЗ.Ф17) объяснением сходства, выводимый на экран;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карточка обращения с перечнем установленных связей, опубликованным решением и историей изменений;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реестр обращений с применёнными фильтрами;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отчёт о качестве рекомендаций за период: число сеансов поиска, доля сеансов с подтверждённым дубликатом, доля отклонённых рекомендаций, число дубликатов в первых трёх позициях, значение recall@3 на проверочной выборке;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уведомления внутри приложения (при реализации ТЗ.Ф18);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журнал действий пользователей по установлению и отклонению связей и изменению статусов.</w:t>
      </w:r>
    </w:p>
    <w:p>
      <w:pPr>
        <w:pStyle w:val="Heading3"/>
      </w:pPr>
      <w:r>
        <w:t xml:space="preserve">4.1.5 Статусы обращения и допустимые переходы</w:t>
      </w:r>
    </w:p>
    <w:p>
      <w:r>
        <w:rPr>
          <w:b w:val="false"/>
          <w:bCs w:val="false"/>
          <w:i w:val="false"/>
          <w:iCs w:val="false"/>
        </w:rPr>
        <w:t xml:space="preserve">Статусы обращения и допустимые переходы между ними приведены в таблице 3. Иные переходы система не допускает.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3</w:t>
        </w:r>
      </w:fldSimple>
      <w:r>
        <w:t xml:space="preserve"> — Допустимые переходы статусов обращения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39"/>
        <w:gridCol w:w="2539"/>
        <w:gridCol w:w="4277"/>
      </w:tblGrid>
      <w:tr>
        <w:trPr>
          <w:cantSplit/>
          <w:tblHeader/>
        </w:trPr>
        <w:tc>
          <w:tcPr>
            <w:tcW w:type="dxa" w:w="2539"/>
          </w:tcPr>
          <w:p>
            <w:pPr>
              <w:pStyle w:val="TableHeader"/>
            </w:pPr>
            <w:r>
              <w:t xml:space="preserve">Исходный статус</w:t>
            </w:r>
          </w:p>
        </w:tc>
        <w:tc>
          <w:tcPr>
            <w:tcW w:type="dxa" w:w="2539"/>
          </w:tcPr>
          <w:p>
            <w:pPr>
              <w:pStyle w:val="TableHeader"/>
            </w:pPr>
            <w:r>
              <w:t xml:space="preserve">Новый статус</w:t>
            </w:r>
          </w:p>
        </w:tc>
        <w:tc>
          <w:tcPr>
            <w:tcW w:type="dxa" w:w="4277"/>
          </w:tcPr>
          <w:p>
            <w:pPr>
              <w:pStyle w:val="TableHeader"/>
            </w:pPr>
            <w:r>
              <w:t xml:space="preserve">Условие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Новое</w:t>
            </w:r>
          </w:p>
        </w:tc>
        <w:tc>
          <w:tcPr>
            <w:tcW w:type="dxa" w:w="4277"/>
          </w:tcPr>
          <w:p>
            <w:pPr>
              <w:pStyle w:val="TableText"/>
            </w:pPr>
            <w:r>
              <w:t xml:space="preserve">Регистрация обращения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Новое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В работе</w:t>
            </w:r>
          </w:p>
        </w:tc>
        <w:tc>
          <w:tcPr>
            <w:tcW w:type="dxa" w:w="4277"/>
          </w:tcPr>
          <w:p>
            <w:pPr>
              <w:pStyle w:val="TableText"/>
            </w:pPr>
            <w:r>
              <w:t xml:space="preserve">Оператор принял обращение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Новое, В работе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Закрыто как дубликат</w:t>
            </w:r>
          </w:p>
        </w:tc>
        <w:tc>
          <w:tcPr>
            <w:tcW w:type="dxa" w:w="4277"/>
          </w:tcPr>
          <w:p>
            <w:pPr>
              <w:pStyle w:val="TableText"/>
            </w:pPr>
            <w:r>
              <w:t xml:space="preserve">Установлена связь «дубликат» с основным обращением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В работе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Решено</w:t>
            </w:r>
          </w:p>
        </w:tc>
        <w:tc>
          <w:tcPr>
            <w:tcW w:type="dxa" w:w="4277"/>
          </w:tcPr>
          <w:p>
            <w:pPr>
              <w:pStyle w:val="TableText"/>
            </w:pPr>
            <w:r>
              <w:t xml:space="preserve">Опубликовано решение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Новое, В работе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Закрыто</w:t>
            </w:r>
          </w:p>
        </w:tc>
        <w:tc>
          <w:tcPr>
            <w:tcW w:type="dxa" w:w="4277"/>
          </w:tcPr>
          <w:p>
            <w:pPr>
              <w:pStyle w:val="TableText"/>
            </w:pPr>
            <w:r>
              <w:t xml:space="preserve">Закрытие без решения; обязателен комментарий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Решено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Закрыто</w:t>
            </w:r>
          </w:p>
        </w:tc>
        <w:tc>
          <w:tcPr>
            <w:tcW w:type="dxa" w:w="4277"/>
          </w:tcPr>
          <w:p>
            <w:pPr>
              <w:pStyle w:val="TableText"/>
            </w:pPr>
            <w:r>
              <w:t xml:space="preserve">Подтверждение пользователем или по истечении срока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Решено, Закрыто</w:t>
            </w:r>
          </w:p>
        </w:tc>
        <w:tc>
          <w:tcPr>
            <w:tcW w:type="dxa" w:w="2539"/>
          </w:tcPr>
          <w:p>
            <w:pPr>
              <w:pStyle w:val="TableText"/>
            </w:pPr>
            <w:r>
              <w:t xml:space="preserve">В работе</w:t>
            </w:r>
          </w:p>
        </w:tc>
        <w:tc>
          <w:tcPr>
            <w:tcW w:type="dxa" w:w="4277"/>
          </w:tcPr>
          <w:p>
            <w:pPr>
              <w:pStyle w:val="TableText"/>
            </w:pPr>
            <w:r>
              <w:t xml:space="preserve">Повторное открытие оператором с комментарием</w:t>
            </w:r>
          </w:p>
        </w:tc>
      </w:tr>
    </w:tbl>
    <w:p>
      <w:pPr>
        <w:pStyle w:val="AfterTable"/>
      </w:pPr>
    </w:p>
    <w:p>
      <w:pPr>
        <w:pStyle w:val="Heading3"/>
      </w:pPr>
      <w:r>
        <w:t xml:space="preserve">4.1.6 Временные характеристики и объём занимаемых ресурсов</w:t>
      </w:r>
    </w:p>
    <w:p>
      <w:r>
        <w:rPr>
          <w:b w:val="false"/>
          <w:bCs w:val="false"/>
          <w:i w:val="false"/>
          <w:iCs w:val="false"/>
        </w:rPr>
        <w:t xml:space="preserve">Требования к временным характеристикам приведены в таблице 4.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4</w:t>
        </w:r>
      </w:fldSimple>
      <w:r>
        <w:t xml:space="preserve"> — Временные характеристики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281"/>
        <w:gridCol w:w="3074"/>
      </w:tblGrid>
      <w:tr>
        <w:trPr>
          <w:cantSplit/>
          <w:tblHeader/>
        </w:trPr>
        <w:tc>
          <w:tcPr>
            <w:tcW w:type="dxa" w:w="6281"/>
          </w:tcPr>
          <w:p>
            <w:pPr>
              <w:pStyle w:val="TableHeader"/>
            </w:pPr>
            <w:r>
              <w:t xml:space="preserve">Характеристика</w:t>
            </w:r>
          </w:p>
        </w:tc>
        <w:tc>
          <w:tcPr>
            <w:tcW w:type="dxa" w:w="3074"/>
          </w:tcPr>
          <w:p>
            <w:pPr>
              <w:pStyle w:val="TableHeader"/>
            </w:pPr>
            <w:r>
              <w:t xml:space="preserve">Значение</w:t>
            </w:r>
          </w:p>
        </w:tc>
      </w:tr>
      <w:tr>
        <w:trPr>
          <w:cantSplit/>
          <w:tblHeader w:val="false"/>
        </w:trPr>
        <w:tc>
          <w:tcPr>
            <w:tcW w:type="dxa" w:w="6281"/>
          </w:tcPr>
          <w:p>
            <w:pPr>
              <w:pStyle w:val="TableText"/>
            </w:pPr>
            <w:r>
              <w:t xml:space="preserve">Время формирования списка кандидатов при объёме реестра до 5 000 обращений (95-й процентиль)</w:t>
            </w:r>
          </w:p>
        </w:tc>
        <w:tc>
          <w:tcPr>
            <w:tcW w:type="dxa" w:w="3074"/>
          </w:tcPr>
          <w:p>
            <w:pPr>
              <w:pStyle w:val="TableText"/>
            </w:pPr>
            <w:r>
              <w:t xml:space="preserve">не более 2,0 с</w:t>
            </w:r>
          </w:p>
        </w:tc>
      </w:tr>
      <w:tr>
        <w:trPr>
          <w:cantSplit/>
          <w:tblHeader w:val="false"/>
        </w:trPr>
        <w:tc>
          <w:tcPr>
            <w:tcW w:type="dxa" w:w="6281"/>
          </w:tcPr>
          <w:p>
            <w:pPr>
              <w:pStyle w:val="TableText"/>
            </w:pPr>
            <w:r>
              <w:t xml:space="preserve">Время отклика сервера на обычные операции интерфейса: открытие реестра и карточки, создание, изменение и связывание обращений (95-й процентиль)</w:t>
            </w:r>
          </w:p>
        </w:tc>
        <w:tc>
          <w:tcPr>
            <w:tcW w:type="dxa" w:w="3074"/>
          </w:tcPr>
          <w:p>
            <w:pPr>
              <w:pStyle w:val="TableText"/>
            </w:pPr>
            <w:r>
              <w:t xml:space="preserve">не более 2,0 с</w:t>
            </w:r>
          </w:p>
        </w:tc>
      </w:tr>
      <w:tr>
        <w:trPr>
          <w:cantSplit/>
          <w:tblHeader w:val="false"/>
        </w:trPr>
        <w:tc>
          <w:tcPr>
            <w:tcW w:type="dxa" w:w="6281"/>
          </w:tcPr>
          <w:p>
            <w:pPr>
              <w:pStyle w:val="TableText"/>
            </w:pPr>
            <w:r>
              <w:t xml:space="preserve">Число рекомендаций на один запрос</w:t>
            </w:r>
          </w:p>
        </w:tc>
        <w:tc>
          <w:tcPr>
            <w:tcW w:type="dxa" w:w="3074"/>
          </w:tcPr>
          <w:p>
            <w:pPr>
              <w:pStyle w:val="TableText"/>
            </w:pPr>
            <w:r>
              <w:t xml:space="preserve">не более 10</w:t>
            </w:r>
          </w:p>
        </w:tc>
      </w:tr>
      <w:tr>
        <w:trPr>
          <w:cantSplit/>
          <w:tblHeader w:val="false"/>
        </w:trPr>
        <w:tc>
          <w:tcPr>
            <w:tcW w:type="dxa" w:w="6281"/>
          </w:tcPr>
          <w:p>
            <w:pPr>
              <w:pStyle w:val="TableText"/>
            </w:pPr>
            <w:r>
              <w:t xml:space="preserve">Число одновременно работающих пользователей</w:t>
            </w:r>
          </w:p>
        </w:tc>
        <w:tc>
          <w:tcPr>
            <w:tcW w:type="dxa" w:w="3074"/>
          </w:tcPr>
          <w:p>
            <w:pPr>
              <w:pStyle w:val="TableText"/>
            </w:pPr>
            <w:r>
              <w:t xml:space="preserve">не менее 10</w:t>
            </w:r>
          </w:p>
        </w:tc>
      </w:tr>
    </w:tbl>
    <w:p>
      <w:pPr>
        <w:pStyle w:val="AfterTable"/>
      </w:pPr>
    </w:p>
    <w:p>
      <w:r>
        <w:rPr>
          <w:b w:val="false"/>
          <w:bCs w:val="false"/>
          <w:i w:val="false"/>
          <w:iCs w:val="false"/>
        </w:rPr>
        <w:t xml:space="preserve">Объём оперативной памяти, занимаемой серверной частью совместно с загруженной моделью векторного представления, не должен превышать 4 ГБ. Объём дискового пространства, занимаемого системой с демонстрационным набором данных, не должен превышать 10 ГБ.</w:t>
      </w:r>
    </w:p>
    <w:p>
      <w:pPr>
        <w:pStyle w:val="Heading2"/>
      </w:pPr>
      <w:r>
        <w:t xml:space="preserve">4.2 Требования к надёжности</w:t>
      </w:r>
    </w:p>
    <w:p>
      <w:pPr>
        <w:pStyle w:val="Heading3"/>
      </w:pPr>
      <w:r>
        <w:t xml:space="preserve">4.2.1 Требования к обеспечению надёжного функционирования</w:t>
      </w:r>
    </w:p>
    <w:p>
      <w:r>
        <w:rPr>
          <w:b w:val="false"/>
          <w:bCs w:val="false"/>
          <w:i w:val="false"/>
          <w:iCs w:val="false"/>
        </w:rPr>
        <w:t xml:space="preserve">Надёжное функционирование системы обеспечивается выполнением следующих условий: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бесперебойное электропитание технических средств;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использование лицензионного и свободно распространяемого программного обеспечения;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соблюдение правил эксплуатации, изложенных в руководстве системного программиста;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регулярное резервное копирование базы данных обращений.</w:t>
      </w:r>
    </w:p>
    <w:p>
      <w:r>
        <w:rPr>
          <w:b w:val="false"/>
          <w:bCs w:val="false"/>
          <w:i w:val="false"/>
          <w:iCs w:val="false"/>
        </w:rPr>
        <w:t xml:space="preserve">Заданный уровень надёжности достигается применением технологии разработки, предусматривающей инспекцию исходного кода, модульное тестирование, тестирование сопряжения модулей и комплексное тестирование системы.</w:t>
      </w:r>
    </w:p>
    <w:p>
      <w:pPr>
        <w:pStyle w:val="Heading3"/>
      </w:pPr>
      <w:r>
        <w:t xml:space="preserve">4.2.2 Контроль входной и выходной информации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обязательные поля обращения контролируются на непустоту;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длина заголовка и описания контролируется по границам, указанным в 4.1.3;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значения категории и компонента контролируются по справочникам;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коэффициент сходства контролируется на принадлежность диапазону от 0 до 1;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переходы статусов контролируются по таблице 3;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при попытке связать обращение с самим собой или создать прямой либо косвенный цикл связей «дубликат» операция отклоняется с выводом сообщения;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весь пользовательский ввод проверяется на сервере независимо от проверки в клиентской части.</w:t>
      </w:r>
    </w:p>
    <w:p>
      <w:pPr>
        <w:pStyle w:val="Heading3"/>
      </w:pPr>
      <w:r>
        <w:t xml:space="preserve">4.2.3 Отказы вследствие некорректных действий пользователя</w:t>
      </w:r>
    </w:p>
    <w:p>
      <w:r>
        <w:rPr>
          <w:b w:val="false"/>
          <w:bCs w:val="false"/>
          <w:i w:val="false"/>
          <w:iCs w:val="false"/>
        </w:rPr>
        <w:t xml:space="preserve">Отказы системы вследствие некорректных действий пользователя при работе через веб-интерфейс не допускаются. Некорректный ввод должен сопровождаться диагностическим сообщением на русском языке.</w:t>
      </w:r>
    </w:p>
    <w:p>
      <w:pPr>
        <w:pStyle w:val="Heading3"/>
      </w:pPr>
      <w:r>
        <w:t xml:space="preserve">4.2.4 Время восстановления после отказа</w:t>
      </w:r>
    </w:p>
    <w:p>
      <w:r>
        <w:rPr>
          <w:b w:val="false"/>
          <w:bCs w:val="false"/>
          <w:i w:val="false"/>
          <w:iCs w:val="false"/>
        </w:rPr>
        <w:t xml:space="preserve">Время восстановления после программного сбоя, не связанного с отказом технических средств, не должно превышать 15 мин и включает перезапуск серверной части и восстановление соединения с базой данных. Зарегистрированные обращения при этом не утрачиваются.</w:t>
      </w:r>
    </w:p>
    <w:p>
      <w:r>
        <w:rPr>
          <w:b w:val="false"/>
          <w:bCs w:val="false"/>
          <w:i w:val="false"/>
          <w:iCs w:val="false"/>
        </w:rPr>
        <w:t xml:space="preserve">Ошибка модуля семантического поиска не должна приводить к потере введённого пользователем текста черновика. При недоступности модуля регистрация обращений должна оставаться работоспособной; список кандидатов при этом не формируется, а пользователю выводится предупреждение.</w:t>
      </w:r>
    </w:p>
    <w:p>
      <w:r>
        <w:rPr>
          <w:b w:val="false"/>
          <w:bCs w:val="false"/>
          <w:i w:val="false"/>
          <w:iCs w:val="false"/>
        </w:rPr>
        <w:t xml:space="preserve">Изменение статуса обращения, создание связи и запись в историю изменений выполняются в одной транзакции.</w:t>
      </w:r>
    </w:p>
    <w:p>
      <w:pPr>
        <w:pStyle w:val="Heading2"/>
      </w:pPr>
      <w:r>
        <w:t xml:space="preserve">4.3 Условия эксплуатации</w:t>
      </w:r>
    </w:p>
    <w:p>
      <w:pPr>
        <w:pStyle w:val="Heading3"/>
      </w:pPr>
      <w:r>
        <w:t xml:space="preserve">4.3.1 Климатические условия</w:t>
      </w:r>
    </w:p>
    <w:p>
      <w:r>
        <w:rPr>
          <w:b w:val="false"/>
          <w:bCs w:val="false"/>
          <w:i w:val="false"/>
          <w:iCs w:val="false"/>
        </w:rPr>
        <w:t xml:space="preserve">Климатические условия эксплуатации соответствуют условиям эксплуатации применяемых технических средств и не предъявляют дополнительных требований.</w:t>
      </w:r>
    </w:p>
    <w:p>
      <w:pPr>
        <w:pStyle w:val="Heading3"/>
      </w:pPr>
      <w:r>
        <w:t xml:space="preserve">4.3.2 Требования к персоналу</w:t>
      </w:r>
    </w:p>
    <w:p>
      <w:r>
        <w:rPr>
          <w:b w:val="false"/>
          <w:bCs w:val="false"/>
          <w:i w:val="false"/>
          <w:iCs w:val="false"/>
        </w:rPr>
        <w:t xml:space="preserve">Для эксплуатации системы необходимы: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пользователь — навыки работы с веб-браузером;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оператор технической поддержки — навыки работы с веб-браузером, знание предметной области, ознакомление с руководством оператора;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администратор — навыки администрирования операционных систем семейства Linux и систем управления базами данных, ознакомление с руководством системного программиста.</w:t>
      </w:r>
    </w:p>
    <w:p>
      <w:r>
        <w:rPr>
          <w:b w:val="false"/>
          <w:bCs w:val="false"/>
          <w:i w:val="false"/>
          <w:iCs w:val="false"/>
        </w:rPr>
        <w:t xml:space="preserve">Минимальное число персонала для эксплуатации системы — один оператор и один администратор; совмещение ролей допускается.</w:t>
      </w:r>
    </w:p>
    <w:p>
      <w:pPr>
        <w:pStyle w:val="Heading2"/>
      </w:pPr>
      <w:r>
        <w:t xml:space="preserve">4.4 Требования к составу и параметрам технических средств</w:t>
      </w:r>
    </w:p>
    <w:p>
      <w:r>
        <w:rPr>
          <w:b w:val="false"/>
          <w:bCs w:val="false"/>
          <w:i w:val="false"/>
          <w:iCs w:val="false"/>
        </w:rPr>
        <w:t xml:space="preserve">Минимальная конфигурация сервера: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процессор с числом ядер не менее 4, тактовая частота не менее 2,0 ГГц;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оперативная память не менее 8 ГБ;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свободное дисковое пространство не менее 20 ГБ;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сетевой интерфейс Ethernet с пропускной способностью не менее 100 Мбит/с.</w:t>
      </w:r>
    </w:p>
    <w:p>
      <w:r>
        <w:rPr>
          <w:b w:val="false"/>
          <w:bCs w:val="false"/>
          <w:i w:val="false"/>
          <w:iCs w:val="false"/>
        </w:rPr>
        <w:t xml:space="preserve">Минимальная конфигурация рабочего места пользователя: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персональный компьютер или ноутбук с оперативной памятью не менее 4 ГБ;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монитор с разрешением не менее 1366 × 768;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клавиатура, манипулятор «мышь»;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доступ к серверу по протоколу HTTP или HTTPS.</w:t>
      </w:r>
    </w:p>
    <w:p>
      <w:r>
        <w:rPr>
          <w:b w:val="false"/>
          <w:bCs w:val="false"/>
          <w:i w:val="false"/>
          <w:iCs w:val="false"/>
        </w:rPr>
        <w:t xml:space="preserve">Применение графического ускорителя не требуется; вычисление векторных представлений выполняется на центральном процессоре.</w:t>
      </w:r>
    </w:p>
    <w:p>
      <w:pPr>
        <w:pStyle w:val="Heading2"/>
      </w:pPr>
      <w:r>
        <w:t xml:space="preserve">4.5 Требования к информационной и программной совместимости</w:t>
      </w:r>
    </w:p>
    <w:p>
      <w:pPr>
        <w:pStyle w:val="Heading3"/>
      </w:pPr>
      <w:r>
        <w:t xml:space="preserve">4.5.1 Требования к программным средствам</w:t>
      </w:r>
    </w:p>
    <w:p>
      <w:r>
        <w:rPr>
          <w:b w:val="false"/>
          <w:bCs w:val="false"/>
          <w:i w:val="false"/>
          <w:iCs w:val="false"/>
        </w:rPr>
        <w:t xml:space="preserve">Система разрабатывается со следующими программными средствами: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5</w:t>
        </w:r>
      </w:fldSimple>
      <w:r>
        <w:t xml:space="preserve"> — Программные средства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475"/>
        <w:gridCol w:w="5880"/>
      </w:tblGrid>
      <w:tr>
        <w:trPr>
          <w:cantSplit/>
          <w:tblHeader/>
        </w:trPr>
        <w:tc>
          <w:tcPr>
            <w:tcW w:type="dxa" w:w="3475"/>
          </w:tcPr>
          <w:p>
            <w:pPr>
              <w:pStyle w:val="TableHeader"/>
            </w:pPr>
            <w:r>
              <w:t xml:space="preserve">Назначение</w:t>
            </w:r>
          </w:p>
        </w:tc>
        <w:tc>
          <w:tcPr>
            <w:tcW w:type="dxa" w:w="5880"/>
          </w:tcPr>
          <w:p>
            <w:pPr>
              <w:pStyle w:val="TableHeader"/>
            </w:pPr>
            <w:r>
              <w:t xml:space="preserve">Средство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Язык программирования серверной части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Python версии 3.11 и выше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Каркас серверной части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FastAPI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Система управления базами данных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PostgreSQL версии 16 с расширением pgvector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Лексический поиск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полнотекстовый поиск PostgreSQL или библиотека TF-IDF/BM25 (scikit-learn, rank-bm25)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Библиотека векторных представлений текста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sentence-transformers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Модель векторного представления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предобученная модель для русского языка (rubert-tiny2, multilingual-e5-base или эквивалентная)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Клиентская часть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HTML5, CSS3, JavaScript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Средство контейнеризации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Docker, Docker Compose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Система контроля версий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Git, удалённый репозиторий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Модульное тестирование и покрытие кода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pytest, pytest-cov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Метрики программного кода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radon (цикломатическая сложность, индекс сопровождаемости, объём кода)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Нагрузочное тестирование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wrk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Тестирование графического интерфейса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Playwright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Автоматическое документирование кода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Doxygen или Sphinx</w:t>
            </w:r>
          </w:p>
        </w:tc>
      </w:tr>
      <w:tr>
        <w:trPr>
          <w:cantSplit/>
          <w:tblHeader w:val="false"/>
        </w:trPr>
        <w:tc>
          <w:tcPr>
            <w:tcW w:type="dxa" w:w="3475"/>
          </w:tcPr>
          <w:p>
            <w:pPr>
              <w:pStyle w:val="TableText"/>
            </w:pPr>
            <w:r>
              <w:t xml:space="preserve">Средство UML-моделирования</w:t>
            </w:r>
          </w:p>
        </w:tc>
        <w:tc>
          <w:tcPr>
            <w:tcW w:type="dxa" w:w="5880"/>
          </w:tcPr>
          <w:p>
            <w:pPr>
              <w:pStyle w:val="TableText"/>
            </w:pPr>
            <w:r>
              <w:t xml:space="preserve">PlantUML, StarUML или эквивалентное</w:t>
            </w:r>
          </w:p>
        </w:tc>
      </w:tr>
    </w:tbl>
    <w:p>
      <w:pPr>
        <w:pStyle w:val="AfterTable"/>
      </w:pPr>
    </w:p>
    <w:p>
      <w:r>
        <w:rPr>
          <w:b w:val="false"/>
          <w:bCs w:val="false"/>
          <w:i w:val="false"/>
          <w:iCs w:val="false"/>
        </w:rPr>
        <w:t xml:space="preserve">Замена перечисленных средств на функционально эквивалентные допускается по согласованию с заказчиком с отражением в пояснительной записке.</w:t>
      </w:r>
    </w:p>
    <w:p>
      <w:pPr>
        <w:pStyle w:val="Heading3"/>
      </w:pPr>
      <w:r>
        <w:t xml:space="preserve">4.5.2 Требования к информационной совместимости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загрузка и выгрузка реестра обращений выполняется в форматах CSV (кодировка UTF-8) и JSON;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обмен данными между клиентской и серверной частями выполняется по протоколу HTTP с использованием формата JSON;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интерфейс прикладного программирования документируется в формате OpenAPI 3.0.</w:t>
      </w:r>
    </w:p>
    <w:p>
      <w:pPr>
        <w:pStyle w:val="Heading3"/>
      </w:pPr>
      <w:r>
        <w:t xml:space="preserve">4.5.3 Требования к языкам программирования</w:t>
      </w:r>
    </w:p>
    <w:p>
      <w:r>
        <w:rPr>
          <w:b w:val="false"/>
          <w:bCs w:val="false"/>
          <w:i w:val="false"/>
          <w:iCs w:val="false"/>
        </w:rPr>
        <w:t xml:space="preserve">Исходный код серверной части разрабатывается на языке Python, клиентской части — на языке JavaScript. Применение иных языков допускается для вспомогательных сценариев сборки и подготовки данных.</w:t>
      </w:r>
    </w:p>
    <w:p>
      <w:pPr>
        <w:pStyle w:val="Heading3"/>
      </w:pPr>
      <w:r>
        <w:t xml:space="preserve">4.5.4 Требования к структуре программы и сопровождаемости</w:t>
      </w:r>
    </w:p>
    <w:p>
      <w:r>
        <w:rPr>
          <w:b w:val="false"/>
          <w:bCs w:val="false"/>
          <w:i w:val="false"/>
          <w:iCs w:val="false"/>
        </w:rPr>
        <w:t xml:space="preserve">Серверная часть выполняется как модульный монолит и развёртывается как одно приложение, разделённое на модули: пользователей и доступа; обращений; связей; рекомендаций; аналитики; семантического поиска.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модуль семантического поиска отделяется от бизнес-логики обращений программным интерфейсом и может быть заменён без изменения остальных модулей;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порог сходства, число результатов и весовые коэффициенты задаются конфигурацией без изменения исходного кода;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модель векторного представления текста заменяется без изменения структуры пользовательского интерфейса; после замены выполняется повторное построение индекса (ТЗ.Ф22) и повторное измерение качества;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основные серверные компоненты покрываются автоматическими тестами.</w:t>
      </w:r>
    </w:p>
    <w:p>
      <w:pPr>
        <w:pStyle w:val="Heading2"/>
      </w:pPr>
      <w:r>
        <w:t xml:space="preserve">4.6 Требования к маркировке и упаковке</w:t>
      </w:r>
    </w:p>
    <w:p>
      <w:r>
        <w:rPr>
          <w:b w:val="false"/>
          <w:bCs w:val="false"/>
          <w:i w:val="false"/>
          <w:iCs w:val="false"/>
        </w:rPr>
        <w:t xml:space="preserve">Система поставляется в электронном виде. Дистрибутив содержит исходный код, файлы сборки контейнеров, сценарии развёртывания, демонстрационный набор данных и комплект документации.</w:t>
      </w:r>
    </w:p>
    <w:p>
      <w:r>
        <w:rPr>
          <w:b w:val="false"/>
          <w:bCs w:val="false"/>
          <w:i w:val="false"/>
          <w:iCs w:val="false"/>
        </w:rPr>
        <w:t xml:space="preserve">Маркировка выполняется в виде обозначения версии по схеме «мажорная.минорная.исправление», размещаемого в файле описания проекта, в интерфейсе системы и в наименовании архива дистрибутива. Требования к нанесению маркировки на тару не предъявляются.</w:t>
      </w:r>
    </w:p>
    <w:p>
      <w:pPr>
        <w:pStyle w:val="Heading2"/>
      </w:pPr>
      <w:r>
        <w:t xml:space="preserve">4.7 Требования к транспортированию и хранению</w:t>
      </w:r>
    </w:p>
    <w:p>
      <w:r>
        <w:rPr>
          <w:b w:val="false"/>
          <w:bCs w:val="false"/>
          <w:i w:val="false"/>
          <w:iCs w:val="false"/>
        </w:rPr>
        <w:t xml:space="preserve">Транспортирование программы выполняется по каналам связи в виде архива дистрибутива или образа контейнера. Требования к транспортированию на физических носителях не предъявляются.</w:t>
      </w:r>
    </w:p>
    <w:p>
      <w:r>
        <w:rPr>
          <w:b w:val="false"/>
          <w:bCs w:val="false"/>
          <w:i w:val="false"/>
          <w:iCs w:val="false"/>
        </w:rPr>
        <w:t xml:space="preserve">Хранение исходного кода и документации выполняется в удалённом репозитории системы контроля версий. Резервное копирование базы данных обращений выполняется не реже одного раза в сутки с сохранением не менее семи последних копий.</w:t>
      </w:r>
    </w:p>
    <w:p>
      <w:pPr>
        <w:pStyle w:val="Heading2"/>
      </w:pPr>
      <w:r>
        <w:t xml:space="preserve">4.8 Специальные требования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интерфейс системы и диагностические сообщения выполняются на русском языке; основной сценарий создания обращения выполняется на одной странице;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система должна различать три исхода проверки: дубликат, связанное обращение, независимое обращение, и явно отличать их в интерфейсе от обычных результатов поиска;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система не изменяет состав и статус обращений по результату автоматического подбора без подтверждения пользователя или оператора; интерфейс указывает, что рекомендация сформирована автоматически и может быть ошибочной;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для каждой рекомендации выводится коэффициент сходства; факты принятия и отклонения рекомендаций сохраняются и используются для измерения качества подбора;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пользователь видит в реестре только собственные обращения; обращения других пользователей доступны ему только в составе рекомендаций (заголовок, статус, опубликованное решение); конфиденциальные обращения в рекомендации посторонним пользователям не включаются;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полномочия пользователя проверяются сервером при каждой защищённой операции; пароли хранятся только в виде криптографических хеш-значений; пароли и токены доступа в журналы событий не записываются;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обучение собственных нейросетевых моделей не выполняется; применяются готовые предобученные модели под свободными лицензиями;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обработка сведений, содержащих государственную тайну, не предусматривается.</w:t>
      </w:r>
    </w:p>
    <w:p>
      <w:pPr>
        <w:pStyle w:val="Heading1"/>
      </w:pPr>
      <w:r>
        <w:t xml:space="preserve">5 Требования к программной документации</w:t>
      </w:r>
    </w:p>
    <w:p>
      <w:r>
        <w:rPr>
          <w:b w:val="false"/>
          <w:bCs w:val="false"/>
          <w:i w:val="false"/>
          <w:iCs w:val="false"/>
        </w:rPr>
        <w:t xml:space="preserve">По результатам разработки должны быть представлены документы, приведённые в таблице 6.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6</w:t>
        </w:r>
      </w:fldSimple>
      <w:r>
        <w:t xml:space="preserve"> — Состав программной документации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544"/>
        <w:gridCol w:w="2807"/>
        <w:gridCol w:w="2004"/>
      </w:tblGrid>
      <w:tr>
        <w:trPr>
          <w:cantSplit/>
          <w:tblHeader/>
        </w:trPr>
        <w:tc>
          <w:tcPr>
            <w:tcW w:type="dxa" w:w="4544"/>
          </w:tcPr>
          <w:p>
            <w:pPr>
              <w:pStyle w:val="TableHeader"/>
            </w:pPr>
            <w:r>
              <w:t xml:space="preserve">Наименование документа</w:t>
            </w:r>
          </w:p>
        </w:tc>
        <w:tc>
          <w:tcPr>
            <w:tcW w:type="dxa" w:w="2807"/>
          </w:tcPr>
          <w:p>
            <w:pPr>
              <w:pStyle w:val="TableHeader"/>
            </w:pPr>
            <w:r>
              <w:t xml:space="preserve">Обозначение</w:t>
            </w:r>
          </w:p>
        </w:tc>
        <w:tc>
          <w:tcPr>
            <w:tcW w:type="dxa" w:w="2004"/>
          </w:tcPr>
          <w:p>
            <w:pPr>
              <w:pStyle w:val="TableHeader"/>
            </w:pPr>
            <w:r>
              <w:t xml:space="preserve">Стандарт</w:t>
            </w:r>
          </w:p>
        </w:tc>
      </w:tr>
      <w:tr>
        <w:trPr>
          <w:cantSplit/>
          <w:tblHeader w:val="false"/>
        </w:trPr>
        <w:tc>
          <w:tcPr>
            <w:tcW w:type="dxa" w:w="4544"/>
          </w:tcPr>
          <w:p>
            <w:pPr>
              <w:pStyle w:val="TableText"/>
            </w:pPr>
            <w:r>
              <w:t xml:space="preserve">Технические требования</w:t>
            </w:r>
          </w:p>
        </w:tc>
        <w:tc>
          <w:tcPr>
            <w:tcW w:type="dxa" w:w="2807"/>
          </w:tcPr>
          <w:p>
            <w:pPr>
              <w:pStyle w:val="TableText"/>
            </w:pPr>
            <w:r>
              <w:t xml:space="preserve">СПДО.001.ТТ</w:t>
            </w:r>
          </w:p>
        </w:tc>
        <w:tc>
          <w:tcPr>
            <w:tcW w:type="dxa" w:w="2004"/>
          </w:tcPr>
          <w:p>
            <w:pPr>
              <w:pStyle w:val="TableText"/>
            </w:pPr>
            <w:r>
              <w:t xml:space="preserve">ГОСТ Р 15.301-2016</w:t>
            </w:r>
          </w:p>
        </w:tc>
      </w:tr>
      <w:tr>
        <w:trPr>
          <w:cantSplit/>
          <w:tblHeader w:val="false"/>
        </w:trPr>
        <w:tc>
          <w:tcPr>
            <w:tcW w:type="dxa" w:w="4544"/>
          </w:tcPr>
          <w:p>
            <w:pPr>
              <w:pStyle w:val="TableText"/>
            </w:pPr>
            <w:r>
              <w:t xml:space="preserve">Техническое задание</w:t>
            </w:r>
          </w:p>
        </w:tc>
        <w:tc>
          <w:tcPr>
            <w:tcW w:type="dxa" w:w="2807"/>
          </w:tcPr>
          <w:p>
            <w:pPr>
              <w:pStyle w:val="TableText"/>
            </w:pPr>
            <w:r>
              <w:t xml:space="preserve">СПДО.001.ТЗ</w:t>
            </w:r>
          </w:p>
        </w:tc>
        <w:tc>
          <w:tcPr>
            <w:tcW w:type="dxa" w:w="2004"/>
          </w:tcPr>
          <w:p>
            <w:pPr>
              <w:pStyle w:val="TableText"/>
            </w:pPr>
            <w:r>
              <w:t xml:space="preserve">ГОСТ 19.201-78</w:t>
            </w:r>
          </w:p>
        </w:tc>
      </w:tr>
      <w:tr>
        <w:trPr>
          <w:cantSplit/>
          <w:tblHeader w:val="false"/>
        </w:trPr>
        <w:tc>
          <w:tcPr>
            <w:tcW w:type="dxa" w:w="4544"/>
          </w:tcPr>
          <w:p>
            <w:pPr>
              <w:pStyle w:val="TableText"/>
            </w:pPr>
            <w:r>
              <w:t xml:space="preserve">Технические условия</w:t>
            </w:r>
          </w:p>
        </w:tc>
        <w:tc>
          <w:tcPr>
            <w:tcW w:type="dxa" w:w="2807"/>
          </w:tcPr>
          <w:p>
            <w:pPr>
              <w:pStyle w:val="TableText"/>
            </w:pPr>
            <w:r>
              <w:t xml:space="preserve">СПДО.001.ТУ</w:t>
            </w:r>
          </w:p>
        </w:tc>
        <w:tc>
          <w:tcPr>
            <w:tcW w:type="dxa" w:w="2004"/>
          </w:tcPr>
          <w:p>
            <w:pPr>
              <w:pStyle w:val="TableText"/>
            </w:pPr>
            <w:r>
              <w:t xml:space="preserve">ГОСТ 2.114-2016</w:t>
            </w:r>
          </w:p>
        </w:tc>
      </w:tr>
      <w:tr>
        <w:trPr>
          <w:cantSplit/>
          <w:tblHeader w:val="false"/>
        </w:trPr>
        <w:tc>
          <w:tcPr>
            <w:tcW w:type="dxa" w:w="4544"/>
          </w:tcPr>
          <w:p>
            <w:pPr>
              <w:pStyle w:val="TableText"/>
            </w:pPr>
            <w:r>
              <w:t xml:space="preserve">Пояснительная записка</w:t>
            </w:r>
          </w:p>
        </w:tc>
        <w:tc>
          <w:tcPr>
            <w:tcW w:type="dxa" w:w="2807"/>
          </w:tcPr>
          <w:p>
            <w:pPr>
              <w:pStyle w:val="TableText"/>
            </w:pPr>
            <w:r>
              <w:t xml:space="preserve">СПДО.001.ПЗ</w:t>
            </w:r>
          </w:p>
        </w:tc>
        <w:tc>
          <w:tcPr>
            <w:tcW w:type="dxa" w:w="2004"/>
          </w:tcPr>
          <w:p>
            <w:pPr>
              <w:pStyle w:val="TableText"/>
            </w:pPr>
            <w:r>
              <w:t xml:space="preserve">ГОСТ 19.404-79</w:t>
            </w:r>
          </w:p>
        </w:tc>
      </w:tr>
      <w:tr>
        <w:trPr>
          <w:cantSplit/>
          <w:tblHeader w:val="false"/>
        </w:trPr>
        <w:tc>
          <w:tcPr>
            <w:tcW w:type="dxa" w:w="4544"/>
          </w:tcPr>
          <w:p>
            <w:pPr>
              <w:pStyle w:val="TableText"/>
            </w:pPr>
            <w:r>
              <w:t xml:space="preserve">Описание программы</w:t>
            </w:r>
          </w:p>
        </w:tc>
        <w:tc>
          <w:tcPr>
            <w:tcW w:type="dxa" w:w="2807"/>
          </w:tcPr>
          <w:p>
            <w:pPr>
              <w:pStyle w:val="TableText"/>
            </w:pPr>
            <w:r>
              <w:t xml:space="preserve">СПДО.001.13</w:t>
            </w:r>
          </w:p>
        </w:tc>
        <w:tc>
          <w:tcPr>
            <w:tcW w:type="dxa" w:w="2004"/>
          </w:tcPr>
          <w:p>
            <w:pPr>
              <w:pStyle w:val="TableText"/>
            </w:pPr>
            <w:r>
              <w:t xml:space="preserve">ГОСТ 19.402-78</w:t>
            </w:r>
          </w:p>
        </w:tc>
      </w:tr>
      <w:tr>
        <w:trPr>
          <w:cantSplit/>
          <w:tblHeader w:val="false"/>
        </w:trPr>
        <w:tc>
          <w:tcPr>
            <w:tcW w:type="dxa" w:w="4544"/>
          </w:tcPr>
          <w:p>
            <w:pPr>
              <w:pStyle w:val="TableText"/>
            </w:pPr>
            <w:r>
              <w:t xml:space="preserve">Программа и методика испытаний</w:t>
            </w:r>
          </w:p>
        </w:tc>
        <w:tc>
          <w:tcPr>
            <w:tcW w:type="dxa" w:w="2807"/>
          </w:tcPr>
          <w:p>
            <w:pPr>
              <w:pStyle w:val="TableText"/>
            </w:pPr>
            <w:r>
              <w:t xml:space="preserve">СПДО.001.51</w:t>
            </w:r>
          </w:p>
        </w:tc>
        <w:tc>
          <w:tcPr>
            <w:tcW w:type="dxa" w:w="2004"/>
          </w:tcPr>
          <w:p>
            <w:pPr>
              <w:pStyle w:val="TableText"/>
            </w:pPr>
            <w:r>
              <w:t xml:space="preserve">ГОСТ 19.301-79</w:t>
            </w:r>
          </w:p>
        </w:tc>
      </w:tr>
      <w:tr>
        <w:trPr>
          <w:cantSplit/>
          <w:tblHeader w:val="false"/>
        </w:trPr>
        <w:tc>
          <w:tcPr>
            <w:tcW w:type="dxa" w:w="4544"/>
          </w:tcPr>
          <w:p>
            <w:pPr>
              <w:pStyle w:val="TableText"/>
            </w:pPr>
            <w:r>
              <w:t xml:space="preserve">Руководство оператора</w:t>
            </w:r>
          </w:p>
        </w:tc>
        <w:tc>
          <w:tcPr>
            <w:tcW w:type="dxa" w:w="2807"/>
          </w:tcPr>
          <w:p>
            <w:pPr>
              <w:pStyle w:val="TableText"/>
            </w:pPr>
            <w:r>
              <w:t xml:space="preserve">СПДО.001.34</w:t>
            </w:r>
          </w:p>
        </w:tc>
        <w:tc>
          <w:tcPr>
            <w:tcW w:type="dxa" w:w="2004"/>
          </w:tcPr>
          <w:p>
            <w:pPr>
              <w:pStyle w:val="TableText"/>
            </w:pPr>
            <w:r>
              <w:t xml:space="preserve">ГОСТ 19.505-79</w:t>
            </w:r>
          </w:p>
        </w:tc>
      </w:tr>
      <w:tr>
        <w:trPr>
          <w:cantSplit/>
          <w:tblHeader w:val="false"/>
        </w:trPr>
        <w:tc>
          <w:tcPr>
            <w:tcW w:type="dxa" w:w="4544"/>
          </w:tcPr>
          <w:p>
            <w:pPr>
              <w:pStyle w:val="TableText"/>
            </w:pPr>
            <w:r>
              <w:t xml:space="preserve">Руководство системного программиста</w:t>
            </w:r>
          </w:p>
        </w:tc>
        <w:tc>
          <w:tcPr>
            <w:tcW w:type="dxa" w:w="2807"/>
          </w:tcPr>
          <w:p>
            <w:pPr>
              <w:pStyle w:val="TableText"/>
            </w:pPr>
            <w:r>
              <w:t xml:space="preserve">СПДО.001.32</w:t>
            </w:r>
          </w:p>
        </w:tc>
        <w:tc>
          <w:tcPr>
            <w:tcW w:type="dxa" w:w="2004"/>
          </w:tcPr>
          <w:p>
            <w:pPr>
              <w:pStyle w:val="TableText"/>
            </w:pPr>
            <w:r>
              <w:t xml:space="preserve">ГОСТ 19.503-79</w:t>
            </w:r>
          </w:p>
        </w:tc>
      </w:tr>
      <w:tr>
        <w:trPr>
          <w:cantSplit/>
          <w:tblHeader w:val="false"/>
        </w:trPr>
        <w:tc>
          <w:tcPr>
            <w:tcW w:type="dxa" w:w="4544"/>
          </w:tcPr>
          <w:p>
            <w:pPr>
              <w:pStyle w:val="TableText"/>
            </w:pPr>
            <w:r>
              <w:t xml:space="preserve">Текст программы</w:t>
            </w:r>
          </w:p>
        </w:tc>
        <w:tc>
          <w:tcPr>
            <w:tcW w:type="dxa" w:w="2807"/>
          </w:tcPr>
          <w:p>
            <w:pPr>
              <w:pStyle w:val="TableText"/>
            </w:pPr>
            <w:r>
              <w:t xml:space="preserve">СПДО.001.12</w:t>
            </w:r>
          </w:p>
        </w:tc>
        <w:tc>
          <w:tcPr>
            <w:tcW w:type="dxa" w:w="2004"/>
          </w:tcPr>
          <w:p>
            <w:pPr>
              <w:pStyle w:val="TableText"/>
            </w:pPr>
            <w:r>
              <w:t xml:space="preserve">ГОСТ 19.401-78</w:t>
            </w:r>
          </w:p>
        </w:tc>
      </w:tr>
    </w:tbl>
    <w:p>
      <w:pPr>
        <w:pStyle w:val="AfterTable"/>
      </w:pPr>
    </w:p>
    <w:p>
      <w:r>
        <w:rPr>
          <w:b w:val="false"/>
          <w:bCs w:val="false"/>
          <w:i w:val="false"/>
          <w:iCs w:val="false"/>
        </w:rPr>
        <w:t xml:space="preserve">Дополнительно к перечисленным документам представляются: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тест-план, набор тест-кейсов и матрица трассируемости требований;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отчёт о метриках программного кода до и после оптимизации;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документация на исходный код, сформированная средствами автоматического документирования;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инструкция по развёртыванию, позволяющая запустить систему без участия разработчика.</w:t>
      </w:r>
    </w:p>
    <w:p>
      <w:r>
        <w:rPr>
          <w:b w:val="false"/>
          <w:bCs w:val="false"/>
          <w:i w:val="false"/>
          <w:iCs w:val="false"/>
        </w:rPr>
        <w:t xml:space="preserve">Документы оформляются в соответствии с ГОСТ 19.106-78 и ГОСТ 2.105-2019.</w:t>
      </w:r>
    </w:p>
    <w:p>
      <w:pPr>
        <w:pStyle w:val="Heading1"/>
      </w:pPr>
      <w:r>
        <w:t xml:space="preserve">6 Технико-экономические показатели</w:t>
      </w:r>
    </w:p>
    <w:p>
      <w:r>
        <w:rPr>
          <w:b w:val="false"/>
          <w:bCs w:val="false"/>
          <w:i w:val="false"/>
          <w:iCs w:val="false"/>
        </w:rPr>
        <w:t xml:space="preserve">Экономический эффект от внедрения системы достигается за счёт сокращения трудозатрат операторов службы технической поддержки на обработку повторно зарегистрированных обращений.</w:t>
      </w:r>
    </w:p>
    <w:p>
      <w:r>
        <w:rPr>
          <w:b w:val="false"/>
          <w:bCs w:val="false"/>
          <w:i w:val="false"/>
          <w:iCs w:val="false"/>
        </w:rPr>
        <w:t xml:space="preserve">Исходные допущения для оценки: доля повторных обращений в общем потоке составляет от 15 до 30 %; среднее время обработки повторного обращения без применения системы — 10 мин; при выявлении дубликата на этапе регистрации это время сокращается до 2 мин.</w:t>
      </w:r>
    </w:p>
    <w:p>
      <w:r>
        <w:rPr>
          <w:b w:val="false"/>
          <w:bCs w:val="false"/>
          <w:i w:val="false"/>
          <w:iCs w:val="false"/>
        </w:rPr>
        <w:t xml:space="preserve">При потоке 200 обращений в месяц и доле повторных обращений 20 % ожидаемая экономия составляет около 5 человеко-часов в месяц на одного оператора.</w:t>
      </w:r>
    </w:p>
    <w:p>
      <w:r>
        <w:rPr>
          <w:b w:val="false"/>
          <w:bCs w:val="false"/>
          <w:i w:val="false"/>
          <w:iCs w:val="false"/>
        </w:rPr>
        <w:t xml:space="preserve">Ориентировочная трудоёмкость разработки — 180 человеко-часов, в том числе: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анализ требований и проектирование — 40 человеко-часов;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реализация — 75 человеко-часов;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подготовка данных и настройка алгоритма — 20 человеко-часов;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тестирование — 30 человеко-часов;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документирование — 15 человеко-часов.</w:t>
      </w:r>
    </w:p>
    <w:p>
      <w:r>
        <w:rPr>
          <w:b w:val="false"/>
          <w:bCs w:val="false"/>
          <w:i w:val="false"/>
          <w:iCs w:val="false"/>
        </w:rPr>
        <w:t xml:space="preserve">Прямые денежные затраты на приобретение программных средств отсутствуют: применяются свободно распространяемые средства разработки, системы управления базами данных и модели векторного представления текста.</w:t>
      </w:r>
    </w:p>
    <w:p>
      <w:pPr>
        <w:pStyle w:val="Heading1"/>
      </w:pPr>
      <w:r>
        <w:t xml:space="preserve">7 Стадии и этапы разработки</w:t>
      </w:r>
    </w:p>
    <w:p>
      <w:r>
        <w:rPr>
          <w:b w:val="false"/>
          <w:bCs w:val="false"/>
          <w:i w:val="false"/>
          <w:iCs w:val="false"/>
        </w:rPr>
        <w:t xml:space="preserve">Разработка выполняется в соответствии с ГОСТ 19.102-77 в объёме, приведённом в таблице 7.</w:t>
      </w:r>
    </w:p>
    <w:p>
      <w:pPr>
        <w:pStyle w:val="Caption"/>
      </w:pPr>
      <w:r>
        <w:t xml:space="preserve">Таблица </w:t>
      </w:r>
      <w:fldSimple w:instr=" SEQ Таблица \* ARABIC ">
        <w:r>
          <w:t xml:space="preserve">7</w:t>
        </w:r>
      </w:fldSimple>
      <w:r>
        <w:t xml:space="preserve"> — Стадии и этапы разработки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896"/>
        <w:gridCol w:w="3287"/>
        <w:gridCol w:w="2655"/>
        <w:gridCol w:w="1517"/>
      </w:tblGrid>
      <w:tr>
        <w:trPr>
          <w:cantSplit/>
          <w:tblHeader/>
        </w:trPr>
        <w:tc>
          <w:tcPr>
            <w:tcW w:type="dxa" w:w="1896"/>
          </w:tcPr>
          <w:p>
            <w:pPr>
              <w:pStyle w:val="TableHeader"/>
            </w:pPr>
            <w:r>
              <w:t xml:space="preserve">Стадия</w:t>
            </w:r>
          </w:p>
        </w:tc>
        <w:tc>
          <w:tcPr>
            <w:tcW w:type="dxa" w:w="3287"/>
          </w:tcPr>
          <w:p>
            <w:pPr>
              <w:pStyle w:val="TableHeader"/>
            </w:pPr>
            <w:r>
              <w:t xml:space="preserve">Содержание работ</w:t>
            </w:r>
          </w:p>
        </w:tc>
        <w:tc>
          <w:tcPr>
            <w:tcW w:type="dxa" w:w="2655"/>
          </w:tcPr>
          <w:p>
            <w:pPr>
              <w:pStyle w:val="TableHeader"/>
            </w:pPr>
            <w:r>
              <w:t xml:space="preserve">Результат</w:t>
            </w:r>
          </w:p>
        </w:tc>
        <w:tc>
          <w:tcPr>
            <w:tcW w:type="dxa" w:w="1517"/>
          </w:tcPr>
          <w:p>
            <w:pPr>
              <w:pStyle w:val="TableHeader"/>
            </w:pPr>
            <w:r>
              <w:t xml:space="preserve">Срок</w:t>
            </w:r>
          </w:p>
        </w:tc>
      </w:tr>
      <w:tr>
        <w:trPr>
          <w:cantSplit/>
          <w:tblHeader w:val="false"/>
        </w:trPr>
        <w:tc>
          <w:tcPr>
            <w:tcW w:type="dxa" w:w="1896"/>
          </w:tcPr>
          <w:p>
            <w:pPr>
              <w:pStyle w:val="TableText"/>
            </w:pPr>
            <w:r>
              <w:t xml:space="preserve">Техническое задание</w:t>
            </w:r>
          </w:p>
        </w:tc>
        <w:tc>
          <w:tcPr>
            <w:tcW w:type="dxa" w:w="3287"/>
          </w:tcPr>
          <w:p>
            <w:pPr>
              <w:pStyle w:val="TableText"/>
            </w:pPr>
            <w:r>
              <w:t xml:space="preserve">Постановка задачи, анализ предметной области, определение требований, построение модели требований и модели анализа</w:t>
            </w:r>
          </w:p>
        </w:tc>
        <w:tc>
          <w:tcPr>
            <w:tcW w:type="dxa" w:w="2655"/>
          </w:tcPr>
          <w:p>
            <w:pPr>
              <w:pStyle w:val="TableText"/>
            </w:pPr>
            <w:r>
              <w:t xml:space="preserve">ТЗ с моделью требований: диаграммы прецедентов, деятельности, классов, эскиз интерфейса (приложения А, Б)</w:t>
            </w:r>
          </w:p>
        </w:tc>
        <w:tc>
          <w:tcPr>
            <w:tcW w:type="dxa" w:w="1517"/>
          </w:tcPr>
          <w:p>
            <w:pPr>
              <w:pStyle w:val="TableText"/>
            </w:pPr>
            <w:r>
              <w:t xml:space="preserve">24.09.2026</w:t>
            </w:r>
          </w:p>
        </w:tc>
      </w:tr>
      <w:tr>
        <w:trPr>
          <w:cantSplit/>
          <w:tblHeader w:val="false"/>
        </w:trPr>
        <w:tc>
          <w:tcPr>
            <w:tcW w:type="dxa" w:w="1896"/>
          </w:tcPr>
          <w:p>
            <w:pPr>
              <w:pStyle w:val="TableText"/>
            </w:pPr>
            <w:r>
              <w:t xml:space="preserve">Эскизный проект</w:t>
            </w:r>
          </w:p>
        </w:tc>
        <w:tc>
          <w:tcPr>
            <w:tcW w:type="dxa" w:w="3287"/>
          </w:tcPr>
          <w:p>
            <w:pPr>
              <w:pStyle w:val="TableText"/>
            </w:pPr>
            <w:r>
              <w:t xml:space="preserve">Выбор архитектуры, схемы базы данных и метода вычисления сходства; настройка репозитория и правил ветвления; настройка автоматического документирования кода</w:t>
            </w:r>
          </w:p>
        </w:tc>
        <w:tc>
          <w:tcPr>
            <w:tcW w:type="dxa" w:w="2655"/>
          </w:tcPr>
          <w:p>
            <w:pPr>
              <w:pStyle w:val="TableText"/>
            </w:pPr>
            <w:r>
              <w:t xml:space="preserve">Архитектурное решение, схема базы данных, репозиторий, сгенерированная документация на код</w:t>
            </w:r>
          </w:p>
        </w:tc>
        <w:tc>
          <w:tcPr>
            <w:tcW w:type="dxa" w:w="1517"/>
          </w:tcPr>
          <w:p>
            <w:pPr>
              <w:pStyle w:val="TableText"/>
            </w:pPr>
            <w:r>
              <w:t xml:space="preserve">08.10.2026</w:t>
            </w:r>
          </w:p>
        </w:tc>
      </w:tr>
      <w:tr>
        <w:trPr>
          <w:cantSplit/>
          <w:tblHeader w:val="false"/>
        </w:trPr>
        <w:tc>
          <w:tcPr>
            <w:tcW w:type="dxa" w:w="1896"/>
          </w:tcPr>
          <w:p>
            <w:pPr>
              <w:pStyle w:val="TableText"/>
            </w:pPr>
            <w:r>
              <w:t xml:space="preserve">Технический проект</w:t>
            </w:r>
          </w:p>
        </w:tc>
        <w:tc>
          <w:tcPr>
            <w:tcW w:type="dxa" w:w="3287"/>
          </w:tcPr>
          <w:p>
            <w:pPr>
              <w:pStyle w:val="TableText"/>
            </w:pPr>
            <w:r>
              <w:t xml:space="preserve">Реализация реестра обращений, модуля поиска и пользовательского интерфейса; подготовка демонстрационного набора данных; построение и анализ метрик кода, оптимизация кода</w:t>
            </w:r>
          </w:p>
        </w:tc>
        <w:tc>
          <w:tcPr>
            <w:tcW w:type="dxa" w:w="2655"/>
          </w:tcPr>
          <w:p>
            <w:pPr>
              <w:pStyle w:val="TableText"/>
            </w:pPr>
            <w:r>
              <w:t xml:space="preserve">Работоспособная версия системы, отчёт о метриках кода до и после оптимизации</w:t>
            </w:r>
          </w:p>
        </w:tc>
        <w:tc>
          <w:tcPr>
            <w:tcW w:type="dxa" w:w="1517"/>
          </w:tcPr>
          <w:p>
            <w:pPr>
              <w:pStyle w:val="TableText"/>
            </w:pPr>
            <w:r>
              <w:t xml:space="preserve">12.11.2026</w:t>
            </w:r>
          </w:p>
        </w:tc>
      </w:tr>
      <w:tr>
        <w:trPr>
          <w:cantSplit/>
          <w:tblHeader w:val="false"/>
        </w:trPr>
        <w:tc>
          <w:tcPr>
            <w:tcW w:type="dxa" w:w="1896"/>
          </w:tcPr>
          <w:p>
            <w:pPr>
              <w:pStyle w:val="TableText"/>
            </w:pPr>
            <w:r>
              <w:t xml:space="preserve">Рабочий проект</w:t>
            </w:r>
          </w:p>
        </w:tc>
        <w:tc>
          <w:tcPr>
            <w:tcW w:type="dxa" w:w="3287"/>
          </w:tcPr>
          <w:p>
            <w:pPr>
              <w:pStyle w:val="TableText"/>
            </w:pPr>
            <w:r>
              <w:t xml:space="preserve">Модульное тестирование и оценка покрытия кода, тестирование производительности и нагрузочное тестирование, тестирование графического интерфейса, измерение качества подбора на проверочной выборке, устранение дефектов</w:t>
            </w:r>
          </w:p>
        </w:tc>
        <w:tc>
          <w:tcPr>
            <w:tcW w:type="dxa" w:w="2655"/>
          </w:tcPr>
          <w:p>
            <w:pPr>
              <w:pStyle w:val="TableText"/>
            </w:pPr>
            <w:r>
              <w:t xml:space="preserve">Тест-план, тест-кейсы, матрица трассируемости, протоколы испытаний, отчёт о качестве подбора</w:t>
            </w:r>
          </w:p>
        </w:tc>
        <w:tc>
          <w:tcPr>
            <w:tcW w:type="dxa" w:w="1517"/>
          </w:tcPr>
          <w:p>
            <w:pPr>
              <w:pStyle w:val="TableText"/>
            </w:pPr>
            <w:r>
              <w:t xml:space="preserve">19.11.2026</w:t>
            </w:r>
          </w:p>
        </w:tc>
      </w:tr>
      <w:tr>
        <w:trPr>
          <w:cantSplit/>
          <w:tblHeader w:val="false"/>
        </w:trPr>
        <w:tc>
          <w:tcPr>
            <w:tcW w:type="dxa" w:w="1896"/>
          </w:tcPr>
          <w:p>
            <w:pPr>
              <w:pStyle w:val="TableText"/>
            </w:pPr>
            <w:r>
              <w:t xml:space="preserve">Внедрение</w:t>
            </w:r>
          </w:p>
        </w:tc>
        <w:tc>
          <w:tcPr>
            <w:tcW w:type="dxa" w:w="3287"/>
          </w:tcPr>
          <w:p>
            <w:pPr>
              <w:pStyle w:val="TableText"/>
            </w:pPr>
            <w:r>
              <w:t xml:space="preserve">Подготовка пояснительной записки и эксплуатационной документации, демонстрация функционала, анализ вклада участников</w:t>
            </w:r>
          </w:p>
        </w:tc>
        <w:tc>
          <w:tcPr>
            <w:tcW w:type="dxa" w:w="2655"/>
          </w:tcPr>
          <w:p>
            <w:pPr>
              <w:pStyle w:val="TableText"/>
            </w:pPr>
            <w:r>
              <w:t xml:space="preserve">Пояснительная записка, комплект документации, демонстрация системы</w:t>
            </w:r>
          </w:p>
        </w:tc>
        <w:tc>
          <w:tcPr>
            <w:tcW w:type="dxa" w:w="1517"/>
          </w:tcPr>
          <w:p>
            <w:pPr>
              <w:pStyle w:val="TableText"/>
            </w:pPr>
            <w:r>
              <w:t xml:space="preserve">02.12.2026</w:t>
            </w:r>
          </w:p>
        </w:tc>
      </w:tr>
    </w:tbl>
    <w:p>
      <w:pPr>
        <w:pStyle w:val="AfterTable"/>
      </w:pPr>
    </w:p>
    <w:p>
      <w:pPr>
        <w:pStyle w:val="Heading1"/>
      </w:pPr>
      <w:r>
        <w:t xml:space="preserve">8 Порядок контроля и приёмки</w:t>
      </w:r>
    </w:p>
    <w:p>
      <w:pPr>
        <w:pStyle w:val="Heading2"/>
      </w:pPr>
      <w:r>
        <w:t xml:space="preserve">8.1 Виды испытаний</w:t>
      </w:r>
    </w:p>
    <w:p>
      <w:r>
        <w:rPr>
          <w:b w:val="false"/>
          <w:bCs w:val="false"/>
          <w:i w:val="false"/>
          <w:iCs w:val="false"/>
        </w:rPr>
        <w:t xml:space="preserve">Система подвергается следующим видам испытаний:</w:t>
      </w:r>
    </w:p>
    <w:p>
      <w:pPr>
        <w:pStyle w:val="ListParagraph"/>
        <w:numPr>
          <w:ilvl w:val="0"/>
          <w:numId w:val="3"/>
        </w:numPr>
        <w:ind w:left="1134" w:hanging="425"/>
      </w:pPr>
      <w:r>
        <w:t xml:space="preserve">модульное тестирование — проверка отдельных функций и методов, включая функции нормализации текста, вычисления коэффициента сходства, определения вида связи, проверки переходов статусов и обнаружения циклов связей; целевое покрытие кода тестами — не менее 70 % по строкам;</w:t>
      </w:r>
    </w:p>
    <w:p>
      <w:pPr>
        <w:pStyle w:val="ListParagraph"/>
        <w:numPr>
          <w:ilvl w:val="0"/>
          <w:numId w:val="3"/>
        </w:numPr>
        <w:ind w:left="1134" w:hanging="425"/>
      </w:pPr>
      <w:r>
        <w:t xml:space="preserve">интеграционное тестирование — проверка взаимодействия серверной части, базы данных и модуля семантического поиска;</w:t>
      </w:r>
    </w:p>
    <w:p>
      <w:pPr>
        <w:pStyle w:val="ListParagraph"/>
        <w:numPr>
          <w:ilvl w:val="0"/>
          <w:numId w:val="3"/>
        </w:numPr>
        <w:ind w:left="1134" w:hanging="425"/>
      </w:pPr>
      <w:r>
        <w:t xml:space="preserve">функциональное тестирование — проверка реализации требований ТЗ.Ф1 — ТЗ.Ф15 по тест-кейсам, включая положительные и отрицательные проверки;</w:t>
      </w:r>
    </w:p>
    <w:p>
      <w:pPr>
        <w:pStyle w:val="ListParagraph"/>
        <w:numPr>
          <w:ilvl w:val="0"/>
          <w:numId w:val="3"/>
        </w:numPr>
        <w:ind w:left="1134" w:hanging="425"/>
      </w:pPr>
      <w:r>
        <w:t xml:space="preserve">тестирование качества подбора — измерение показателя recall@3 на проверочной части эталонного набора;</w:t>
      </w:r>
    </w:p>
    <w:p>
      <w:pPr>
        <w:pStyle w:val="ListParagraph"/>
        <w:numPr>
          <w:ilvl w:val="0"/>
          <w:numId w:val="3"/>
        </w:numPr>
        <w:ind w:left="1134" w:hanging="425"/>
      </w:pPr>
      <w:r>
        <w:t xml:space="preserve">тестирование производительности и нагрузочное тестирование — проверка соответствия характеристикам таблицы 4 при числе одновременных соединений не менее 10;</w:t>
      </w:r>
    </w:p>
    <w:p>
      <w:pPr>
        <w:pStyle w:val="ListParagraph"/>
        <w:numPr>
          <w:ilvl w:val="0"/>
          <w:numId w:val="3"/>
        </w:numPr>
        <w:ind w:left="1134" w:hanging="425"/>
      </w:pPr>
      <w:r>
        <w:t xml:space="preserve">тестирование графического интерфейса — проверка основных сценариев работы пользователя автоматизированными сценариями;</w:t>
      </w:r>
    </w:p>
    <w:p>
      <w:pPr>
        <w:pStyle w:val="ListParagraph"/>
        <w:numPr>
          <w:ilvl w:val="0"/>
          <w:numId w:val="3"/>
        </w:numPr>
        <w:ind w:left="1134" w:hanging="425"/>
      </w:pPr>
      <w:r>
        <w:t xml:space="preserve">приёмочные испытания — демонстрация функционала системы заказчику и запуск системы по документированной инструкции.</w:t>
      </w:r>
    </w:p>
    <w:p>
      <w:pPr>
        <w:pStyle w:val="Heading2"/>
      </w:pPr>
      <w:r>
        <w:t xml:space="preserve">8.2 Методика измерения качества подбора</w:t>
      </w:r>
    </w:p>
    <w:p>
      <w:r>
        <w:rPr>
          <w:b w:val="false"/>
          <w:bCs w:val="false"/>
          <w:i w:val="false"/>
          <w:iCs w:val="false"/>
        </w:rPr>
        <w:t xml:space="preserve">Измерение выполняется на эталонном наборе из 100–150 обращений на русском языке, подготовленном исполнителем. Набор заранее разделяется на настроечную часть (для подбора порогов P1, P2 и весов w1 — w4) и проверочную часть, которая не используется при настройке и не изменяется между релизами.</w:t>
      </w:r>
    </w:p>
    <w:p>
      <w:r>
        <w:rPr>
          <w:b w:val="false"/>
          <w:bCs w:val="false"/>
          <w:i w:val="false"/>
          <w:iCs w:val="false"/>
        </w:rPr>
        <w:t xml:space="preserve">Для каждого обращения проверочной части формируется запрос к системе, после чего проверяется положение истинных дубликатов в выдаче и вычисляется recall@3. Результат измерения фиксируется для каждого релиза вместе с версией модели и значениями параметров.</w:t>
      </w:r>
    </w:p>
    <w:p>
      <w:r>
        <w:rPr>
          <w:b w:val="false"/>
          <w:bCs w:val="false"/>
          <w:i w:val="false"/>
          <w:iCs w:val="false"/>
        </w:rPr>
        <w:t xml:space="preserve">Дополнительно допускается внешняя проверка алгоритма на открытых наборах данных с готовой разметкой дубликатов (AskUbuntu, CQADupStack, GitBugs) с указанием использованной лицензии.</w:t>
      </w:r>
    </w:p>
    <w:p>
      <w:pPr>
        <w:pStyle w:val="Heading2"/>
      </w:pPr>
      <w:r>
        <w:t xml:space="preserve">8.3 Критерии приёмки</w:t>
      </w:r>
    </w:p>
    <w:p>
      <w:r>
        <w:rPr>
          <w:b w:val="false"/>
          <w:bCs w:val="false"/>
          <w:i w:val="false"/>
          <w:iCs w:val="false"/>
        </w:rPr>
        <w:t xml:space="preserve">Система считается соответствующей настоящему техническому заданию при одновременном выполнении условий: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реализованы функции ТЗ.Ф1 — ТЗ.Ф15;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recall@3 на проверочной части эталонного набора — не менее 0,80;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выполнены требования к временным характеристикам по таблице 4;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покрытие кода модульными тестами — не менее 70 % по строкам;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отсутствуют незакрытые дефекты с уровнем серьёзности «блокирующий» и «критический»;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система запускается по инструкции из комплекта поставки без участия разработчика;</w:t>
      </w:r>
    </w:p>
    <w:p>
      <w:pPr>
        <w:pStyle w:val="ListParagraph"/>
        <w:numPr>
          <w:ilvl w:val="0"/>
          <w:numId w:val="2"/>
        </w:numPr>
        <w:ind w:left="709" w:hanging="360"/>
      </w:pPr>
      <w:r>
        <w:t xml:space="preserve">представлен комплект документации в объёме раздела 5.</w:t>
      </w:r>
    </w:p>
    <w:p>
      <w:pPr>
        <w:pStyle w:val="Heading2"/>
      </w:pPr>
      <w:r>
        <w:t xml:space="preserve">8.4 Порядок приёмки</w:t>
      </w:r>
    </w:p>
    <w:p>
      <w:r>
        <w:rPr>
          <w:b w:val="false"/>
          <w:bCs w:val="false"/>
          <w:i w:val="false"/>
          <w:iCs w:val="false"/>
        </w:rPr>
        <w:t xml:space="preserve">Приёмка выполняется поэтапно, в сроки согласно таблице 7. Этап считается принятым после демонстрации результата заказчику и защиты его ответственным исполнителем. Этап, результат которого защищает исполнитель, не являющийся ответственным за этот этап, считается принятым с понижением оценки.</w:t>
      </w:r>
    </w:p>
    <w:p>
      <w:r>
        <w:rPr>
          <w:b w:val="false"/>
          <w:bCs w:val="false"/>
          <w:i w:val="false"/>
          <w:iCs w:val="false"/>
        </w:rPr>
        <w:t xml:space="preserve">Результаты приёмки оформляются протоколом. Выявленные при приёмке замечания устраняются исполнителем в срок, согласованный с заказчиком.</w:t>
      </w:r>
    </w:p>
    <w:p>
      <w:pPr>
        <w:pStyle w:val="Heading1"/>
      </w:pPr>
      <w:r>
        <w:br w:type="page"/>
      </w:r>
      <w:r>
        <w:t xml:space="preserve">Приложение А (обязательное) Модель требований</w:t>
      </w:r>
    </w:p>
    <w:p>
      <w:pPr>
        <w:pStyle w:val="Heading2"/>
      </w:pPr>
      <w:r>
        <w:t xml:space="preserve">А.1 Методология и состав модели</w:t>
      </w:r>
    </w:p>
    <w:p>
      <w:r>
        <w:rPr>
          <w:b w:val="false"/>
          <w:bCs w:val="false"/>
          <w:i w:val="false"/>
          <w:iCs w:val="false"/>
        </w:rPr>
        <w:t xml:space="preserve">Выбранная методология разработки — итеративная, управляемая прецедентами (use-case driven, по образцу Rational Unified Process): требования фиксируются в виде прецедентов, каждая итерация реализует и проверяет законченный набор прецедентов, модель анализа выводится из модели требований. Соответственно модель требований построена в объектно-ориентированной нотации UML 2: прецеденты и акторы описывают функциональные требования, диаграммы деятельности — потоки событий, модель классов — понятия предметной области.</w:t>
      </w:r>
    </w:p>
    <w:p>
      <w:r>
        <w:rPr>
          <w:b w:val="false"/>
          <w:bCs w:val="false"/>
          <w:i w:val="false"/>
          <w:iCs w:val="false"/>
        </w:rPr>
        <w:t xml:space="preserve">Модель требований включает перечень акторов и прецедентов, описания основных прецедентов (настоящее приложение) и UML-диаграммы: прецедентов, деятельности, классов предметной области, а также эскиз пользовательского интерфейса (приложение Б).</w:t>
      </w:r>
    </w:p>
    <w:p>
      <w:pPr>
        <w:pStyle w:val="Heading2"/>
      </w:pPr>
      <w:r>
        <w:t xml:space="preserve">А.2 Акторы системы</w:t>
      </w:r>
    </w:p>
    <w:p>
      <w:pPr>
        <w:pStyle w:val="Caption"/>
      </w:pPr>
      <w:r>
        <w:t xml:space="preserve">Таблица А.1 — Акторы системы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673"/>
        <w:gridCol w:w="6682"/>
      </w:tblGrid>
      <w:tr>
        <w:trPr>
          <w:cantSplit/>
          <w:tblHeader/>
        </w:trPr>
        <w:tc>
          <w:tcPr>
            <w:tcW w:type="dxa" w:w="2673"/>
          </w:tcPr>
          <w:p>
            <w:pPr>
              <w:pStyle w:val="TableHeader"/>
            </w:pPr>
            <w:r>
              <w:t xml:space="preserve">Актор</w:t>
            </w:r>
          </w:p>
        </w:tc>
        <w:tc>
          <w:tcPr>
            <w:tcW w:type="dxa" w:w="6682"/>
          </w:tcPr>
          <w:p>
            <w:pPr>
              <w:pStyle w:val="TableHeader"/>
            </w:pPr>
            <w:r>
              <w:t xml:space="preserve">Описание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Пользователь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Сотрудник, обращающийся в службу технической поддержки; регистрирует обращения, просматривает рекомендации, оценивает опубликованные решения и статус своих обращений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Оператор технической поддержки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Сотрудник службы поддержки; обрабатывает обращения, устанавливает и отклоняет связи, публикует решения, изменяет статусы, помечает обращения как конфиденциальные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Администратор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Настраивает систему: справочники, пользователей, параметры поиска (пороги, число результатов, веса, модель); просматривает статистику качества рекомендаций</w:t>
            </w:r>
          </w:p>
        </w:tc>
      </w:tr>
      <w:tr>
        <w:trPr>
          <w:cantSplit/>
          <w:tblHeader w:val="false"/>
        </w:trPr>
        <w:tc>
          <w:tcPr>
            <w:tcW w:type="dxa" w:w="2673"/>
          </w:tcPr>
          <w:p>
            <w:pPr>
              <w:pStyle w:val="TableText"/>
            </w:pPr>
            <w:r>
              <w:t xml:space="preserve">Модуль семантического поиска</w:t>
            </w:r>
          </w:p>
        </w:tc>
        <w:tc>
          <w:tcPr>
            <w:tcW w:type="dxa" w:w="6682"/>
          </w:tcPr>
          <w:p>
            <w:pPr>
              <w:pStyle w:val="TableText"/>
            </w:pPr>
            <w:r>
              <w:t xml:space="preserve">Внешний по отношению к прикладной логике программный компонент, вычисляющий векторные представления текста и коэффициенты сходства</w:t>
            </w:r>
          </w:p>
        </w:tc>
      </w:tr>
    </w:tbl>
    <w:p>
      <w:pPr>
        <w:pStyle w:val="AfterTable"/>
      </w:pPr>
    </w:p>
    <w:p>
      <w:pPr>
        <w:pStyle w:val="Heading2"/>
      </w:pPr>
      <w:r>
        <w:t xml:space="preserve">А.3 Перечень прецедентов</w:t>
      </w:r>
    </w:p>
    <w:p>
      <w:pPr>
        <w:pStyle w:val="Caption"/>
      </w:pPr>
      <w:r>
        <w:t xml:space="preserve">Таблица А.2 — Перечень прецедентов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136"/>
        <w:gridCol w:w="3542"/>
        <w:gridCol w:w="2339"/>
        <w:gridCol w:w="2338"/>
      </w:tblGrid>
      <w:tr>
        <w:trPr>
          <w:cantSplit/>
          <w:tblHeader/>
        </w:trPr>
        <w:tc>
          <w:tcPr>
            <w:tcW w:type="dxa" w:w="1136"/>
          </w:tcPr>
          <w:p>
            <w:pPr>
              <w:pStyle w:val="TableHeader"/>
            </w:pPr>
            <w:r>
              <w:t xml:space="preserve">Код</w:t>
            </w:r>
          </w:p>
        </w:tc>
        <w:tc>
          <w:tcPr>
            <w:tcW w:type="dxa" w:w="3542"/>
          </w:tcPr>
          <w:p>
            <w:pPr>
              <w:pStyle w:val="TableHeader"/>
            </w:pPr>
            <w:r>
              <w:t xml:space="preserve">Прецедент</w:t>
            </w:r>
          </w:p>
        </w:tc>
        <w:tc>
          <w:tcPr>
            <w:tcW w:type="dxa" w:w="2339"/>
          </w:tcPr>
          <w:p>
            <w:pPr>
              <w:pStyle w:val="TableHeader"/>
            </w:pPr>
            <w:r>
              <w:t xml:space="preserve">Основной актор</w:t>
            </w:r>
          </w:p>
        </w:tc>
        <w:tc>
          <w:tcPr>
            <w:tcW w:type="dxa" w:w="2338"/>
          </w:tcPr>
          <w:p>
            <w:pPr>
              <w:pStyle w:val="TableHeader"/>
            </w:pPr>
            <w:r>
              <w:t xml:space="preserve">Отношения</w:t>
            </w:r>
          </w:p>
        </w:tc>
      </w:tr>
      <w:tr>
        <w:trPr>
          <w:cantSplit/>
          <w:tblHeader w:val="false"/>
        </w:trPr>
        <w:tc>
          <w:tcPr>
            <w:tcW w:type="dxa" w:w="1136"/>
          </w:tcPr>
          <w:p>
            <w:pPr>
              <w:pStyle w:val="TableText"/>
            </w:pPr>
            <w:r>
              <w:t xml:space="preserve">ПЦ1</w:t>
            </w:r>
          </w:p>
        </w:tc>
        <w:tc>
          <w:tcPr>
            <w:tcW w:type="dxa" w:w="3542"/>
          </w:tcPr>
          <w:p>
            <w:pPr>
              <w:pStyle w:val="TableText"/>
            </w:pPr>
            <w:r>
              <w:t xml:space="preserve">Зарегистрировать обращение (включая редактирование черновика)</w:t>
            </w:r>
          </w:p>
        </w:tc>
        <w:tc>
          <w:tcPr>
            <w:tcW w:type="dxa" w:w="2339"/>
          </w:tcPr>
          <w:p>
            <w:pPr>
              <w:pStyle w:val="TableText"/>
            </w:pPr>
            <w:r>
              <w:t xml:space="preserve">Пользователь</w:t>
            </w:r>
          </w:p>
        </w:tc>
        <w:tc>
          <w:tcPr>
            <w:tcW w:type="dxa" w:w="2338"/>
          </w:tcPr>
          <w:p>
            <w:pPr>
              <w:pStyle w:val="TableText"/>
            </w:pPr>
            <w:r>
              <w:t xml:space="preserve">include ПЦ2, ПЦ11</w:t>
            </w:r>
          </w:p>
        </w:tc>
      </w:tr>
      <w:tr>
        <w:trPr>
          <w:cantSplit/>
          <w:tblHeader w:val="false"/>
        </w:trPr>
        <w:tc>
          <w:tcPr>
            <w:tcW w:type="dxa" w:w="1136"/>
          </w:tcPr>
          <w:p>
            <w:pPr>
              <w:pStyle w:val="TableText"/>
            </w:pPr>
            <w:r>
              <w:t xml:space="preserve">ПЦ2</w:t>
            </w:r>
          </w:p>
        </w:tc>
        <w:tc>
          <w:tcPr>
            <w:tcW w:type="dxa" w:w="3542"/>
          </w:tcPr>
          <w:p>
            <w:pPr>
              <w:pStyle w:val="TableText"/>
            </w:pPr>
            <w:r>
              <w:t xml:space="preserve">Подобрать похожие обращения</w:t>
            </w:r>
          </w:p>
        </w:tc>
        <w:tc>
          <w:tcPr>
            <w:tcW w:type="dxa" w:w="2339"/>
          </w:tcPr>
          <w:p>
            <w:pPr>
              <w:pStyle w:val="TableText"/>
            </w:pPr>
            <w:r>
              <w:t xml:space="preserve">Модуль семантического поиска</w:t>
            </w:r>
          </w:p>
        </w:tc>
        <w:tc>
          <w:tcPr>
            <w:tcW w:type="dxa" w:w="2338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136"/>
          </w:tcPr>
          <w:p>
            <w:pPr>
              <w:pStyle w:val="TableText"/>
            </w:pPr>
            <w:r>
              <w:t xml:space="preserve">ПЦ3</w:t>
            </w:r>
          </w:p>
        </w:tc>
        <w:tc>
          <w:tcPr>
            <w:tcW w:type="dxa" w:w="3542"/>
          </w:tcPr>
          <w:p>
            <w:pPr>
              <w:pStyle w:val="TableText"/>
            </w:pPr>
            <w:r>
              <w:t xml:space="preserve">Просмотреть найденное обращение и его решение</w:t>
            </w:r>
          </w:p>
        </w:tc>
        <w:tc>
          <w:tcPr>
            <w:tcW w:type="dxa" w:w="2339"/>
          </w:tcPr>
          <w:p>
            <w:pPr>
              <w:pStyle w:val="TableText"/>
            </w:pPr>
            <w:r>
              <w:t xml:space="preserve">Пользователь</w:t>
            </w:r>
          </w:p>
        </w:tc>
        <w:tc>
          <w:tcPr>
            <w:tcW w:type="dxa" w:w="2338"/>
          </w:tcPr>
          <w:p>
            <w:pPr>
              <w:pStyle w:val="TableText"/>
            </w:pPr>
            <w:r>
              <w:t xml:space="preserve">extend ПЦ1</w:t>
            </w:r>
          </w:p>
        </w:tc>
      </w:tr>
      <w:tr>
        <w:trPr>
          <w:cantSplit/>
          <w:tblHeader w:val="false"/>
        </w:trPr>
        <w:tc>
          <w:tcPr>
            <w:tcW w:type="dxa" w:w="1136"/>
          </w:tcPr>
          <w:p>
            <w:pPr>
              <w:pStyle w:val="TableText"/>
            </w:pPr>
            <w:r>
              <w:t xml:space="preserve">ПЦ4</w:t>
            </w:r>
          </w:p>
        </w:tc>
        <w:tc>
          <w:tcPr>
            <w:tcW w:type="dxa" w:w="3542"/>
          </w:tcPr>
          <w:p>
            <w:pPr>
              <w:pStyle w:val="TableText"/>
            </w:pPr>
            <w:r>
              <w:t xml:space="preserve">Пометить обращение как дубликат</w:t>
            </w:r>
          </w:p>
        </w:tc>
        <w:tc>
          <w:tcPr>
            <w:tcW w:type="dxa" w:w="2339"/>
          </w:tcPr>
          <w:p>
            <w:pPr>
              <w:pStyle w:val="TableText"/>
            </w:pPr>
            <w:r>
              <w:t xml:space="preserve">Пользователь, оператор</w:t>
            </w:r>
          </w:p>
        </w:tc>
        <w:tc>
          <w:tcPr>
            <w:tcW w:type="dxa" w:w="2338"/>
          </w:tcPr>
          <w:p>
            <w:pPr>
              <w:pStyle w:val="TableText"/>
            </w:pPr>
            <w:r>
              <w:t xml:space="preserve">extend ПЦ1</w:t>
            </w:r>
          </w:p>
        </w:tc>
      </w:tr>
      <w:tr>
        <w:trPr>
          <w:cantSplit/>
          <w:tblHeader w:val="false"/>
        </w:trPr>
        <w:tc>
          <w:tcPr>
            <w:tcW w:type="dxa" w:w="1136"/>
          </w:tcPr>
          <w:p>
            <w:pPr>
              <w:pStyle w:val="TableText"/>
            </w:pPr>
            <w:r>
              <w:t xml:space="preserve">ПЦ5</w:t>
            </w:r>
          </w:p>
        </w:tc>
        <w:tc>
          <w:tcPr>
            <w:tcW w:type="dxa" w:w="3542"/>
          </w:tcPr>
          <w:p>
            <w:pPr>
              <w:pStyle w:val="TableText"/>
            </w:pPr>
            <w:r>
              <w:t xml:space="preserve">Связать обращения как тематически близкие</w:t>
            </w:r>
          </w:p>
        </w:tc>
        <w:tc>
          <w:tcPr>
            <w:tcW w:type="dxa" w:w="2339"/>
          </w:tcPr>
          <w:p>
            <w:pPr>
              <w:pStyle w:val="TableText"/>
            </w:pPr>
            <w:r>
              <w:t xml:space="preserve">Оператор</w:t>
            </w:r>
          </w:p>
        </w:tc>
        <w:tc>
          <w:tcPr>
            <w:tcW w:type="dxa" w:w="2338"/>
          </w:tcPr>
          <w:p>
            <w:pPr>
              <w:pStyle w:val="TableText"/>
            </w:pPr>
            <w:r>
              <w:t xml:space="preserve">extend ПЦ1; include ПЦ11</w:t>
            </w:r>
          </w:p>
        </w:tc>
      </w:tr>
      <w:tr>
        <w:trPr>
          <w:cantSplit/>
          <w:tblHeader w:val="false"/>
        </w:trPr>
        <w:tc>
          <w:tcPr>
            <w:tcW w:type="dxa" w:w="1136"/>
          </w:tcPr>
          <w:p>
            <w:pPr>
              <w:pStyle w:val="TableText"/>
            </w:pPr>
            <w:r>
              <w:t xml:space="preserve">ПЦ6</w:t>
            </w:r>
          </w:p>
        </w:tc>
        <w:tc>
          <w:tcPr>
            <w:tcW w:type="dxa" w:w="3542"/>
          </w:tcPr>
          <w:p>
            <w:pPr>
              <w:pStyle w:val="TableText"/>
            </w:pPr>
            <w:r>
              <w:t xml:space="preserve">Отклонить рекомендацию</w:t>
            </w:r>
          </w:p>
        </w:tc>
        <w:tc>
          <w:tcPr>
            <w:tcW w:type="dxa" w:w="2339"/>
          </w:tcPr>
          <w:p>
            <w:pPr>
              <w:pStyle w:val="TableText"/>
            </w:pPr>
            <w:r>
              <w:t xml:space="preserve">Пользователь, оператор</w:t>
            </w:r>
          </w:p>
        </w:tc>
        <w:tc>
          <w:tcPr>
            <w:tcW w:type="dxa" w:w="2338"/>
          </w:tcPr>
          <w:p>
            <w:pPr>
              <w:pStyle w:val="TableText"/>
            </w:pPr>
            <w:r>
              <w:t xml:space="preserve">extend ПЦ1</w:t>
            </w:r>
          </w:p>
        </w:tc>
      </w:tr>
      <w:tr>
        <w:trPr>
          <w:cantSplit/>
          <w:tblHeader w:val="false"/>
        </w:trPr>
        <w:tc>
          <w:tcPr>
            <w:tcW w:type="dxa" w:w="1136"/>
          </w:tcPr>
          <w:p>
            <w:pPr>
              <w:pStyle w:val="TableText"/>
            </w:pPr>
            <w:r>
              <w:t xml:space="preserve">ПЦ7</w:t>
            </w:r>
          </w:p>
        </w:tc>
        <w:tc>
          <w:tcPr>
            <w:tcW w:type="dxa" w:w="3542"/>
          </w:tcPr>
          <w:p>
            <w:pPr>
              <w:pStyle w:val="TableText"/>
            </w:pPr>
            <w:r>
              <w:t xml:space="preserve">Обработать обращение и опубликовать решение</w:t>
            </w:r>
          </w:p>
        </w:tc>
        <w:tc>
          <w:tcPr>
            <w:tcW w:type="dxa" w:w="2339"/>
          </w:tcPr>
          <w:p>
            <w:pPr>
              <w:pStyle w:val="TableText"/>
            </w:pPr>
            <w:r>
              <w:t xml:space="preserve">Оператор</w:t>
            </w:r>
          </w:p>
        </w:tc>
        <w:tc>
          <w:tcPr>
            <w:tcW w:type="dxa" w:w="2338"/>
          </w:tcPr>
          <w:p>
            <w:pPr>
              <w:pStyle w:val="TableText"/>
            </w:pPr>
            <w:r>
              <w:t xml:space="preserve">include ПЦ11</w:t>
            </w:r>
          </w:p>
        </w:tc>
      </w:tr>
      <w:tr>
        <w:trPr>
          <w:cantSplit/>
          <w:tblHeader w:val="false"/>
        </w:trPr>
        <w:tc>
          <w:tcPr>
            <w:tcW w:type="dxa" w:w="1136"/>
          </w:tcPr>
          <w:p>
            <w:pPr>
              <w:pStyle w:val="TableText"/>
            </w:pPr>
            <w:r>
              <w:t xml:space="preserve">ПЦ8</w:t>
            </w:r>
          </w:p>
        </w:tc>
        <w:tc>
          <w:tcPr>
            <w:tcW w:type="dxa" w:w="3542"/>
          </w:tcPr>
          <w:p>
            <w:pPr>
              <w:pStyle w:val="TableText"/>
            </w:pPr>
            <w:r>
              <w:t xml:space="preserve">Вести реестр обращений (просмотр, фильтрация, поиск)</w:t>
            </w:r>
          </w:p>
        </w:tc>
        <w:tc>
          <w:tcPr>
            <w:tcW w:type="dxa" w:w="2339"/>
          </w:tcPr>
          <w:p>
            <w:pPr>
              <w:pStyle w:val="TableText"/>
            </w:pPr>
            <w:r>
              <w:t xml:space="preserve">Оператор</w:t>
            </w:r>
          </w:p>
        </w:tc>
        <w:tc>
          <w:tcPr>
            <w:tcW w:type="dxa" w:w="2338"/>
          </w:tcPr>
          <w:p>
            <w:pPr>
              <w:pStyle w:val="TableText"/>
            </w:pPr>
            <w:r>
              <w:t xml:space="preserve">include ПЦ11</w:t>
            </w:r>
          </w:p>
        </w:tc>
      </w:tr>
      <w:tr>
        <w:trPr>
          <w:cantSplit/>
          <w:tblHeader w:val="false"/>
        </w:trPr>
        <w:tc>
          <w:tcPr>
            <w:tcW w:type="dxa" w:w="1136"/>
          </w:tcPr>
          <w:p>
            <w:pPr>
              <w:pStyle w:val="TableText"/>
            </w:pPr>
            <w:r>
              <w:t xml:space="preserve">ПЦ9</w:t>
            </w:r>
          </w:p>
        </w:tc>
        <w:tc>
          <w:tcPr>
            <w:tcW w:type="dxa" w:w="3542"/>
          </w:tcPr>
          <w:p>
            <w:pPr>
              <w:pStyle w:val="TableText"/>
            </w:pPr>
            <w:r>
              <w:t xml:space="preserve">Просмотреть статистику качества рекомендаций</w:t>
            </w:r>
          </w:p>
        </w:tc>
        <w:tc>
          <w:tcPr>
            <w:tcW w:type="dxa" w:w="2339"/>
          </w:tcPr>
          <w:p>
            <w:pPr>
              <w:pStyle w:val="TableText"/>
            </w:pPr>
            <w:r>
              <w:t xml:space="preserve">Администратор</w:t>
            </w:r>
          </w:p>
        </w:tc>
        <w:tc>
          <w:tcPr>
            <w:tcW w:type="dxa" w:w="2338"/>
          </w:tcPr>
          <w:p>
            <w:pPr>
              <w:pStyle w:val="TableText"/>
            </w:pPr>
            <w:r>
              <w:t xml:space="preserve">include ПЦ11</w:t>
            </w:r>
          </w:p>
        </w:tc>
      </w:tr>
      <w:tr>
        <w:trPr>
          <w:cantSplit/>
          <w:tblHeader w:val="false"/>
        </w:trPr>
        <w:tc>
          <w:tcPr>
            <w:tcW w:type="dxa" w:w="1136"/>
          </w:tcPr>
          <w:p>
            <w:pPr>
              <w:pStyle w:val="TableText"/>
            </w:pPr>
            <w:r>
              <w:t xml:space="preserve">ПЦ10</w:t>
            </w:r>
          </w:p>
        </w:tc>
        <w:tc>
          <w:tcPr>
            <w:tcW w:type="dxa" w:w="3542"/>
          </w:tcPr>
          <w:p>
            <w:pPr>
              <w:pStyle w:val="TableText"/>
            </w:pPr>
            <w:r>
              <w:t xml:space="preserve">Настроить параметры поиска</w:t>
            </w:r>
          </w:p>
        </w:tc>
        <w:tc>
          <w:tcPr>
            <w:tcW w:type="dxa" w:w="2339"/>
          </w:tcPr>
          <w:p>
            <w:pPr>
              <w:pStyle w:val="TableText"/>
            </w:pPr>
            <w:r>
              <w:t xml:space="preserve">Администратор</w:t>
            </w:r>
          </w:p>
        </w:tc>
        <w:tc>
          <w:tcPr>
            <w:tcW w:type="dxa" w:w="2338"/>
          </w:tcPr>
          <w:p>
            <w:pPr>
              <w:pStyle w:val="TableText"/>
            </w:pPr>
            <w:r>
              <w:t xml:space="preserve">include ПЦ11</w:t>
            </w:r>
          </w:p>
        </w:tc>
      </w:tr>
      <w:tr>
        <w:trPr>
          <w:cantSplit/>
          <w:tblHeader w:val="false"/>
        </w:trPr>
        <w:tc>
          <w:tcPr>
            <w:tcW w:type="dxa" w:w="1136"/>
          </w:tcPr>
          <w:p>
            <w:pPr>
              <w:pStyle w:val="TableText"/>
            </w:pPr>
            <w:r>
              <w:t xml:space="preserve">ПЦ11</w:t>
            </w:r>
          </w:p>
        </w:tc>
        <w:tc>
          <w:tcPr>
            <w:tcW w:type="dxa" w:w="3542"/>
          </w:tcPr>
          <w:p>
            <w:pPr>
              <w:pStyle w:val="TableText"/>
            </w:pPr>
            <w:r>
              <w:t xml:space="preserve">Войти в систему</w:t>
            </w:r>
          </w:p>
        </w:tc>
        <w:tc>
          <w:tcPr>
            <w:tcW w:type="dxa" w:w="2339"/>
          </w:tcPr>
          <w:p>
            <w:pPr>
              <w:pStyle w:val="TableText"/>
            </w:pPr>
            <w:r>
              <w:t xml:space="preserve">Все роли</w:t>
            </w:r>
          </w:p>
        </w:tc>
        <w:tc>
          <w:tcPr>
            <w:tcW w:type="dxa" w:w="2338"/>
          </w:tcPr>
          <w:p>
            <w:pPr>
              <w:pStyle w:val="TableText"/>
            </w:pPr>
            <w: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1136"/>
          </w:tcPr>
          <w:p>
            <w:pPr>
              <w:pStyle w:val="TableText"/>
            </w:pPr>
            <w:r>
              <w:t xml:space="preserve">ПЦ12</w:t>
            </w:r>
          </w:p>
        </w:tc>
        <w:tc>
          <w:tcPr>
            <w:tcW w:type="dxa" w:w="3542"/>
          </w:tcPr>
          <w:p>
            <w:pPr>
              <w:pStyle w:val="TableText"/>
            </w:pPr>
            <w:r>
              <w:t xml:space="preserve">Оценить полезность решения</w:t>
            </w:r>
          </w:p>
        </w:tc>
        <w:tc>
          <w:tcPr>
            <w:tcW w:type="dxa" w:w="2339"/>
          </w:tcPr>
          <w:p>
            <w:pPr>
              <w:pStyle w:val="TableText"/>
            </w:pPr>
            <w:r>
              <w:t xml:space="preserve">Пользователь</w:t>
            </w:r>
          </w:p>
        </w:tc>
        <w:tc>
          <w:tcPr>
            <w:tcW w:type="dxa" w:w="2338"/>
          </w:tcPr>
          <w:p>
            <w:pPr>
              <w:pStyle w:val="TableText"/>
            </w:pPr>
            <w:r>
              <w:t xml:space="preserve">extend ПЦ3</w:t>
            </w:r>
          </w:p>
        </w:tc>
      </w:tr>
    </w:tbl>
    <w:p>
      <w:pPr>
        <w:pStyle w:val="AfterTable"/>
      </w:pPr>
    </w:p>
    <w:p>
      <w:pPr>
        <w:pStyle w:val="Heading2"/>
      </w:pPr>
      <w:r>
        <w:t xml:space="preserve">А.4 Описания основных прецедентов</w:t>
      </w:r>
    </w:p>
    <w:p>
      <w:r>
        <w:rPr>
          <w:b w:val="false"/>
          <w:bCs w:val="false"/>
          <w:i w:val="false"/>
          <w:iCs w:val="false"/>
        </w:rPr>
        <w:t xml:space="preserve">Для основных прецедентов приведены предусловия, основной и альтернативные потоки событий и постусловия.</w:t>
      </w:r>
    </w:p>
    <w:p>
      <w:pPr>
        <w:pStyle w:val="Heading3"/>
      </w:pPr>
      <w:r>
        <w:t xml:space="preserve">А.4.1 ПЦ1 «Зарегистрировать обращение»</w:t>
      </w:r>
    </w:p>
    <w:p>
      <w:pPr>
        <w:pStyle w:val="Caption"/>
      </w:pPr>
      <w:r>
        <w:t xml:space="preserve">Таблица А.3 — Описание прецедента ПЦ1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6"/>
        <w:gridCol w:w="6949"/>
      </w:tblGrid>
      <w:tr>
        <w:trPr>
          <w:cantSplit/>
          <w:tblHeader/>
        </w:trPr>
        <w:tc>
          <w:tcPr>
            <w:tcW w:type="dxa" w:w="2406"/>
          </w:tcPr>
          <w:p>
            <w:pPr>
              <w:pStyle w:val="TableHeader"/>
            </w:pPr>
            <w:r>
              <w:t xml:space="preserve">Элемент</w:t>
            </w:r>
          </w:p>
        </w:tc>
        <w:tc>
          <w:tcPr>
            <w:tcW w:type="dxa" w:w="6949"/>
          </w:tcPr>
          <w:p>
            <w:pPr>
              <w:pStyle w:val="TableHeader"/>
            </w:pPr>
            <w:r>
              <w:t xml:space="preserve">Содержание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Основной актор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Пользователь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Предусловия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Пользователь аутентифицирован (ПЦ11). Справочники категорий и компонентов заполнены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Основной поток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1. Пользователь открывает форму регистрации обращения.</w:t>
            </w:r>
          </w:p>
          <w:p>
            <w:pPr>
              <w:pStyle w:val="TableText"/>
            </w:pPr>
            <w:r>
              <w:t xml:space="preserve">2. Пользователь вводит или редактирует черновик: заголовок, описание, категория, компонент — и нажимает «Проверить и сохранить».</w:t>
            </w:r>
          </w:p>
          <w:p>
            <w:pPr>
              <w:pStyle w:val="TableText"/>
            </w:pPr>
            <w:r>
              <w:t xml:space="preserve">3. Система проверяет заполнение обязательных полей и длину текста.</w:t>
            </w:r>
          </w:p>
          <w:p>
            <w:pPr>
              <w:pStyle w:val="TableText"/>
            </w:pPr>
            <w:r>
              <w:t xml:space="preserve">4. Система выполняет ПЦ2 и получает ранжированный список кандидатов.</w:t>
            </w:r>
          </w:p>
          <w:p>
            <w:pPr>
              <w:pStyle w:val="TableText"/>
            </w:pPr>
            <w:r>
              <w:t xml:space="preserve">5. Система выводит список кандидатов с коэффициентом сходства, статусом и предполагаемым видом связи.</w:t>
            </w:r>
          </w:p>
          <w:p>
            <w:pPr>
              <w:pStyle w:val="TableText"/>
            </w:pPr>
            <w:r>
              <w:t xml:space="preserve">6. Пользователь выбирает действие: пометить как дубликат (ПЦ4), связать (ПЦ5), отклонить рекомендации (ПЦ6) или создать независимое обращение.</w:t>
            </w:r>
          </w:p>
          <w:p>
            <w:pPr>
              <w:pStyle w:val="TableText"/>
            </w:pPr>
            <w:r>
              <w:t xml:space="preserve">7. Система сохраняет обращение, установленные связи, вердикты по рекомендациям и запись в истории изменений.</w:t>
            </w:r>
          </w:p>
          <w:p>
            <w:pPr>
              <w:pStyle w:val="TableText"/>
            </w:pPr>
            <w:r>
              <w:t xml:space="preserve">8. Система показывает карточку созданного обращения.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Альтернативные потоки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3а. Обязательные поля не заполнены или превышена длина — система выводит диагностическое сообщение и возвращается к шагу 2.</w:t>
            </w:r>
          </w:p>
          <w:p>
            <w:pPr>
              <w:pStyle w:val="TableText"/>
            </w:pPr>
            <w:r>
              <w:t xml:space="preserve">4а. Модуль семантического поиска недоступен — текст черновика сохраняется, обращение регистрируется как независимое, выводится предупреждение.</w:t>
            </w:r>
          </w:p>
          <w:p>
            <w:pPr>
              <w:pStyle w:val="TableText"/>
            </w:pPr>
            <w:r>
              <w:t xml:space="preserve">5а. Список кандидатов пуст — система сохраняет обращение как независимое без вывода рекомендаций.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Постусловия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Обращение сохранено со статусом «Новое». Зафиксирован сеанс поиска. Для каждой показанной рекомендации записан вердикт. При выборе кандидата создана связь вида «дубликат» или «связанное». Создана запись в истории изменений</w:t>
            </w:r>
          </w:p>
        </w:tc>
      </w:tr>
    </w:tbl>
    <w:p>
      <w:pPr>
        <w:pStyle w:val="AfterTable"/>
      </w:pPr>
    </w:p>
    <w:p>
      <w:pPr>
        <w:pStyle w:val="Heading3"/>
      </w:pPr>
      <w:r>
        <w:t xml:space="preserve">А.4.2 ПЦ2 «Подобрать похожие обращения»</w:t>
      </w:r>
    </w:p>
    <w:p>
      <w:pPr>
        <w:pStyle w:val="Caption"/>
      </w:pPr>
      <w:r>
        <w:t xml:space="preserve">Таблица А.4 — Описание прецедента ПЦ2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6"/>
        <w:gridCol w:w="6949"/>
      </w:tblGrid>
      <w:tr>
        <w:trPr>
          <w:cantSplit/>
          <w:tblHeader/>
        </w:trPr>
        <w:tc>
          <w:tcPr>
            <w:tcW w:type="dxa" w:w="2406"/>
          </w:tcPr>
          <w:p>
            <w:pPr>
              <w:pStyle w:val="TableHeader"/>
            </w:pPr>
            <w:r>
              <w:t xml:space="preserve">Элемент</w:t>
            </w:r>
          </w:p>
        </w:tc>
        <w:tc>
          <w:tcPr>
            <w:tcW w:type="dxa" w:w="6949"/>
          </w:tcPr>
          <w:p>
            <w:pPr>
              <w:pStyle w:val="TableHeader"/>
            </w:pPr>
            <w:r>
              <w:t xml:space="preserve">Содержание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Основной актор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Модуль семантического поиска (инициируется системой из ПЦ1)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Предусловия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Получены заголовок, описание, категория и компонент нового обращения. Векторные представления существующих обращений вычислены. В конфигурации заданы пороги P1, P2, число результатов N и веса w1 — w4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Основной поток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1. Система объединяет заголовок и описание и нормализует текст.</w:t>
            </w:r>
          </w:p>
          <w:p>
            <w:pPr>
              <w:pStyle w:val="TableText"/>
            </w:pPr>
            <w:r>
              <w:t xml:space="preserve">2. Модуль вычисляет векторное представление текста запроса.</w:t>
            </w:r>
          </w:p>
          <w:p>
            <w:pPr>
              <w:pStyle w:val="TableText"/>
            </w:pPr>
            <w:r>
              <w:t xml:space="preserve">3. Модуль находит K ближайших обращений по косинусному сходству S(семантика) и вычисляет лексическое сходство S(лексика).</w:t>
            </w:r>
          </w:p>
          <w:p>
            <w:pPr>
              <w:pStyle w:val="TableText"/>
            </w:pPr>
            <w:r>
              <w:t xml:space="preserve">4. Система фиксирует сеанс поиска (режим, версия модели, параметры) и для каждого кандидата вычисляет S = w1·S(семантика) + w2·S(лексика) + w3·S(категория) + w4·S(компонент).</w:t>
            </w:r>
          </w:p>
          <w:p>
            <w:pPr>
              <w:pStyle w:val="TableText"/>
            </w:pPr>
            <w:r>
              <w:t xml:space="preserve">5. Кандидаты с S ≥ P1 помечаются как «дубликат», с P2 ≤ S &lt; P1 — как «связанное», остальные исключаются.</w:t>
            </w:r>
          </w:p>
          <w:p>
            <w:pPr>
              <w:pStyle w:val="TableText"/>
            </w:pPr>
            <w:r>
              <w:t xml:space="preserve">6. Система сортирует кандидатов по убыванию S, оставляет не более N, исключает конфиденциальные обращения для постороннего пользователя, сохраняет рекомендации со статусом «не рассмотрена» и возвращает список.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Альтернативные потоки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2а. Модуль недоступен или вернул ошибку — прецедент завершается с признаком «подбор не выполнен».</w:t>
            </w:r>
          </w:p>
          <w:p>
            <w:pPr>
              <w:pStyle w:val="TableText"/>
            </w:pPr>
            <w:r>
              <w:t xml:space="preserve">5а. Ни один кандидат не превысил P2 — возвращается пустой список.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Постусловия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Сформирован ранжированный список кандидатов; сеанс поиска и рекомендации сохранены</w:t>
            </w:r>
          </w:p>
        </w:tc>
      </w:tr>
    </w:tbl>
    <w:p>
      <w:pPr>
        <w:pStyle w:val="AfterTable"/>
      </w:pPr>
    </w:p>
    <w:p>
      <w:pPr>
        <w:pStyle w:val="Heading3"/>
      </w:pPr>
      <w:r>
        <w:t xml:space="preserve">А.4.3 ПЦ4 «Пометить обращение как дубликат»</w:t>
      </w:r>
    </w:p>
    <w:p>
      <w:pPr>
        <w:pStyle w:val="Caption"/>
      </w:pPr>
      <w:r>
        <w:t xml:space="preserve">Таблица А.5 — Описание прецедента ПЦ4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6"/>
        <w:gridCol w:w="6949"/>
      </w:tblGrid>
      <w:tr>
        <w:trPr>
          <w:cantSplit/>
          <w:tblHeader/>
        </w:trPr>
        <w:tc>
          <w:tcPr>
            <w:tcW w:type="dxa" w:w="2406"/>
          </w:tcPr>
          <w:p>
            <w:pPr>
              <w:pStyle w:val="TableHeader"/>
            </w:pPr>
            <w:r>
              <w:t xml:space="preserve">Элемент</w:t>
            </w:r>
          </w:p>
        </w:tc>
        <w:tc>
          <w:tcPr>
            <w:tcW w:type="dxa" w:w="6949"/>
          </w:tcPr>
          <w:p>
            <w:pPr>
              <w:pStyle w:val="TableHeader"/>
            </w:pPr>
            <w:r>
              <w:t xml:space="preserve">Содержание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Основной актор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Пользователь, оператор технической поддержки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Предусловия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Актор аутентифицирован. Открыта карточка обращения или форма регистрации с непустым списком кандидатов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Основной поток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1. Актор выбирает кандидата и действие «Дубликат».</w:t>
            </w:r>
          </w:p>
          <w:p>
            <w:pPr>
              <w:pStyle w:val="TableText"/>
            </w:pPr>
            <w:r>
              <w:t xml:space="preserve">2. Система проверяет, что кандидат не совпадает с обращением, связь ещё не установлена и не образуется прямой или косвенный цикл связей «дубликат».</w:t>
            </w:r>
          </w:p>
          <w:p>
            <w:pPr>
              <w:pStyle w:val="TableText"/>
            </w:pPr>
            <w:r>
              <w:t xml:space="preserve">3. Система создаёт связь вида «дубликат» с указанием автора и даты.</w:t>
            </w:r>
          </w:p>
          <w:p>
            <w:pPr>
              <w:pStyle w:val="TableText"/>
            </w:pPr>
            <w:r>
              <w:t xml:space="preserve">4. Система записывает вердикт «принята» для соответствующей рекомендации.</w:t>
            </w:r>
          </w:p>
          <w:p>
            <w:pPr>
              <w:pStyle w:val="TableText"/>
            </w:pPr>
            <w:r>
              <w:t xml:space="preserve">5. Система устанавливает статус «Закрыто как дубликат», записывает историю изменений и действие в журнал.</w:t>
            </w:r>
          </w:p>
          <w:p>
            <w:pPr>
              <w:pStyle w:val="TableText"/>
            </w:pPr>
            <w:r>
              <w:t xml:space="preserve">6. Если основное обращение решено, система предлагает ссылку на его решение.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Альтернативные потоки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2а. Связь уже существует — система сообщает об этом, новая связь не создаётся.</w:t>
            </w:r>
          </w:p>
          <w:p>
            <w:pPr>
              <w:pStyle w:val="TableText"/>
            </w:pPr>
            <w:r>
              <w:t xml:space="preserve">2б. Кандидат совпадает с обращением или образуется цикл — операция отклоняется с сообщением.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Постусловия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Связь «дубликат» сохранена; вердикт рекомендации — «принята»; изменение записано в историю обращения и в журнал</w:t>
            </w:r>
          </w:p>
        </w:tc>
      </w:tr>
    </w:tbl>
    <w:p>
      <w:pPr>
        <w:pStyle w:val="AfterTable"/>
      </w:pPr>
    </w:p>
    <w:p>
      <w:pPr>
        <w:pStyle w:val="Heading3"/>
      </w:pPr>
      <w:r>
        <w:t xml:space="preserve">А.4.4 ПЦ7 «Обработать обращение и опубликовать решение»</w:t>
      </w:r>
    </w:p>
    <w:p>
      <w:pPr>
        <w:pStyle w:val="Caption"/>
      </w:pPr>
      <w:r>
        <w:t xml:space="preserve">Таблица А.6 — Описание прецедента ПЦ7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6"/>
        <w:gridCol w:w="6949"/>
      </w:tblGrid>
      <w:tr>
        <w:trPr>
          <w:cantSplit/>
          <w:tblHeader/>
        </w:trPr>
        <w:tc>
          <w:tcPr>
            <w:tcW w:type="dxa" w:w="2406"/>
          </w:tcPr>
          <w:p>
            <w:pPr>
              <w:pStyle w:val="TableHeader"/>
            </w:pPr>
            <w:r>
              <w:t xml:space="preserve">Элемент</w:t>
            </w:r>
          </w:p>
        </w:tc>
        <w:tc>
          <w:tcPr>
            <w:tcW w:type="dxa" w:w="6949"/>
          </w:tcPr>
          <w:p>
            <w:pPr>
              <w:pStyle w:val="TableHeader"/>
            </w:pPr>
            <w:r>
              <w:t xml:space="preserve">Содержание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Основной актор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Оператор технической поддержки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Предусловия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Оператор аутентифицирован. В реестре есть обращение со статусом «Новое» или «В работе»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Основной поток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1. Оператор открывает реестр (ПЦ8) и выбирает обращение.</w:t>
            </w:r>
          </w:p>
          <w:p>
            <w:pPr>
              <w:pStyle w:val="TableText"/>
            </w:pPr>
            <w:r>
              <w:t xml:space="preserve">2. Система показывает карточку обращения, рекомендации и связи.</w:t>
            </w:r>
          </w:p>
          <w:p>
            <w:pPr>
              <w:pStyle w:val="TableText"/>
            </w:pPr>
            <w:r>
              <w:t xml:space="preserve">3. Оператор оценивает нерассмотренные рекомендации: подтверждает (ПЦ4, ПЦ5) или отклоняет (ПЦ6).</w:t>
            </w:r>
          </w:p>
          <w:p>
            <w:pPr>
              <w:pStyle w:val="TableText"/>
            </w:pPr>
            <w:r>
              <w:t xml:space="preserve">4. Оператор переводит обращение в статус «В работе» и вносит текст решения.</w:t>
            </w:r>
          </w:p>
          <w:p>
            <w:pPr>
              <w:pStyle w:val="TableText"/>
            </w:pPr>
            <w:r>
              <w:t xml:space="preserve">5. Система проверяет допустимость перехода статуса, сохраняет решение, устанавливает статус «Решено», записывает историю изменений и (при реализации ТЗ.Ф18) уведомляет авторов дубликатов.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Альтернативные потоки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3а. Нерассмотренных рекомендаций нет — шаг пропускается.</w:t>
            </w:r>
          </w:p>
          <w:p>
            <w:pPr>
              <w:pStyle w:val="TableText"/>
            </w:pPr>
            <w:r>
              <w:t xml:space="preserve">4а. Обращение является дубликатом решённого — оператор выбирает «Закрыть как дубликат»; система копирует ссылку на решение и устанавливает статус «Закрыто как дубликат».</w:t>
            </w:r>
          </w:p>
          <w:p>
            <w:pPr>
              <w:pStyle w:val="TableText"/>
            </w:pPr>
            <w:r>
              <w:t xml:space="preserve">4б. Оператор закрывает обращение без решения — система требует комментарий и устанавливает статус «Закрыто».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Постусловия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Статус обращения изменён; решение сохранено или скопировано; действия записаны в журнал</w:t>
            </w:r>
          </w:p>
        </w:tc>
      </w:tr>
    </w:tbl>
    <w:p>
      <w:pPr>
        <w:pStyle w:val="AfterTable"/>
      </w:pPr>
    </w:p>
    <w:p>
      <w:pPr>
        <w:pStyle w:val="Heading3"/>
      </w:pPr>
      <w:r>
        <w:t xml:space="preserve">А.4.5 ПЦ10 «Настроить параметры поиска»</w:t>
      </w:r>
    </w:p>
    <w:p>
      <w:pPr>
        <w:pStyle w:val="Caption"/>
      </w:pPr>
      <w:r>
        <w:t xml:space="preserve">Таблица А.7 — Описание прецедента ПЦ10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6"/>
        <w:gridCol w:w="6949"/>
      </w:tblGrid>
      <w:tr>
        <w:trPr>
          <w:cantSplit/>
          <w:tblHeader/>
        </w:trPr>
        <w:tc>
          <w:tcPr>
            <w:tcW w:type="dxa" w:w="2406"/>
          </w:tcPr>
          <w:p>
            <w:pPr>
              <w:pStyle w:val="TableHeader"/>
            </w:pPr>
            <w:r>
              <w:t xml:space="preserve">Элемент</w:t>
            </w:r>
          </w:p>
        </w:tc>
        <w:tc>
          <w:tcPr>
            <w:tcW w:type="dxa" w:w="6949"/>
          </w:tcPr>
          <w:p>
            <w:pPr>
              <w:pStyle w:val="TableHeader"/>
            </w:pPr>
            <w:r>
              <w:t xml:space="preserve">Содержание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Основной актор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Администратор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Предусловия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Администратор аутентифицирован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Основной поток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1. Администратор открывает страницу параметров поиска.</w:t>
            </w:r>
          </w:p>
          <w:p>
            <w:pPr>
              <w:pStyle w:val="TableText"/>
            </w:pPr>
            <w:r>
              <w:t xml:space="preserve">2. Система показывает текущие значения P1, P2, N, весов w1 — w4 и идентификатор модели.</w:t>
            </w:r>
          </w:p>
          <w:p>
            <w:pPr>
              <w:pStyle w:val="TableText"/>
            </w:pPr>
            <w:r>
              <w:t xml:space="preserve">3. Администратор вводит новые значения и сохраняет.</w:t>
            </w:r>
          </w:p>
          <w:p>
            <w:pPr>
              <w:pStyle w:val="TableText"/>
            </w:pPr>
            <w:r>
              <w:t xml:space="preserve">4. Система проверяет: 0 &lt; P2 &lt; P1 ≤ 1; 1 ≤ N ≤ 10; веса неотрицательны и в сумме равны 1.</w:t>
            </w:r>
          </w:p>
          <w:p>
            <w:pPr>
              <w:pStyle w:val="TableText"/>
            </w:pPr>
            <w:r>
              <w:t xml:space="preserve">5. Система сохраняет параметры; новые значения применяются к последующим подборам.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Альтернативные потоки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4а. Проверка не пройдена — система выводит сообщение и не сохраняет параметры.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Постусловия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Параметры поиска обновлены; изменение записано в журнал; последующие сеансы поиска фиксируют новые значения</w:t>
            </w:r>
          </w:p>
        </w:tc>
      </w:tr>
    </w:tbl>
    <w:p>
      <w:pPr>
        <w:pStyle w:val="AfterTable"/>
      </w:pPr>
    </w:p>
    <w:p>
      <w:pPr>
        <w:pStyle w:val="Heading3"/>
      </w:pPr>
      <w:r>
        <w:t xml:space="preserve">А.4.6 ПЦ12 «Оценить полезность решения»</w:t>
      </w:r>
    </w:p>
    <w:p>
      <w:pPr>
        <w:pStyle w:val="Caption"/>
      </w:pPr>
      <w:r>
        <w:t xml:space="preserve">Таблица А.8 — Описание прецедента ПЦ12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6"/>
        <w:gridCol w:w="6949"/>
      </w:tblGrid>
      <w:tr>
        <w:trPr>
          <w:cantSplit/>
          <w:tblHeader/>
        </w:trPr>
        <w:tc>
          <w:tcPr>
            <w:tcW w:type="dxa" w:w="2406"/>
          </w:tcPr>
          <w:p>
            <w:pPr>
              <w:pStyle w:val="TableHeader"/>
            </w:pPr>
            <w:r>
              <w:t xml:space="preserve">Элемент</w:t>
            </w:r>
          </w:p>
        </w:tc>
        <w:tc>
          <w:tcPr>
            <w:tcW w:type="dxa" w:w="6949"/>
          </w:tcPr>
          <w:p>
            <w:pPr>
              <w:pStyle w:val="TableHeader"/>
            </w:pPr>
            <w:r>
              <w:t xml:space="preserve">Содержание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Основной актор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Пользователь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Предусловия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Пользователь аутентифицирован. Открыта карточка обращения с опубликованным решением (ПЦ3)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Основной поток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1. Пользователь нажимает «Помогло» или «Не помогло».</w:t>
            </w:r>
          </w:p>
          <w:p>
            <w:pPr>
              <w:pStyle w:val="TableText"/>
            </w:pPr>
            <w:r>
              <w:t xml:space="preserve">2. Система сохраняет оценку с указанием пользователя, решения и даты.</w:t>
            </w:r>
          </w:p>
          <w:p>
            <w:pPr>
              <w:pStyle w:val="TableText"/>
            </w:pPr>
            <w:r>
              <w:t xml:space="preserve">3. Система показывает обновлённый счётчик оценок.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Альтернативные потоки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1а. Пользователь уже оценивал это решение — система заменяет прежнюю оценку.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Постусловия</w:t>
            </w:r>
          </w:p>
        </w:tc>
        <w:tc>
          <w:tcPr>
            <w:tcW w:type="dxa" w:w="6949"/>
          </w:tcPr>
          <w:p>
            <w:pPr>
              <w:pStyle w:val="TableText"/>
            </w:pPr>
            <w:r>
              <w:t xml:space="preserve">Оценка решения сохранена и учитывается в статистике качества</w:t>
            </w:r>
          </w:p>
        </w:tc>
      </w:tr>
    </w:tbl>
    <w:p>
      <w:pPr>
        <w:pStyle w:val="AfterTable"/>
      </w:pPr>
    </w:p>
    <w:p>
      <w:pPr>
        <w:pStyle w:val="Heading1"/>
      </w:pPr>
      <w:r>
        <w:br w:type="page"/>
      </w:r>
      <w:r>
        <w:t xml:space="preserve">Приложение Б (обязательное) UML-диаграммы и эскиз интерфейса</w:t>
      </w:r>
    </w:p>
    <w:p>
      <w:r>
        <w:rPr>
          <w:b w:val="false"/>
          <w:bCs w:val="false"/>
          <w:i w:val="false"/>
          <w:iCs w:val="false"/>
        </w:rPr>
        <w:t xml:space="preserve">Диаграммы построены в нотации UML 2 средствами PlantUML; исходные тексты диаграмм хранятся в репозитории проекта в каталоге docs/uml. Обозначения акторов и прецедентов соответствуют приложению А.</w:t>
      </w:r>
    </w:p>
    <w:p>
      <w:pPr>
        <w:pStyle w:val="Heading2"/>
      </w:pPr>
      <w:r>
        <w:t xml:space="preserve">Б.1 Диаграмма прецедентов</w:t>
      </w:r>
    </w:p>
    <w:p>
      <w:r>
        <w:rPr>
          <w:b w:val="false"/>
          <w:bCs w:val="false"/>
          <w:i w:val="false"/>
          <w:iCs w:val="false"/>
        </w:rPr>
        <w:t xml:space="preserve">Базовая диаграмма прецедентов содержит акторов, прецеденты системы и ассоциативные связи между ними (рисунок Б.1).</w:t>
      </w:r>
    </w:p>
    <w:p>
      <w:pPr>
        <w:pStyle w:val="Figure"/>
        <w:keepNext/>
      </w:pPr>
      <w:r>
        <w:drawing>
          <wp:inline distT="0" distB="0" distL="0" distR="0">
            <wp:extent cx="5867400" cy="720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Б.1 — Диаграмма прецедентов СПДО (базовая)</w:t>
      </w:r>
    </w:p>
    <w:p>
      <w:pPr>
        <w:sectPr>
          <w:footerReference w:type="default" r:id="rId8"/>
          <w:pgSz w:w="11906" w:h="16838" w:orient="portrait"/>
          <w:pgMar w:top="1133" w:right="850" w:bottom="1133" w:left="170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Б.2 Уточнённая диаграмма прецедентов</w:t>
      </w:r>
    </w:p>
    <w:p>
      <w:r>
        <w:rPr>
          <w:b w:val="false"/>
          <w:bCs w:val="false"/>
          <w:i w:val="false"/>
          <w:iCs w:val="false"/>
        </w:rPr>
        <w:t xml:space="preserve">Уточнённая диаграмма (рисунок Б.2) дополнена отношениями включения (include), расширения (extend) и точками расширения прецедентов ПЦ1 и ПЦ3. Перечень отношений приведён в таблице Б.1.</w:t>
      </w:r>
    </w:p>
    <w:p>
      <w:pPr>
        <w:pStyle w:val="Figure"/>
        <w:keepNext/>
      </w:pPr>
      <w:r>
        <w:drawing>
          <wp:inline distT="0" distB="0" distL="0" distR="0">
            <wp:extent cx="9248775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Б.2 — Диаграмма прецедентов СПДО (уточнённая)</w:t>
      </w:r>
    </w:p>
    <w:p>
      <w:pPr>
        <w:pStyle w:val="Caption"/>
      </w:pPr>
      <w:r>
        <w:t xml:space="preserve">Таблица Б.1 — Отношения между прецедентами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406"/>
        <w:gridCol w:w="2406"/>
        <w:gridCol w:w="4543"/>
      </w:tblGrid>
      <w:tr>
        <w:trPr>
          <w:cantSplit/>
          <w:tblHeader/>
        </w:trPr>
        <w:tc>
          <w:tcPr>
            <w:tcW w:type="dxa" w:w="2406"/>
          </w:tcPr>
          <w:p>
            <w:pPr>
              <w:pStyle w:val="TableHeader"/>
            </w:pPr>
            <w:r>
              <w:t xml:space="preserve">Прецедент</w:t>
            </w:r>
          </w:p>
        </w:tc>
        <w:tc>
          <w:tcPr>
            <w:tcW w:type="dxa" w:w="2406"/>
          </w:tcPr>
          <w:p>
            <w:pPr>
              <w:pStyle w:val="TableHeader"/>
            </w:pPr>
            <w:r>
              <w:t xml:space="preserve">Отношение</w:t>
            </w:r>
          </w:p>
        </w:tc>
        <w:tc>
          <w:tcPr>
            <w:tcW w:type="dxa" w:w="4543"/>
          </w:tcPr>
          <w:p>
            <w:pPr>
              <w:pStyle w:val="TableHeader"/>
            </w:pPr>
            <w:r>
              <w:t xml:space="preserve">Целевой прецедент / условие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ПЦ1</w:t>
            </w:r>
          </w:p>
        </w:tc>
        <w:tc>
          <w:tcPr>
            <w:tcW w:type="dxa" w:w="2406"/>
          </w:tcPr>
          <w:p>
            <w:pPr>
              <w:pStyle w:val="TableText"/>
            </w:pPr>
            <w:r>
              <w:t xml:space="preserve">include</w:t>
            </w:r>
          </w:p>
        </w:tc>
        <w:tc>
          <w:tcPr>
            <w:tcW w:type="dxa" w:w="4543"/>
          </w:tcPr>
          <w:p>
            <w:pPr>
              <w:pStyle w:val="TableText"/>
            </w:pPr>
            <w:r>
              <w:t xml:space="preserve">ПЦ2 «Подобрать похожие обращения» — выполняется всегда при регистрации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ПЦ1</w:t>
            </w:r>
          </w:p>
        </w:tc>
        <w:tc>
          <w:tcPr>
            <w:tcW w:type="dxa" w:w="2406"/>
          </w:tcPr>
          <w:p>
            <w:pPr>
              <w:pStyle w:val="TableText"/>
            </w:pPr>
            <w:r>
              <w:t xml:space="preserve">include</w:t>
            </w:r>
          </w:p>
        </w:tc>
        <w:tc>
          <w:tcPr>
            <w:tcW w:type="dxa" w:w="4543"/>
          </w:tcPr>
          <w:p>
            <w:pPr>
              <w:pStyle w:val="TableText"/>
            </w:pPr>
            <w:r>
              <w:t xml:space="preserve">ПЦ11 «Войти в систему»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ПЦ3</w:t>
            </w:r>
          </w:p>
        </w:tc>
        <w:tc>
          <w:tcPr>
            <w:tcW w:type="dxa" w:w="2406"/>
          </w:tcPr>
          <w:p>
            <w:pPr>
              <w:pStyle w:val="TableText"/>
            </w:pPr>
            <w:r>
              <w:t xml:space="preserve">extend ПЦ1</w:t>
            </w:r>
          </w:p>
        </w:tc>
        <w:tc>
          <w:tcPr>
            <w:tcW w:type="dxa" w:w="4543"/>
          </w:tcPr>
          <w:p>
            <w:pPr>
              <w:pStyle w:val="TableText"/>
            </w:pPr>
            <w:r>
              <w:t xml:space="preserve">Точка расширения «найдены кандидаты»: пользователь открывает карточку кандидата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ПЦ6</w:t>
            </w:r>
          </w:p>
        </w:tc>
        <w:tc>
          <w:tcPr>
            <w:tcW w:type="dxa" w:w="2406"/>
          </w:tcPr>
          <w:p>
            <w:pPr>
              <w:pStyle w:val="TableText"/>
            </w:pPr>
            <w:r>
              <w:t xml:space="preserve">extend ПЦ1</w:t>
            </w:r>
          </w:p>
        </w:tc>
        <w:tc>
          <w:tcPr>
            <w:tcW w:type="dxa" w:w="4543"/>
          </w:tcPr>
          <w:p>
            <w:pPr>
              <w:pStyle w:val="TableText"/>
            </w:pPr>
            <w:r>
              <w:t xml:space="preserve">Точка расширения «найдены кандидаты»: пользователь отклоняет рекомендации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ПЦ4</w:t>
            </w:r>
          </w:p>
        </w:tc>
        <w:tc>
          <w:tcPr>
            <w:tcW w:type="dxa" w:w="2406"/>
          </w:tcPr>
          <w:p>
            <w:pPr>
              <w:pStyle w:val="TableText"/>
            </w:pPr>
            <w:r>
              <w:t xml:space="preserve">extend ПЦ1</w:t>
            </w:r>
          </w:p>
        </w:tc>
        <w:tc>
          <w:tcPr>
            <w:tcW w:type="dxa" w:w="4543"/>
          </w:tcPr>
          <w:p>
            <w:pPr>
              <w:pStyle w:val="TableText"/>
            </w:pPr>
            <w:r>
              <w:t xml:space="preserve">Точка расширения «выбран кандидат»: обращение помечается как дубликат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ПЦ5</w:t>
            </w:r>
          </w:p>
        </w:tc>
        <w:tc>
          <w:tcPr>
            <w:tcW w:type="dxa" w:w="2406"/>
          </w:tcPr>
          <w:p>
            <w:pPr>
              <w:pStyle w:val="TableText"/>
            </w:pPr>
            <w:r>
              <w:t xml:space="preserve">extend ПЦ1</w:t>
            </w:r>
          </w:p>
        </w:tc>
        <w:tc>
          <w:tcPr>
            <w:tcW w:type="dxa" w:w="4543"/>
          </w:tcPr>
          <w:p>
            <w:pPr>
              <w:pStyle w:val="TableText"/>
            </w:pPr>
            <w:r>
              <w:t xml:space="preserve">Точка расширения «выбран кандидат»: обращения связываются как тематически близкие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ПЦ12</w:t>
            </w:r>
          </w:p>
        </w:tc>
        <w:tc>
          <w:tcPr>
            <w:tcW w:type="dxa" w:w="2406"/>
          </w:tcPr>
          <w:p>
            <w:pPr>
              <w:pStyle w:val="TableText"/>
            </w:pPr>
            <w:r>
              <w:t xml:space="preserve">extend ПЦ3</w:t>
            </w:r>
          </w:p>
        </w:tc>
        <w:tc>
          <w:tcPr>
            <w:tcW w:type="dxa" w:w="4543"/>
          </w:tcPr>
          <w:p>
            <w:pPr>
              <w:pStyle w:val="TableText"/>
            </w:pPr>
            <w:r>
              <w:t xml:space="preserve">Точка расширения «решение опубликовано»: пользователь оценивает полезность решения</w:t>
            </w:r>
          </w:p>
        </w:tc>
      </w:tr>
      <w:tr>
        <w:trPr>
          <w:cantSplit/>
          <w:tblHeader w:val="false"/>
        </w:trPr>
        <w:tc>
          <w:tcPr>
            <w:tcW w:type="dxa" w:w="2406"/>
          </w:tcPr>
          <w:p>
            <w:pPr>
              <w:pStyle w:val="TableText"/>
            </w:pPr>
            <w:r>
              <w:t xml:space="preserve">ПЦ5, ПЦ7, ПЦ8, ПЦ9, ПЦ10</w:t>
            </w:r>
          </w:p>
        </w:tc>
        <w:tc>
          <w:tcPr>
            <w:tcW w:type="dxa" w:w="2406"/>
          </w:tcPr>
          <w:p>
            <w:pPr>
              <w:pStyle w:val="TableText"/>
            </w:pPr>
            <w:r>
              <w:t xml:space="preserve">include</w:t>
            </w:r>
          </w:p>
        </w:tc>
        <w:tc>
          <w:tcPr>
            <w:tcW w:type="dxa" w:w="4543"/>
          </w:tcPr>
          <w:p>
            <w:pPr>
              <w:pStyle w:val="TableText"/>
            </w:pPr>
            <w:r>
              <w:t xml:space="preserve">ПЦ11 «Войти в систему» — функции оператора и администратора требуют аутентификации</w:t>
            </w:r>
          </w:p>
        </w:tc>
      </w:tr>
    </w:tbl>
    <w:p>
      <w:pPr>
        <w:pStyle w:val="AfterTable"/>
      </w:pPr>
    </w:p>
    <w:p>
      <w:pPr>
        <w:sectPr>
          <w:footerReference w:type="default" r:id="rId9"/>
          <w:pgSz w:w="16838" w:h="11906" w:orient="landscape"/>
          <w:pgMar w:top="1700" w:right="1133" w:bottom="850" w:left="1133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Б.3 Диаграммы деятельности</w:t>
      </w:r>
    </w:p>
    <w:p>
      <w:r>
        <w:rPr>
          <w:b w:val="false"/>
          <w:bCs w:val="false"/>
          <w:i w:val="false"/>
          <w:iCs w:val="false"/>
        </w:rPr>
        <w:t xml:space="preserve">Диаграммы деятельности построены для всех прецедентов, описанных в А.4, — ПЦ1, ПЦ2, ПЦ4, ПЦ7, ПЦ10, ПЦ12 (рисунки Б.3 — Б.8). Дорожки соответствуют исполнителям действий.</w:t>
      </w:r>
    </w:p>
    <w:p>
      <w:pPr>
        <w:pStyle w:val="Figure"/>
        <w:keepNext/>
      </w:pPr>
      <w:r>
        <w:drawing>
          <wp:inline distT="0" distB="0" distL="0" distR="0">
            <wp:extent cx="5114925" cy="720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Б.3 — Диаграмма деятельности прецедента ПЦ1 «Зарегистрировать обращение»</w:t>
      </w:r>
    </w:p>
    <w:p>
      <w:pPr>
        <w:pStyle w:val="Figure"/>
        <w:keepNext/>
      </w:pPr>
      <w:r>
        <w:drawing>
          <wp:inline distT="0" distB="0" distL="0" distR="0">
            <wp:extent cx="4876800" cy="612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Б.4 — Диаграмма деятельности прецедента ПЦ2 «Подобрать похожие обращения»</w:t>
      </w:r>
    </w:p>
    <w:p>
      <w:pPr>
        <w:pStyle w:val="Figure"/>
        <w:keepNext/>
      </w:pPr>
      <w:r>
        <w:drawing>
          <wp:inline distT="0" distB="0" distL="0" distR="0">
            <wp:extent cx="3571875" cy="7200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Б.5 — Диаграмма деятельности прецедента ПЦ4 «Пометить обращение как дубликат»</w:t>
      </w:r>
    </w:p>
    <w:p>
      <w:pPr>
        <w:pStyle w:val="Figure"/>
        <w:keepNext/>
      </w:pPr>
      <w:r>
        <w:drawing>
          <wp:inline distT="0" distB="0" distL="0" distR="0">
            <wp:extent cx="5772150" cy="612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Б.6 — Диаграмма деятельности прецедента ПЦ7 «Обработать обращение и опубликовать решение»</w:t>
      </w:r>
    </w:p>
    <w:p>
      <w:pPr>
        <w:pStyle w:val="Figure"/>
        <w:keepNext/>
      </w:pPr>
      <w:r>
        <w:drawing>
          <wp:inline distT="0" distB="0" distL="0" distR="0">
            <wp:extent cx="4257675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Б.7 — Диаграмма деятельности прецедента ПЦ10 «Настроить параметры поиска»</w:t>
      </w:r>
    </w:p>
    <w:p>
      <w:pPr>
        <w:pStyle w:val="Figure"/>
        <w:keepNext/>
      </w:pPr>
      <w:r>
        <w:drawing>
          <wp:inline distT="0" distB="0" distL="0" distR="0">
            <wp:extent cx="48387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Б.8 — Диаграмма деятельности прецедента ПЦ12 «Оценить полезность решения»</w:t>
      </w:r>
    </w:p>
    <w:p>
      <w:pPr>
        <w:pStyle w:val="Heading2"/>
      </w:pPr>
      <w:r>
        <w:t xml:space="preserve">Б.4 Модель классов предметной области</w:t>
      </w:r>
    </w:p>
    <w:p>
      <w:r>
        <w:rPr>
          <w:b w:val="false"/>
          <w:bCs w:val="false"/>
          <w:i w:val="false"/>
          <w:iCs w:val="false"/>
        </w:rPr>
        <w:t xml:space="preserve">Модель классов предметной области (рисунок Б.9) отражает сущности таблицы 2 и связи между ними. Перечисления задают допустимые значения статусов, видов связи и вердиктов.</w:t>
      </w:r>
    </w:p>
    <w:p>
      <w:pPr>
        <w:pStyle w:val="Figure"/>
        <w:keepNext/>
      </w:pPr>
      <w:r>
        <w:drawing>
          <wp:inline distT="0" distB="0" distL="0" distR="0">
            <wp:extent cx="59436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Б.9 — Модель классов предметной области СПДО</w:t>
      </w:r>
    </w:p>
    <w:p>
      <w:pPr>
        <w:pStyle w:val="Caption"/>
      </w:pPr>
      <w:r>
        <w:t xml:space="preserve">Таблица Б.2 — Классы предметной области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539"/>
        <w:gridCol w:w="6816"/>
      </w:tblGrid>
      <w:tr>
        <w:trPr>
          <w:cantSplit/>
          <w:tblHeader/>
        </w:trPr>
        <w:tc>
          <w:tcPr>
            <w:tcW w:type="dxa" w:w="2539"/>
          </w:tcPr>
          <w:p>
            <w:pPr>
              <w:pStyle w:val="TableHeader"/>
            </w:pPr>
            <w:r>
              <w:t xml:space="preserve">Класс</w:t>
            </w:r>
          </w:p>
        </w:tc>
        <w:tc>
          <w:tcPr>
            <w:tcW w:type="dxa" w:w="6816"/>
          </w:tcPr>
          <w:p>
            <w:pPr>
              <w:pStyle w:val="TableHeader"/>
            </w:pPr>
            <w: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Обращение</w:t>
            </w:r>
          </w:p>
        </w:tc>
        <w:tc>
          <w:tcPr>
            <w:tcW w:type="dxa" w:w="6816"/>
          </w:tcPr>
          <w:p>
            <w:pPr>
              <w:pStyle w:val="TableText"/>
            </w:pPr>
            <w:r>
              <w:t xml:space="preserve">Зарегистрированное сообщение о проблеме: заголовок, описание, статус, признак конфиденциальности, даты, ссылка на основное обращение, векторное представление текста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Пользователь</w:t>
            </w:r>
          </w:p>
        </w:tc>
        <w:tc>
          <w:tcPr>
            <w:tcW w:type="dxa" w:w="6816"/>
          </w:tcPr>
          <w:p>
            <w:pPr>
              <w:pStyle w:val="TableText"/>
            </w:pPr>
            <w:r>
              <w:t xml:space="preserve">Учётная запись с ролью; автор обращений, связей и решений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Категория, Компонент</w:t>
            </w:r>
          </w:p>
        </w:tc>
        <w:tc>
          <w:tcPr>
            <w:tcW w:type="dxa" w:w="6816"/>
          </w:tcPr>
          <w:p>
            <w:pPr>
              <w:pStyle w:val="TableText"/>
            </w:pPr>
            <w:r>
              <w:t xml:space="preserve">Справочники классификации обращений; участвуют в вычислении коэффициента сходства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Связь</w:t>
            </w:r>
          </w:p>
        </w:tc>
        <w:tc>
          <w:tcPr>
            <w:tcW w:type="dxa" w:w="6816"/>
          </w:tcPr>
          <w:p>
            <w:pPr>
              <w:pStyle w:val="TableText"/>
            </w:pPr>
            <w:r>
              <w:t xml:space="preserve">Установленное актором отношение между двумя обращениями вида «дубликат» или «связанное»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СеансПоиска</w:t>
            </w:r>
          </w:p>
        </w:tc>
        <w:tc>
          <w:tcPr>
            <w:tcW w:type="dxa" w:w="6816"/>
          </w:tcPr>
          <w:p>
            <w:pPr>
              <w:pStyle w:val="TableText"/>
            </w:pPr>
            <w:r>
              <w:t xml:space="preserve">Факт запуска подбора: текст запроса, дата, режим, версия модели, параметры; владеет рекомендациями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Рекомендация</w:t>
            </w:r>
          </w:p>
        </w:tc>
        <w:tc>
          <w:tcPr>
            <w:tcW w:type="dxa" w:w="6816"/>
          </w:tcPr>
          <w:p>
            <w:pPr>
              <w:pStyle w:val="TableText"/>
            </w:pPr>
            <w:r>
              <w:t xml:space="preserve">Предложение системы установить связь: кандидат, позиция, коэффициент сходства и его составляющие, предложенный вид, объяснение, вердикт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Решение</w:t>
            </w:r>
          </w:p>
        </w:tc>
        <w:tc>
          <w:tcPr>
            <w:tcW w:type="dxa" w:w="6816"/>
          </w:tcPr>
          <w:p>
            <w:pPr>
              <w:pStyle w:val="TableText"/>
            </w:pPr>
            <w:r>
              <w:t xml:space="preserve">Опубликованный текст решения проблемы, связанный с обращением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ОценкаРешения</w:t>
            </w:r>
          </w:p>
        </w:tc>
        <w:tc>
          <w:tcPr>
            <w:tcW w:type="dxa" w:w="6816"/>
          </w:tcPr>
          <w:p>
            <w:pPr>
              <w:pStyle w:val="TableText"/>
            </w:pPr>
            <w:r>
              <w:t xml:space="preserve">Отметка пользователя «помогло / не помогло» для решения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ИсторияИзменений</w:t>
            </w:r>
          </w:p>
        </w:tc>
        <w:tc>
          <w:tcPr>
            <w:tcW w:type="dxa" w:w="6816"/>
          </w:tcPr>
          <w:p>
            <w:pPr>
              <w:pStyle w:val="TableText"/>
            </w:pPr>
            <w:r>
              <w:t xml:space="preserve">Запись о существенном изменении обращения: вид, прежнее и новое значение, комментарий, автор, дата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ПараметрыПоиска</w:t>
            </w:r>
          </w:p>
        </w:tc>
        <w:tc>
          <w:tcPr>
            <w:tcW w:type="dxa" w:w="6816"/>
          </w:tcPr>
          <w:p>
            <w:pPr>
              <w:pStyle w:val="TableText"/>
            </w:pPr>
            <w:r>
              <w:t xml:space="preserve">Пороги P1, P2, число результатов N, веса w1 — w4, идентификатор модели</w:t>
            </w:r>
          </w:p>
        </w:tc>
      </w:tr>
      <w:tr>
        <w:trPr>
          <w:cantSplit/>
          <w:tblHeader w:val="false"/>
        </w:trPr>
        <w:tc>
          <w:tcPr>
            <w:tcW w:type="dxa" w:w="2539"/>
          </w:tcPr>
          <w:p>
            <w:pPr>
              <w:pStyle w:val="TableText"/>
            </w:pPr>
            <w:r>
              <w:t xml:space="preserve">СтатусОбращения, ВидСвязи, Вердикт, Роль</w:t>
            </w:r>
          </w:p>
        </w:tc>
        <w:tc>
          <w:tcPr>
            <w:tcW w:type="dxa" w:w="6816"/>
          </w:tcPr>
          <w:p>
            <w:pPr>
              <w:pStyle w:val="TableText"/>
            </w:pPr>
            <w:r>
              <w:t xml:space="preserve">Перечисления допустимых значений</w:t>
            </w:r>
          </w:p>
        </w:tc>
      </w:tr>
    </w:tbl>
    <w:p>
      <w:pPr>
        <w:pStyle w:val="AfterTable"/>
      </w:pPr>
    </w:p>
    <w:p>
      <w:pPr>
        <w:pStyle w:val="Heading2"/>
      </w:pPr>
      <w:r>
        <w:t xml:space="preserve">Б.5 Эскиз пользовательского интерфейса</w:t>
      </w:r>
    </w:p>
    <w:p>
      <w:r>
        <w:rPr>
          <w:b w:val="false"/>
          <w:bCs w:val="false"/>
          <w:i w:val="false"/>
          <w:iCs w:val="false"/>
        </w:rPr>
        <w:t xml:space="preserve">Эскиз основного экрана «Регистрация обращения» (рисунок Б.10) построен по описанию прецедента ПЦ1: форма ввода обращения и панель рекомендаций с коэффициентом сходства, статусом, видом связи и действиями актора.</w:t>
      </w:r>
    </w:p>
    <w:p>
      <w:pPr>
        <w:pStyle w:val="Figure"/>
        <w:keepNext/>
      </w:pPr>
      <w:r>
        <w:drawing>
          <wp:inline distT="0" distB="0" distL="0" distR="0">
            <wp:extent cx="5400675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FigCaption"/>
      </w:pPr>
      <w:r>
        <w:t xml:space="preserve">Рисунок Б.10 — Эскиз экрана «Регистрация обращения»</w:t>
      </w:r>
    </w:p>
    <w:p>
      <w:pPr>
        <w:pStyle w:val="Heading1"/>
      </w:pPr>
      <w:r>
        <w:br w:type="page"/>
      </w:r>
      <w:r>
        <w:t xml:space="preserve">Приложение В (справочное) Матрица трассируемости требований</w:t>
      </w:r>
    </w:p>
    <w:p>
      <w:pPr>
        <w:pStyle w:val="Caption"/>
      </w:pPr>
      <w:r>
        <w:t xml:space="preserve">Таблица В.1 — Соответствие требований, прецедентов и видов испытаний</w:t>
      </w:r>
    </w:p>
    <w:tbl>
      <w:tblPr>
        <w:tblW w:type="dxa" w:w="9355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470"/>
        <w:gridCol w:w="1470"/>
        <w:gridCol w:w="2005"/>
        <w:gridCol w:w="4410"/>
      </w:tblGrid>
      <w:tr>
        <w:trPr>
          <w:cantSplit/>
          <w:tblHeader/>
        </w:trPr>
        <w:tc>
          <w:tcPr>
            <w:tcW w:type="dxa" w:w="1470"/>
          </w:tcPr>
          <w:p>
            <w:pPr>
              <w:pStyle w:val="TableHeader"/>
            </w:pPr>
            <w:r>
              <w:t xml:space="preserve">Требование</w:t>
            </w:r>
          </w:p>
        </w:tc>
        <w:tc>
          <w:tcPr>
            <w:tcW w:type="dxa" w:w="1470"/>
          </w:tcPr>
          <w:p>
            <w:pPr>
              <w:pStyle w:val="TableHeader"/>
            </w:pPr>
            <w:r>
              <w:t xml:space="preserve">Источник</w:t>
            </w:r>
          </w:p>
        </w:tc>
        <w:tc>
          <w:tcPr>
            <w:tcW w:type="dxa" w:w="2005"/>
          </w:tcPr>
          <w:p>
            <w:pPr>
              <w:pStyle w:val="TableHeader"/>
            </w:pPr>
            <w:r>
              <w:t xml:space="preserve">Прецедент</w:t>
            </w:r>
          </w:p>
        </w:tc>
        <w:tc>
          <w:tcPr>
            <w:tcW w:type="dxa" w:w="4410"/>
          </w:tcPr>
          <w:p>
            <w:pPr>
              <w:pStyle w:val="TableHeader"/>
            </w:pPr>
            <w:r>
              <w:t xml:space="preserve">Вид испытаний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ТЗ.Ф1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ТТ.Ф1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ПЦ1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Модульное, функциональное, GUI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ТЗ.Ф2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ТТ.Ф2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ПЦ1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Функциональное, GUI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ТЗ.Ф3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ТТ.Ф3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ПЦ2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Модульное, интеграционное, производительности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ТЗ.Ф4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ТТ.Ф4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ПЦ2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Функциональное, качества подбора, GUI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ТЗ.Ф5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ТТ.Ф5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ПЦ3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Функциональное, GUI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ТЗ.Ф6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ТТ.Ф6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ПЦ12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ТЗ.Ф7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ТТ.Ф7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ПЦ4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Модульное (циклы), функциональное, интеграционное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ТЗ.Ф8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ТТ.Ф8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ПЦ5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Функциональное, интеграционное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ТЗ.Ф9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ТТ.Ф9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ПЦ6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ТЗ.Ф10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ТТ.Ф10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ПЦ1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ТЗ.Ф11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ТТ.Ф11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ПЦ8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Функциональное, производительности, безопасности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ТЗ.Ф12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ТТ.Ф12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ПЦ7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Модульное (переходы статусов), функциональное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ТЗ.Ф13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ТТ.Ф13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ПЦ7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Функциональное, интеграционное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ТЗ.Ф14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ТТ.Ф14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ПЦ9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Функциональное, качества подбора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ТЗ.Ф15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ТТ.Ф15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ПЦ11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Функциональное, безопасности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ТЗ.Ф16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ТТ.Ф16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ПЦ10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ТЗ.Ф17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ТТ.Ф17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ПЦ2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ТЗ.Ф18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ТТ.Ф18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ПЦ7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ТЗ.Ф19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ТТ.Ф19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ПЦ2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Качества подбора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ТЗ.Ф20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ТТ.Ф20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ПЦ2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ТЗ.Ф21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ТТ.Ф21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ПЦ4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ТЗ.Ф22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ТТ.Ф22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ПЦ10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Функциональное, качества подбора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ТТ.К1 — ТТ.К4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 5.3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ПЦ2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Тестирование качества подбора</w:t>
            </w:r>
          </w:p>
        </w:tc>
      </w:tr>
      <w:tr>
        <w:trPr>
          <w:cantSplit/>
          <w:tblHeader w:val="false"/>
        </w:trPr>
        <w:tc>
          <w:tcPr>
            <w:tcW w:type="dxa" w:w="1470"/>
          </w:tcPr>
          <w:p>
            <w:pPr>
              <w:pStyle w:val="TableText"/>
            </w:pPr>
            <w:r>
              <w:t xml:space="preserve">Таблица 4</w:t>
            </w:r>
          </w:p>
        </w:tc>
        <w:tc>
          <w:tcPr>
            <w:tcW w:type="dxa" w:w="1470"/>
          </w:tcPr>
          <w:p>
            <w:pPr>
              <w:pStyle w:val="TableText"/>
            </w:pPr>
            <w:r>
              <w:t xml:space="preserve">ТТ 5.4</w:t>
            </w:r>
          </w:p>
        </w:tc>
        <w:tc>
          <w:tcPr>
            <w:tcW w:type="dxa" w:w="2005"/>
          </w:tcPr>
          <w:p>
            <w:pPr>
              <w:pStyle w:val="TableText"/>
            </w:pPr>
            <w:r>
              <w:t xml:space="preserve">ПЦ1, ПЦ2, ПЦ8</w:t>
            </w:r>
          </w:p>
        </w:tc>
        <w:tc>
          <w:tcPr>
            <w:tcW w:type="dxa" w:w="4410"/>
          </w:tcPr>
          <w:p>
            <w:pPr>
              <w:pStyle w:val="TableText"/>
            </w:pPr>
            <w:r>
              <w:t xml:space="preserve">Производительности, нагрузочное</w:t>
            </w:r>
          </w:p>
        </w:tc>
      </w:tr>
    </w:tbl>
    <w:p>
      <w:pPr>
        <w:pStyle w:val="AfterTable"/>
      </w:pPr>
    </w:p>
    <w:p>
      <w:pPr>
        <w:pStyle w:val="TitleCenter"/>
      </w:pPr>
    </w:p>
    <w:p>
      <w:pPr>
        <w:pStyle w:val="TitleLeft"/>
        <w:spacing w:before="120"/>
      </w:pPr>
      <w:r>
        <w:t xml:space="preserve">Руководитель проекта                               ______________   Д.С. Красавин</w:t>
      </w:r>
    </w:p>
    <w:p>
      <w:pPr>
        <w:pStyle w:val="TitleLeft"/>
        <w:spacing w:before="120"/>
      </w:pPr>
      <w:r>
        <w:t xml:space="preserve">Разработчик                                                 ______________   В.А. Елькин</w:t>
      </w:r>
    </w:p>
    <w:sectPr>
      <w:footerReference w:type="default" r:id="rId10"/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</w:pPr>
    <w:r>
      <w:t xml:space="preserve">Москва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360"/>
      </w:pPr>
    </w:lvl>
    <w:lvl w:ilvl="1" w15:tentative="1">
      <w:start w:val="1"/>
      <w:numFmt w:val="bullet"/>
      <w:lvlText w:val="•"/>
      <w:lvlJc w:val="left"/>
      <w:pPr>
        <w:ind w:left="1134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34" w:hanging="425"/>
      </w:pPr>
    </w:lvl>
  </w:abstractNum>
  <w:abstractNum w:abstractNumId="4" w15:restartNumberingAfterBreak="0">
    <w:multiLevelType w:val="hybridMultilevel"/>
    <w:lvl w:ilvl="0" w15:tentative="1">
      <w:start w:val="1"/>
      <w:numFmt w:val="russianLower"/>
      <w:lvlText w:val="%1)"/>
      <w:lvlJc w:val="left"/>
      <w:pPr>
        <w:ind w:left="1134" w:hanging="42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  <w:lang w:val="ru-RU"/>
      </w:rPr>
    </w:rPrDefault>
    <w:pPrDefault>
      <w:pPr>
        <w:spacing w:after="0" w:before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240" w:line="360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00" w:line="360" w:lineRule="auto"/>
      <w:ind w:firstLine="709"/>
      <w:jc w:val="left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160" w:line="360" w:lineRule="auto"/>
      <w:ind w:firstLine="709"/>
      <w:jc w:val="left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ind w:firstLine="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Caption">
    <w:name w:val="caption"/>
    <w:basedOn w:val="Normal"/>
    <w:next w:val="Normal"/>
    <w:qFormat/>
    <w:pPr>
      <w:keepNext/>
      <w:spacing w:after="120" w:before="200" w:line="240" w:lineRule="auto"/>
      <w:ind w:firstLine="0"/>
      <w:jc w:val="left"/>
    </w:pPr>
  </w:style>
  <w:style w:type="paragraph" w:styleId="TableText">
    <w:name w:val="Текст таблицы"/>
    <w:basedOn w:val="Normal"/>
    <w:qFormat/>
    <w:pPr>
      <w:spacing w:after="40" w:before="40" w:line="240" w:lineRule="auto"/>
      <w:ind w:firstLine="0"/>
      <w:jc w:val="left"/>
    </w:pPr>
    <w:rPr>
      <w:sz w:val="24"/>
      <w:szCs w:val="24"/>
    </w:rPr>
  </w:style>
  <w:style w:type="paragraph" w:styleId="TableHeader">
    <w:name w:val="Шапка таблицы"/>
    <w:basedOn w:val="TableText"/>
    <w:qFormat/>
    <w:pPr>
      <w:jc w:val="center"/>
    </w:pPr>
    <w:rPr>
      <w:b/>
      <w:bCs/>
    </w:rPr>
  </w:style>
  <w:style w:type="paragraph" w:styleId="AfterTable">
    <w:name w:val="Отбивка после таблицы"/>
    <w:basedOn w:val="Normal"/>
    <w:pPr>
      <w:spacing w:after="0" w:before="0" w:line="240" w:lineRule="auto"/>
    </w:pPr>
    <w:rPr>
      <w:sz w:val="16"/>
      <w:szCs w:val="16"/>
    </w:rPr>
  </w:style>
  <w:style w:type="paragraph" w:styleId="TitleCenter">
    <w:name w:val="Титул по центру"/>
    <w:basedOn w:val="Normal"/>
    <w:qFormat/>
    <w:pPr>
      <w:ind w:firstLine="0"/>
      <w:jc w:val="center"/>
    </w:pPr>
  </w:style>
  <w:style w:type="paragraph" w:styleId="TitleLeft">
    <w:name w:val="Титул слева"/>
    <w:basedOn w:val="Normal"/>
    <w:qFormat/>
    <w:pPr>
      <w:ind w:firstLine="0"/>
      <w:jc w:val="left"/>
    </w:pPr>
  </w:style>
  <w:style w:type="paragraph" w:styleId="Figure">
    <w:name w:val="Рисунок"/>
    <w:basedOn w:val="Normal"/>
    <w:pPr>
      <w:spacing w:after="60" w:before="120" w:line="240" w:lineRule="auto"/>
      <w:ind w:firstLine="0"/>
      <w:jc w:val="center"/>
    </w:pPr>
  </w:style>
  <w:style w:type="paragraph" w:styleId="FigCaption">
    <w:name w:val="Подпись рисунка"/>
    <w:basedOn w:val="Normal"/>
    <w:next w:val="Normal"/>
    <w:pPr>
      <w:spacing w:after="200" w:before="60" w:line="240" w:lineRule="auto"/>
      <w:ind w:firstLine="0"/>
      <w:jc w:val="center"/>
    </w:pPr>
  </w:style>
  <w:style w:type="paragraph" w:styleId="Footer">
    <w:name w:val="footer"/>
    <w:basedOn w:val="Normal"/>
    <w:pPr>
      <w:spacing w:line="240" w:lineRule="auto"/>
      <w:ind w:firstLine="0"/>
      <w:jc w:val="center"/>
    </w:pPr>
  </w:style>
  <w:style w:type="paragraph" w:styleId="Header">
    <w:name w:val="header"/>
    <w:basedOn w:val="Normal"/>
    <w:pPr>
      <w:spacing w:line="240" w:lineRule="auto"/>
      <w:ind w:firstLine="0"/>
      <w:jc w:val="center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image" Target="media/c6ea8e4f304cf5c4cb56e933825cb5bd36314e68.png"/><Relationship Id="rId12" Type="http://schemas.openxmlformats.org/officeDocument/2006/relationships/image" Target="media/fe083eafdb8c425bb3130fed5294aa88d02d6635.png"/><Relationship Id="rId13" Type="http://schemas.openxmlformats.org/officeDocument/2006/relationships/image" Target="media/b2c1d172f02626a372cebff0543fbbad2355ba45.png"/><Relationship Id="rId14" Type="http://schemas.openxmlformats.org/officeDocument/2006/relationships/image" Target="media/39f0ffe43b96d77bd02cb0ab855604fb91ac3d81.png"/><Relationship Id="rId15" Type="http://schemas.openxmlformats.org/officeDocument/2006/relationships/image" Target="media/573f85c5cc755e457688feef0ad712774a6358c8.png"/><Relationship Id="rId16" Type="http://schemas.openxmlformats.org/officeDocument/2006/relationships/image" Target="media/edfb3e090f86c156ed50643a5dba4b3fc67fcb0b.png"/><Relationship Id="rId17" Type="http://schemas.openxmlformats.org/officeDocument/2006/relationships/image" Target="media/7f5f1ee4b4bfffd2d84f4c1409fd7ec8cabfe973.png"/><Relationship Id="rId18" Type="http://schemas.openxmlformats.org/officeDocument/2006/relationships/image" Target="media/8923716ae602e0cf6d7512b1037d39dab1b5f9c2.png"/><Relationship Id="rId19" Type="http://schemas.openxmlformats.org/officeDocument/2006/relationships/image" Target="media/472bec1ea4aaafbab5e822f7289d00cc7eae4601.png"/><Relationship Id="rId20" Type="http://schemas.openxmlformats.org/officeDocument/2006/relationships/image" Target="media/a4c0484d04cd99d5c367d2d123a93561fb4ad439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2026-09-24T16:01:50.275Z</dcterms:created>
  <dcterms:modified xsi:type="dcterms:W3CDTF">2026-09-24T16:01:50.276Z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