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Center"/>
      </w:pPr>
      <w:r>
        <w:rPr>
          <w:b w:val="false"/>
          <w:bCs w:val="false"/>
        </w:rPr>
        <w:t xml:space="preserve">Национальный исследовательский университет «Высшая школа экономики»</w:t>
      </w:r>
    </w:p>
    <w:p>
      <w:pPr>
        <w:pStyle w:val="TitleCenter"/>
      </w:pPr>
      <w:r>
        <w:rPr>
          <w:b w:val="false"/>
          <w:bCs w:val="false"/>
        </w:rPr>
        <w:t xml:space="preserve">Московский институт электроники и математики им. А.Н. Тихонова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УТВЕРЖДАЮ</w:t>
      </w:r>
    </w:p>
    <w:p>
      <w:pPr>
        <w:pStyle w:val="TitleCenter"/>
      </w:pPr>
      <w:r>
        <w:rPr>
          <w:b w:val="false"/>
          <w:bCs w:val="false"/>
        </w:rPr>
        <w:t xml:space="preserve">Руководитель дисциплины</w:t>
      </w:r>
    </w:p>
    <w:p>
      <w:pPr>
        <w:pStyle w:val="TitleCenter"/>
      </w:pPr>
      <w:r>
        <w:rPr>
          <w:b w:val="false"/>
          <w:bCs w:val="false"/>
        </w:rPr>
        <w:t xml:space="preserve">«Технологии разработки программного обеспечения»</w:t>
      </w:r>
    </w:p>
    <w:p>
      <w:pPr>
        <w:pStyle w:val="TitleCenter"/>
      </w:pPr>
      <w:r>
        <w:rPr>
          <w:b w:val="false"/>
          <w:bCs w:val="false"/>
        </w:rPr>
        <w:t xml:space="preserve">______________ /______________/</w:t>
      </w:r>
    </w:p>
    <w:p>
      <w:pPr>
        <w:pStyle w:val="TitleCenter"/>
      </w:pPr>
      <w:r>
        <w:rPr>
          <w:b w:val="false"/>
          <w:bCs w:val="false"/>
        </w:rPr>
        <w:t xml:space="preserve">«____» ______________ 2026 г.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ТЕХНИЧЕСКИЕ ТРЕБОВАНИЯ</w:t>
      </w: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на разработку системы интеллектуального поиска дубликатов</w:t>
      </w:r>
    </w:p>
    <w:p>
      <w:pPr>
        <w:pStyle w:val="TitleCenter"/>
      </w:pPr>
      <w:r>
        <w:rPr>
          <w:b/>
          <w:bCs/>
        </w:rPr>
        <w:t xml:space="preserve">обращений в техническую поддержку</w:t>
      </w: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СПДО.001.ТТ</w:t>
      </w:r>
    </w:p>
    <w:p>
      <w:pPr>
        <w:pStyle w:val="TitleCenter"/>
      </w:pPr>
    </w:p>
    <w:p>
      <w:pPr>
        <w:pStyle w:val="TitleCenter"/>
      </w:pPr>
      <w:r>
        <w:rPr>
          <w:b w:val="false"/>
          <w:bCs w:val="false"/>
        </w:rPr>
        <w:t xml:space="preserve">Листов 12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Left"/>
      </w:pPr>
      <w:r>
        <w:rPr>
          <w:b w:val="false"/>
          <w:bCs w:val="false"/>
        </w:rPr>
        <w:t xml:space="preserve">Исполнители:</w:t>
      </w:r>
    </w:p>
    <w:p>
      <w:pPr>
        <w:pStyle w:val="TitleLeft"/>
      </w:pPr>
      <w:r>
        <w:rPr>
          <w:b w:val="false"/>
          <w:bCs w:val="false"/>
        </w:rPr>
        <w:t xml:space="preserve">Руководитель проекта, инженер по тестированию</w:t>
      </w:r>
    </w:p>
    <w:p>
      <w:pPr>
        <w:pStyle w:val="TitleLeft"/>
      </w:pPr>
      <w:r>
        <w:rPr>
          <w:b w:val="false"/>
          <w:bCs w:val="false"/>
        </w:rPr>
        <w:t xml:space="preserve">______________ Д.С. Красавин</w:t>
      </w:r>
    </w:p>
    <w:p>
      <w:pPr>
        <w:pStyle w:val="TitleLeft"/>
        <w:spacing w:before="120"/>
      </w:pPr>
      <w:r>
        <w:rPr>
          <w:b w:val="false"/>
          <w:bCs w:val="false"/>
        </w:rPr>
        <w:t xml:space="preserve">Разработчик, технический писатель</w:t>
      </w:r>
    </w:p>
    <w:p>
      <w:pPr>
        <w:pStyle w:val="TitleLeft"/>
      </w:pPr>
      <w:r>
        <w:rPr>
          <w:b w:val="false"/>
          <w:bCs w:val="false"/>
        </w:rPr>
        <w:t xml:space="preserve">______________ В.А. Елькин</w:t>
      </w:r>
    </w:p>
    <w:p>
      <w:pPr>
        <w:sectPr>
          <w:footerReference w:type="default" r:id="rId7"/>
          <w:pgSz w:w="11906" w:h="16838" w:orient="portrait"/>
          <w:pgMar w:top="1133" w:right="850" w:bottom="1133" w:left="17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Наименование и условное обозначение изделия</w:t>
      </w:r>
    </w:p>
    <w:p>
      <w:r>
        <w:rPr>
          <w:b w:val="false"/>
          <w:bCs w:val="false"/>
          <w:i w:val="false"/>
          <w:iCs w:val="false"/>
        </w:rPr>
        <w:t xml:space="preserve">Полное наименование: система интеллектуального поиска дубликатов обращений в техническую поддержку.</w:t>
      </w:r>
    </w:p>
    <w:p>
      <w:r>
        <w:rPr>
          <w:b w:val="false"/>
          <w:bCs w:val="false"/>
          <w:i w:val="false"/>
          <w:iCs w:val="false"/>
        </w:rPr>
        <w:t xml:space="preserve">Краткое наименование: СПДО.</w:t>
      </w:r>
    </w:p>
    <w:p>
      <w:r>
        <w:rPr>
          <w:b w:val="false"/>
          <w:bCs w:val="false"/>
          <w:i w:val="false"/>
          <w:iCs w:val="false"/>
        </w:rPr>
        <w:t xml:space="preserve">Условное обозначение комплекта документации: СПДО.001.</w:t>
      </w:r>
    </w:p>
    <w:p>
      <w:r>
        <w:rPr>
          <w:b w:val="false"/>
          <w:bCs w:val="false"/>
          <w:i w:val="false"/>
          <w:iCs w:val="false"/>
        </w:rPr>
        <w:t xml:space="preserve">Вид изделия: программное изделие (веб-приложение с серверной частью).</w:t>
      </w:r>
    </w:p>
    <w:p>
      <w:pPr>
        <w:pStyle w:val="Heading1"/>
      </w:pPr>
      <w:r>
        <w:t xml:space="preserve">2 Основание для разработки</w:t>
      </w:r>
    </w:p>
    <w:p>
      <w:r>
        <w:rPr>
          <w:b w:val="false"/>
          <w:bCs w:val="false"/>
          <w:i w:val="false"/>
          <w:iCs w:val="false"/>
        </w:rPr>
        <w:t xml:space="preserve">Работа выполняется на основании учебного плана дисциплины «Технологии разработки программного обеспечения» образовательной программы МИЭМ НИУ ВШЭ и задания на командный проект, выданного преподавателем дисциплины.</w:t>
      </w:r>
    </w:p>
    <w:p>
      <w:r>
        <w:rPr>
          <w:b w:val="false"/>
          <w:bCs w:val="false"/>
          <w:i w:val="false"/>
          <w:iCs w:val="false"/>
        </w:rPr>
        <w:t xml:space="preserve">Наименование темы: «Разработка системы интеллектуального поиска дубликатов обращений в техническую поддержку».</w:t>
      </w:r>
    </w:p>
    <w:p>
      <w:r>
        <w:rPr>
          <w:b w:val="false"/>
          <w:bCs w:val="false"/>
          <w:i w:val="false"/>
          <w:iCs w:val="false"/>
        </w:rPr>
        <w:t xml:space="preserve">Настоящие технические требования являются исходным документом для разработки технического задания по ГОСТ 19.201-78 и технических условий по ГОСТ 2.114-2016.</w:t>
      </w:r>
    </w:p>
    <w:p>
      <w:pPr>
        <w:pStyle w:val="Heading1"/>
      </w:pPr>
      <w:r>
        <w:t xml:space="preserve">3 Цель и назначение разработки</w:t>
      </w:r>
    </w:p>
    <w:p>
      <w:pPr>
        <w:pStyle w:val="Heading2"/>
      </w:pPr>
      <w:r>
        <w:t xml:space="preserve">3.1 Цель разработки</w:t>
      </w:r>
    </w:p>
    <w:p>
      <w:r>
        <w:rPr>
          <w:b w:val="false"/>
          <w:bCs w:val="false"/>
          <w:i w:val="false"/>
          <w:iCs w:val="false"/>
        </w:rPr>
        <w:t xml:space="preserve">Целью разработки является сокращение трудозатрат службы технической поддержки на обработку повторных обращений за счёт автоматического выявления семантически близких обращений на этапе регистрации новой заявки.</w:t>
      </w:r>
    </w:p>
    <w:p>
      <w:pPr>
        <w:pStyle w:val="Heading2"/>
      </w:pPr>
      <w:r>
        <w:t xml:space="preserve">3.2 Назначение изделия</w:t>
      </w:r>
    </w:p>
    <w:p>
      <w:r>
        <w:rPr>
          <w:b w:val="false"/>
          <w:bCs w:val="false"/>
          <w:i w:val="false"/>
          <w:iCs w:val="false"/>
        </w:rPr>
        <w:t xml:space="preserve">Изделие предназначено для ведения реестра обращений пользователей в службу технической поддержки и для автоматического подбора ранее зарегистрированных обращений, близких по смыслу к вновь создаваемому. Изделие не является системой управления задачами: управление спринтами, трудозатратами и проектными задачами в область применения не входит.</w:t>
      </w:r>
    </w:p>
    <w:p>
      <w:r>
        <w:rPr>
          <w:b w:val="false"/>
          <w:bCs w:val="false"/>
          <w:i w:val="false"/>
          <w:iCs w:val="false"/>
        </w:rPr>
        <w:t xml:space="preserve">Область применения: службы технической поддержки информационных систем организаций и учебных заведений, эксплуатирующие реестр обращений объёмом до 10 000 записей.</w:t>
      </w:r>
    </w:p>
    <w:p>
      <w:pPr>
        <w:pStyle w:val="Heading2"/>
      </w:pPr>
      <w:r>
        <w:t xml:space="preserve">3.3 Термины и определения</w:t>
      </w:r>
    </w:p>
    <w:p>
      <w:r>
        <w:rPr>
          <w:b w:val="false"/>
          <w:bCs w:val="false"/>
          <w:i w:val="false"/>
          <w:iCs w:val="false"/>
        </w:rPr>
        <w:t xml:space="preserve">В настоящем документе и в производных от него документах применяются следующие термины: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обращение — зарегистрированное в системе сообщение пользователя о проблеме, содержащее заголовок, описание, категорию, компонент и статус;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черновик — обращение, введённое пользователем, но ещё не зарегистрированное в реестре;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дубликат — обращение, описывающее ту же неисправность, что и сравниваемое обращение, иными словами;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связанное обращение — обращение, описывающее иную неисправность, имеющую с сравниваемым обращением общую причину, компонент или контекст;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независимое обращение — обращение, не являющееся ни дубликатом, ни связанным;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основное обращение — обращение, к которому отнесены дубликаты; решение основного обращения распространяется на дубликаты;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сеанс поиска — однократный запуск подбора похожих обращений для заданного текста с фиксацией параметров и версии модели;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рекомендация — сформированное системой предложение установить связь вида «дубликат» или «связанное» между двумя обращениями с указанием коэффициента сходства;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коэффициент сходства — числовая оценка близости двух обращений в диапазоне от 0 до 1;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порог сходства — граничное значение коэффициента сходства, при превышении которого рекомендация выводится оператору.</w:t>
      </w:r>
    </w:p>
    <w:p>
      <w:pPr>
        <w:pStyle w:val="Heading2"/>
      </w:pPr>
      <w:r>
        <w:t xml:space="preserve">3.4 Ограничения области проекта</w:t>
      </w:r>
    </w:p>
    <w:p>
      <w:r>
        <w:rPr>
          <w:b w:val="false"/>
          <w:bCs w:val="false"/>
          <w:i w:val="false"/>
          <w:iCs w:val="false"/>
        </w:rPr>
        <w:t xml:space="preserve">В первой версии изделия не реализуются: мобильное приложение; полноценное управление задачами и проектами; обучение собственной языковой модели; автоматическое закрытие обращений без участия человека; интеграция с электронной почтой, мессенджерами и внешними helpdesk-системами; обработка голосовых обращений; генерация ответов с помощью больших языковых моделей; микросервисная инфраструктура; автоматическое дообучение модели на пользовательских данных.</w:t>
      </w:r>
    </w:p>
    <w:p>
      <w:pPr>
        <w:pStyle w:val="Heading1"/>
      </w:pPr>
      <w:r>
        <w:t xml:space="preserve">4 Источники разработки</w:t>
      </w:r>
    </w:p>
    <w:p>
      <w:r>
        <w:rPr>
          <w:b w:val="false"/>
          <w:bCs w:val="false"/>
          <w:i w:val="false"/>
          <w:iCs w:val="false"/>
        </w:rPr>
        <w:t xml:space="preserve">При выполнении работы используются: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ГОСТ 19.201-78 ЕСПД. Техническое задание. Требования к содержанию и оформлению;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ГОСТ 19.101-77 ЕСПД. Виды программ и программных документов;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ГОСТ 19.106-78 ЕСПД. Требования к программным документам, выполненным печатным способом;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ГОСТ 2.114-2016 ЕСКД. Технические условия;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ГОСТ 2.105-2019 ЕСКД. Общие требования к текстовым документам;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ГОСТ Р ИСО/МЭК 25010-2015 в части характеристик качества программного обеспечения;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методические указания к лабораторным работам № 1–5 по дисциплине «Технологии разработки программного обеспечения»;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открытые наборы данных обращений и размеченных дубликатов: AskUbuntu (sentence-transformers/askubuntu), CQADupStack, GitBugs (лицензия CC BY 4.0).</w:t>
      </w:r>
    </w:p>
    <w:p>
      <w:pPr>
        <w:pStyle w:val="Heading1"/>
      </w:pPr>
      <w:r>
        <w:t xml:space="preserve">5 Технические требования</w:t>
      </w:r>
    </w:p>
    <w:p>
      <w:pPr>
        <w:pStyle w:val="Heading2"/>
      </w:pPr>
      <w:r>
        <w:t xml:space="preserve">5.1 Требования к составу изделия</w:t>
      </w:r>
    </w:p>
    <w:p>
      <w:r>
        <w:rPr>
          <w:b w:val="false"/>
          <w:bCs w:val="false"/>
          <w:i w:val="false"/>
          <w:iCs w:val="false"/>
        </w:rPr>
        <w:t xml:space="preserve">В состав изделия должны входить: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серверная часть, реализующая бизнес-логику, хранение обращений и алгоритм семантического поиска;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веб-интерфейс пользователя и оператора;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база данных обращений, связей, рекомендаций и обратной связи;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демонстрационный набор обращений и эталонная разметка дубликатов;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комплект программной документации.</w:t>
      </w:r>
    </w:p>
    <w:p>
      <w:pPr>
        <w:pStyle w:val="Heading2"/>
      </w:pPr>
      <w:r>
        <w:t xml:space="preserve">5.2 Требования к функциональным характеристикам</w:t>
      </w:r>
    </w:p>
    <w:p>
      <w:r>
        <w:rPr>
          <w:b w:val="false"/>
          <w:bCs w:val="false"/>
          <w:i w:val="false"/>
          <w:iCs w:val="false"/>
        </w:rPr>
        <w:t xml:space="preserve">Изделие должно реализовывать функции, приведённые в таблице 1.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1</w:t>
        </w:r>
      </w:fldSimple>
      <w:r>
        <w:t xml:space="preserve"> — Перечень функциональных требований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45"/>
        <w:gridCol w:w="5788"/>
        <w:gridCol w:w="2222"/>
      </w:tblGrid>
      <w:tr>
        <w:trPr>
          <w:cantSplit/>
          <w:tblHeader/>
        </w:trPr>
        <w:tc>
          <w:tcPr>
            <w:tcW w:type="dxa" w:w="1345"/>
          </w:tcPr>
          <w:p>
            <w:pPr>
              <w:pStyle w:val="TableHeader"/>
            </w:pPr>
            <w:r>
              <w:t xml:space="preserve">Обозначение</w:t>
            </w:r>
          </w:p>
        </w:tc>
        <w:tc>
          <w:tcPr>
            <w:tcW w:type="dxa" w:w="5788"/>
          </w:tcPr>
          <w:p>
            <w:pPr>
              <w:pStyle w:val="TableHeader"/>
            </w:pPr>
            <w:r>
              <w:t xml:space="preserve">Содержание требования</w:t>
            </w:r>
          </w:p>
        </w:tc>
        <w:tc>
          <w:tcPr>
            <w:tcW w:type="dxa" w:w="2222"/>
          </w:tcPr>
          <w:p>
            <w:pPr>
              <w:pStyle w:val="TableHeader"/>
            </w:pPr>
            <w:r>
              <w:t xml:space="preserve">Приоритет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Регистрация нового обращения с указанием заголовка, описания, категории и компонента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ТТ.Ф2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Редактирование черновика обращения до его регистрации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ТТ.Ф3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Автоматический поиск похожих обращений в момент регистрации нового обращения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ТТ.Ф4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Вывод ранжированного списка найденных кандидатов (не более 10) с коэффициентом сходства и статусом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ТТ.Ф5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Просмотр карточки найденного обращения и его опубликованного решения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ТТ.Ф6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Отметка пользователем, помогло ли опубликованное решение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ТТ.Ф7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Пометка нового обращения как дубликата существующего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ТТ.Ф8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Установление связи вида «связанное обращение» между двумя обращениями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ТТ.Ф9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Отклонение рекомендации системы с сохранением факта отклонения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ТТ.Ф10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Создание независимого обращения при наличии найденных совпадений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ТТ.Ф11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Просмотр реестра, фильтрация по статусу, категории и компоненту, поиск по тексту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ТТ.Ф12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Изменение статуса обращения и публикация решения оператором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ТТ.Ф13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Ведение истории изменений обращения (статус, связи, решение)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ТТ.Ф14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Вывод статистики качества рекомендаций за период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ТТ.Ф15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Аутентификация пользователей и разграничение прав по ролям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Обязательное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ТТ.Ф16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Настройка порога сходства, числа результатов и весовых коэффициентов администратором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Желательное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ТТ.Ф17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Объяснение причин сходства для каждой рекомендации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Желательное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ТТ.Ф18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Уведомление автора дубликата о решении основного обращения (внутри приложения)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Желательное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ТТ.Ф19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Автоматическое предложение категории нового обращения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Желательное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ТТ.Ф20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Обнаружение массового поступления однотипных обращений (инцидента)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Желательное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ТТ.Ф21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Объединение дубликатов в группу с выбором основного обращения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Желательное</w:t>
            </w:r>
          </w:p>
        </w:tc>
      </w:tr>
      <w:tr>
        <w:trPr>
          <w:cantSplit/>
          <w:tblHeader w:val="false"/>
        </w:trPr>
        <w:tc>
          <w:tcPr>
            <w:tcW w:type="dxa" w:w="1345"/>
          </w:tcPr>
          <w:p>
            <w:pPr>
              <w:pStyle w:val="TableText"/>
            </w:pPr>
            <w:r>
              <w:t xml:space="preserve">ТТ.Ф22</w:t>
            </w:r>
          </w:p>
        </w:tc>
        <w:tc>
          <w:tcPr>
            <w:tcW w:type="dxa" w:w="5788"/>
          </w:tcPr>
          <w:p>
            <w:pPr>
              <w:pStyle w:val="TableText"/>
            </w:pPr>
            <w:r>
              <w:t xml:space="preserve">Повторное построение поискового индекса при смене модели</w:t>
            </w:r>
          </w:p>
        </w:tc>
        <w:tc>
          <w:tcPr>
            <w:tcW w:type="dxa" w:w="2222"/>
          </w:tcPr>
          <w:p>
            <w:pPr>
              <w:pStyle w:val="TableText"/>
            </w:pPr>
            <w:r>
              <w:t xml:space="preserve">Желательное</w:t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Требования, отнесённые к категории «желательное», реализуются при наличии резерва времени и не являются основанием для отказа в приёмке.</w:t>
      </w:r>
    </w:p>
    <w:p>
      <w:r>
        <w:rPr>
          <w:b w:val="false"/>
          <w:bCs w:val="false"/>
          <w:i w:val="false"/>
          <w:iCs w:val="false"/>
        </w:rPr>
        <w:t xml:space="preserve">В системе должны быть выделены роли: пользователь, оператор технической поддержки, администратор. Пользователь видит в реестре только собственные обращения; обращения других пользователей доступны ему только в составе рекомендаций (заголовок, статус, опубликованное решение). Обращения, помеченные оператором как конфиденциальные, в рекомендации посторонним пользователям не включаются.</w:t>
      </w:r>
    </w:p>
    <w:p>
      <w:pPr>
        <w:pStyle w:val="Heading2"/>
      </w:pPr>
      <w:r>
        <w:t xml:space="preserve">5.3 Требования к качеству интеллектуального поиска</w:t>
      </w:r>
    </w:p>
    <w:p>
      <w:r>
        <w:rPr>
          <w:b w:val="false"/>
          <w:bCs w:val="false"/>
          <w:i w:val="false"/>
          <w:iCs w:val="false"/>
        </w:rPr>
        <w:t xml:space="preserve">Показатели качества подбора похожих обращений приведены в таблице 2. Показатели измеряются на эталонном наборе данных, подготовленном исполнителем и согласованном с заказчиком.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2</w:t>
        </w:r>
      </w:fldSimple>
      <w:r>
        <w:t xml:space="preserve"> — Показатели качества подбора обращений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7"/>
        <w:gridCol w:w="6081"/>
        <w:gridCol w:w="1737"/>
      </w:tblGrid>
      <w:tr>
        <w:trPr>
          <w:cantSplit/>
          <w:tblHeader/>
        </w:trPr>
        <w:tc>
          <w:tcPr>
            <w:tcW w:type="dxa" w:w="1537"/>
          </w:tcPr>
          <w:p>
            <w:pPr>
              <w:pStyle w:val="TableHeader"/>
            </w:pPr>
            <w:r>
              <w:t xml:space="preserve">Обозначение</w:t>
            </w:r>
          </w:p>
        </w:tc>
        <w:tc>
          <w:tcPr>
            <w:tcW w:type="dxa" w:w="6081"/>
          </w:tcPr>
          <w:p>
            <w:pPr>
              <w:pStyle w:val="TableHeader"/>
            </w:pPr>
            <w:r>
              <w:t xml:space="preserve">Показатель</w:t>
            </w:r>
          </w:p>
        </w:tc>
        <w:tc>
          <w:tcPr>
            <w:tcW w:type="dxa" w:w="1737"/>
          </w:tcPr>
          <w:p>
            <w:pPr>
              <w:pStyle w:val="TableHeader"/>
            </w:pPr>
            <w: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ТТ.К1</w:t>
            </w:r>
          </w:p>
        </w:tc>
        <w:tc>
          <w:tcPr>
            <w:tcW w:type="dxa" w:w="6081"/>
          </w:tcPr>
          <w:p>
            <w:pPr>
              <w:pStyle w:val="TableText"/>
            </w:pPr>
            <w:r>
              <w:t xml:space="preserve">Доля обращений эталонного набора, для которых истинный дубликат попал в первые три позиции выдачи (recall@3)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не менее 0,80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ТТ.К2</w:t>
            </w:r>
          </w:p>
        </w:tc>
        <w:tc>
          <w:tcPr>
            <w:tcW w:type="dxa" w:w="6081"/>
          </w:tcPr>
          <w:p>
            <w:pPr>
              <w:pStyle w:val="TableText"/>
            </w:pPr>
            <w:r>
              <w:t xml:space="preserve">Оценка качества фиксируется для каждого релиза изделия на неизменяемой проверочной выборке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выполняется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ТТ.К3</w:t>
            </w:r>
          </w:p>
        </w:tc>
        <w:tc>
          <w:tcPr>
            <w:tcW w:type="dxa" w:w="6081"/>
          </w:tcPr>
          <w:p>
            <w:pPr>
              <w:pStyle w:val="TableText"/>
            </w:pPr>
            <w:r>
              <w:t xml:space="preserve">Измерение качества выполняется на данных, не использованных для настройки порогов и весовых коэффициентов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выполняется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ТТ.К4</w:t>
            </w:r>
          </w:p>
        </w:tc>
        <w:tc>
          <w:tcPr>
            <w:tcW w:type="dxa" w:w="6081"/>
          </w:tcPr>
          <w:p>
            <w:pPr>
              <w:pStyle w:val="TableText"/>
            </w:pPr>
            <w:r>
              <w:t xml:space="preserve">Для каждой рекомендации сохраняется версия алгоритма и модели, которыми она получена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выполняется</w:t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Значение показателя ТТ.К1 является предварительным и уточняется по результатам первого эксперимента с данными. Обучение собственных нейросетевых моделей не требуется. Допускается применение готовых предобученных моделей векторного представления текста, распространяемых под свободными лицензиями.</w:t>
      </w:r>
    </w:p>
    <w:p>
      <w:pPr>
        <w:pStyle w:val="Heading2"/>
      </w:pPr>
      <w:r>
        <w:t xml:space="preserve">5.4 Требования к производительности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время формирования списка похожих обращений при объёме реестра до 5 000 записей — не более 2 с (95-й процентиль);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время отклика сервера на обычные операции интерфейса — не более 2 с (95-й процентиль);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число рекомендаций на один запрос — не более 10;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число одновременно работающих пользователей — не менее 10;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объём реестра обращений — не менее 10 000 записей без деградации функций.</w:t>
      </w:r>
    </w:p>
    <w:p>
      <w:pPr>
        <w:pStyle w:val="Heading2"/>
      </w:pPr>
      <w:r>
        <w:t xml:space="preserve">5.5 Требования к надёжности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отказ системы вследствие некорректного ввода данных пользователем не допускается;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ошибка модуля семантического поиска не должна приводить к потере введённого пользователем текста;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при недоступности модуля семантического поиска регистрация обращений должна сохраняться с выводом предупреждения;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изменение статуса обращения и создание связи выполняются атомарно;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время восстановления работоспособности после программного сбоя — не более 15 мин;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потеря зарегистрированных обращений при перезапуске серверной части не допускается.</w:t>
      </w:r>
    </w:p>
    <w:p>
      <w:pPr>
        <w:pStyle w:val="Heading2"/>
      </w:pPr>
      <w:r>
        <w:t xml:space="preserve">5.6 Требования к исходным данным</w:t>
      </w:r>
    </w:p>
    <w:p>
      <w:r>
        <w:rPr>
          <w:b w:val="false"/>
          <w:bCs w:val="false"/>
          <w:i w:val="false"/>
          <w:iCs w:val="false"/>
        </w:rPr>
        <w:t xml:space="preserve">Для настройки и демонстрации изделия исполнитель подготавливает демонстрационный набор обращений на русском языке объёмом от 100 до 150 записей, включающий: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 15 до 20 исходных проблем;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 4 до 6 различных формулировок каждой проблемы;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 20 до 30 обращений, тематически близких, но не являющихся дубликатами;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не менее 20 независимых обращений.</w:t>
      </w:r>
    </w:p>
    <w:p>
      <w:r>
        <w:rPr>
          <w:b w:val="false"/>
          <w:bCs w:val="false"/>
          <w:i w:val="false"/>
          <w:iCs w:val="false"/>
        </w:rPr>
        <w:t xml:space="preserve">Набор разделяется на настроечную часть, используемую для подбора порогов и весовых коэффициентов, и проверочную часть, используемую только для измерения показателей качества и неизменяемую между релизами.</w:t>
      </w:r>
    </w:p>
    <w:p>
      <w:r>
        <w:rPr>
          <w:b w:val="false"/>
          <w:bCs w:val="false"/>
          <w:i w:val="false"/>
          <w:iCs w:val="false"/>
        </w:rPr>
        <w:t xml:space="preserve">Для внешней проверки качества алгоритма допускается использование открытых наборов данных с готовой разметкой дубликатов при условии соблюдения их лицензий.</w:t>
      </w:r>
    </w:p>
    <w:p>
      <w:pPr>
        <w:pStyle w:val="Heading2"/>
      </w:pPr>
      <w:r>
        <w:t xml:space="preserve">5.7 Требования к пользовательскому интерфейсу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интерфейс должен быть выполнен на русском языке в виде веб-приложения;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основной сценарий создания обращения выполняется на одной странице;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рекомендации системы должны отображаться до момента сохранения нового обращения;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решение об установлении связи принимает пользователь или оператор; система не изменяет статус обращения самостоятельно;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для каждой рекомендации должны выводиться заголовок найденного обращения, его статус, коэффициент сходства и предполагаемый вид связи;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интерфейс должен явно указывать, что рекомендация сформирована автоматически и может быть ошибочной.</w:t>
      </w:r>
    </w:p>
    <w:p>
      <w:pPr>
        <w:pStyle w:val="Heading2"/>
      </w:pPr>
      <w:r>
        <w:t xml:space="preserve">5.8 Требования к программно-аппаратной среде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серверная часть должна функционировать в операционных системах семейства Linux;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клиентская часть должна работать в браузерах Google Chrome и Mozilla Firefox актуальных версий;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должна обеспечиваться возможность развёртывания в контейнерах Docker;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применяемые сторонние библиотеки и модели должны распространяться под свободными лицензиями, допускающими использование в учебных целях;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минимальная конфигурация сервера: 4 ядра ЦП, 8 ГБ оперативной памяти, 20 ГБ дискового пространства.</w:t>
      </w:r>
    </w:p>
    <w:p>
      <w:pPr>
        <w:pStyle w:val="Heading2"/>
      </w:pPr>
      <w:r>
        <w:t xml:space="preserve">5.9 Требования к защите информации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доступ к функциям оператора и администратора предоставляется после аутентификации;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полномочия пользователя проверяются сервером при каждой защищённой операции независимо от клиентской части;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пользовательский ввод проверяется на сервере независимо от проверки в клиентской части;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пароли пользователей хранятся в виде криптографических хеш-значений;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пароли и токены доступа не записываются в журналы событий;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обработка сведений, содержащих государственную тайну и персональные данные специальных категорий, не предусматривается.</w:t>
      </w:r>
    </w:p>
    <w:p>
      <w:pPr>
        <w:pStyle w:val="Heading2"/>
      </w:pPr>
      <w:r>
        <w:t xml:space="preserve">5.10 Требования к сопровождаемости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модуль семантического поиска отделяется от бизнес-логики обращений программным интерфейсом;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порог сходства, число результатов и весовые коэффициенты задаются конфигурацией без изменения исходного кода;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модель векторного представления текста должна заменяться без изменения структуры пользовательского интерфейса;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основные серверные компоненты покрываются автоматическими тестами.</w:t>
      </w:r>
    </w:p>
    <w:p>
      <w:pPr>
        <w:pStyle w:val="Heading1"/>
      </w:pPr>
      <w:r>
        <w:t xml:space="preserve">6 Требования к документации</w:t>
      </w:r>
    </w:p>
    <w:p>
      <w:r>
        <w:rPr>
          <w:b w:val="false"/>
          <w:bCs w:val="false"/>
          <w:i w:val="false"/>
          <w:iCs w:val="false"/>
        </w:rPr>
        <w:t xml:space="preserve">По результатам выполнения работы должны быть представлены: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техническое задание по ГОСТ 19.201-78, включающее модель требований: описания основных прецедентов, диаграмму прецедентов, диаграммы деятельности основных прецедентов, диаграмму классов предметной области и эскиз пользовательского интерфейса;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технические условия по ГОСТ 2.114-2016;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программа и методика испытаний, тест-план, набор тест-кейсов и матрица трассируемости требований;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отчёт о метриках программного кода до и после оптимизации;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документация на исходный код, сформированная средствами автоматического документирования;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пояснительная записка к проекту.</w:t>
      </w:r>
    </w:p>
    <w:p>
      <w:pPr>
        <w:pStyle w:val="Heading1"/>
      </w:pPr>
      <w:r>
        <w:t xml:space="preserve">7 Этапы и сроки выполнения работ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3</w:t>
        </w:r>
      </w:fldSimple>
      <w:r>
        <w:t xml:space="preserve"> — Этапы выполнения работ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19"/>
        <w:gridCol w:w="4911"/>
        <w:gridCol w:w="1871"/>
        <w:gridCol w:w="1754"/>
      </w:tblGrid>
      <w:tr>
        <w:trPr>
          <w:cantSplit/>
          <w:tblHeader/>
        </w:trPr>
        <w:tc>
          <w:tcPr>
            <w:tcW w:type="dxa" w:w="819"/>
          </w:tcPr>
          <w:p>
            <w:pPr>
              <w:pStyle w:val="TableHeader"/>
            </w:pPr>
            <w:r>
              <w:t xml:space="preserve">№</w:t>
            </w:r>
          </w:p>
        </w:tc>
        <w:tc>
          <w:tcPr>
            <w:tcW w:type="dxa" w:w="4911"/>
          </w:tcPr>
          <w:p>
            <w:pPr>
              <w:pStyle w:val="TableHeader"/>
            </w:pPr>
            <w:r>
              <w:t xml:space="preserve">Наименование этапа</w:t>
            </w:r>
          </w:p>
        </w:tc>
        <w:tc>
          <w:tcPr>
            <w:tcW w:type="dxa" w:w="1871"/>
          </w:tcPr>
          <w:p>
            <w:pPr>
              <w:pStyle w:val="TableHeader"/>
            </w:pPr>
            <w:r>
              <w:t xml:space="preserve">Срок окончания</w:t>
            </w:r>
          </w:p>
        </w:tc>
        <w:tc>
          <w:tcPr>
            <w:tcW w:type="dxa" w:w="1754"/>
          </w:tcPr>
          <w:p>
            <w:pPr>
              <w:pStyle w:val="TableHeader"/>
            </w:pPr>
            <w:r>
              <w:t xml:space="preserve">Ответственный</w:t>
            </w:r>
          </w:p>
        </w:tc>
      </w:tr>
      <w:tr>
        <w:trPr>
          <w:cantSplit/>
          <w:tblHeader w:val="false"/>
        </w:trPr>
        <w:tc>
          <w:tcPr>
            <w:tcW w:type="dxa" w:w="819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type="dxa" w:w="4911"/>
          </w:tcPr>
          <w:p>
            <w:pPr>
              <w:pStyle w:val="TableText"/>
            </w:pPr>
            <w:r>
              <w:t xml:space="preserve">Сбор и анализ требований, разработка ТЗ и модели требований (UML)</w:t>
            </w:r>
          </w:p>
        </w:tc>
        <w:tc>
          <w:tcPr>
            <w:tcW w:type="dxa" w:w="1871"/>
          </w:tcPr>
          <w:p>
            <w:pPr>
              <w:pStyle w:val="TableText"/>
            </w:pPr>
            <w:r>
              <w:t xml:space="preserve">24.09.2026</w:t>
            </w:r>
          </w:p>
        </w:tc>
        <w:tc>
          <w:tcPr>
            <w:tcW w:type="dxa" w:w="1754"/>
          </w:tcPr>
          <w:p>
            <w:pPr>
              <w:pStyle w:val="TableText"/>
            </w:pPr>
            <w:r>
              <w:t xml:space="preserve">В.А. Елькин</w:t>
            </w:r>
          </w:p>
        </w:tc>
      </w:tr>
      <w:tr>
        <w:trPr>
          <w:cantSplit/>
          <w:tblHeader w:val="false"/>
        </w:trPr>
        <w:tc>
          <w:tcPr>
            <w:tcW w:type="dxa" w:w="819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type="dxa" w:w="4911"/>
          </w:tcPr>
          <w:p>
            <w:pPr>
              <w:pStyle w:val="TableText"/>
            </w:pPr>
            <w:r>
              <w:t xml:space="preserve">Управление версиями, автоматическое документирование кода</w:t>
            </w:r>
          </w:p>
        </w:tc>
        <w:tc>
          <w:tcPr>
            <w:tcW w:type="dxa" w:w="1871"/>
          </w:tcPr>
          <w:p>
            <w:pPr>
              <w:pStyle w:val="TableText"/>
            </w:pPr>
            <w:r>
              <w:t xml:space="preserve">08.10.2026</w:t>
            </w:r>
          </w:p>
        </w:tc>
        <w:tc>
          <w:tcPr>
            <w:tcW w:type="dxa" w:w="1754"/>
          </w:tcPr>
          <w:p>
            <w:pPr>
              <w:pStyle w:val="TableText"/>
            </w:pPr>
            <w:r>
              <w:t xml:space="preserve">В.А. Елькин</w:t>
            </w:r>
          </w:p>
        </w:tc>
      </w:tr>
      <w:tr>
        <w:trPr>
          <w:cantSplit/>
          <w:tblHeader w:val="false"/>
        </w:trPr>
        <w:tc>
          <w:tcPr>
            <w:tcW w:type="dxa" w:w="819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type="dxa" w:w="4911"/>
          </w:tcPr>
          <w:p>
            <w:pPr>
              <w:pStyle w:val="TableText"/>
            </w:pPr>
            <w:r>
              <w:t xml:space="preserve">Построение метрик кода, оптимизация кода по результатам анализа</w:t>
            </w:r>
          </w:p>
        </w:tc>
        <w:tc>
          <w:tcPr>
            <w:tcW w:type="dxa" w:w="1871"/>
          </w:tcPr>
          <w:p>
            <w:pPr>
              <w:pStyle w:val="TableText"/>
            </w:pPr>
            <w:r>
              <w:t xml:space="preserve">12.11.2026</w:t>
            </w:r>
          </w:p>
        </w:tc>
        <w:tc>
          <w:tcPr>
            <w:tcW w:type="dxa" w:w="1754"/>
          </w:tcPr>
          <w:p>
            <w:pPr>
              <w:pStyle w:val="TableText"/>
            </w:pPr>
            <w:r>
              <w:t xml:space="preserve">В.А. Елькин</w:t>
            </w:r>
          </w:p>
        </w:tc>
      </w:tr>
      <w:tr>
        <w:trPr>
          <w:cantSplit/>
          <w:tblHeader w:val="false"/>
        </w:trPr>
        <w:tc>
          <w:tcPr>
            <w:tcW w:type="dxa" w:w="819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type="dxa" w:w="4911"/>
          </w:tcPr>
          <w:p>
            <w:pPr>
              <w:pStyle w:val="TableText"/>
            </w:pPr>
            <w:r>
              <w:t xml:space="preserve">Тестирование: модульное, покрытие кода, производительность, нагрузка, GUI</w:t>
            </w:r>
          </w:p>
        </w:tc>
        <w:tc>
          <w:tcPr>
            <w:tcW w:type="dxa" w:w="1871"/>
          </w:tcPr>
          <w:p>
            <w:pPr>
              <w:pStyle w:val="TableText"/>
            </w:pPr>
            <w:r>
              <w:t xml:space="preserve">19.11.2026</w:t>
            </w:r>
          </w:p>
        </w:tc>
        <w:tc>
          <w:tcPr>
            <w:tcW w:type="dxa" w:w="1754"/>
          </w:tcPr>
          <w:p>
            <w:pPr>
              <w:pStyle w:val="TableText"/>
            </w:pPr>
            <w:r>
              <w:t xml:space="preserve">Д.С. Красавин</w:t>
            </w:r>
          </w:p>
        </w:tc>
      </w:tr>
      <w:tr>
        <w:trPr>
          <w:cantSplit/>
          <w:tblHeader w:val="false"/>
        </w:trPr>
        <w:tc>
          <w:tcPr>
            <w:tcW w:type="dxa" w:w="819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type="dxa" w:w="4911"/>
          </w:tcPr>
          <w:p>
            <w:pPr>
              <w:pStyle w:val="TableText"/>
            </w:pPr>
            <w:r>
              <w:t xml:space="preserve">Пояснительная записка, демонстрация функционала, анализ проекта</w:t>
            </w:r>
          </w:p>
        </w:tc>
        <w:tc>
          <w:tcPr>
            <w:tcW w:type="dxa" w:w="1871"/>
          </w:tcPr>
          <w:p>
            <w:pPr>
              <w:pStyle w:val="TableText"/>
            </w:pPr>
            <w:r>
              <w:t xml:space="preserve">02.12.2026</w:t>
            </w:r>
          </w:p>
        </w:tc>
        <w:tc>
          <w:tcPr>
            <w:tcW w:type="dxa" w:w="1754"/>
          </w:tcPr>
          <w:p>
            <w:pPr>
              <w:pStyle w:val="TableText"/>
            </w:pPr>
            <w:r>
              <w:t xml:space="preserve">Д.С. Красавин</w:t>
            </w:r>
          </w:p>
        </w:tc>
      </w:tr>
    </w:tbl>
    <w:p>
      <w:pPr>
        <w:pStyle w:val="AfterTable"/>
      </w:pPr>
    </w:p>
    <w:p>
      <w:pPr>
        <w:pStyle w:val="Heading1"/>
      </w:pPr>
      <w:r>
        <w:t xml:space="preserve">8 Порядок приёмки</w:t>
      </w:r>
    </w:p>
    <w:p>
      <w:r>
        <w:rPr>
          <w:b w:val="false"/>
          <w:bCs w:val="false"/>
          <w:i w:val="false"/>
          <w:iCs w:val="false"/>
        </w:rPr>
        <w:t xml:space="preserve">Приёмка результатов работы выполняется поэтапно. Этап считается принятым после демонстрации результата заказчику и защиты его ответственным исполнителем.</w:t>
      </w:r>
    </w:p>
    <w:p>
      <w:r>
        <w:rPr>
          <w:b w:val="false"/>
          <w:bCs w:val="false"/>
          <w:i w:val="false"/>
          <w:iCs w:val="false"/>
        </w:rPr>
        <w:t xml:space="preserve">Изделие считается соответствующим настоящим техническим требованиям, если: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реализованы все требования, отнесённые в таблице 1 к категории «обязательное»;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достигнуты значения показателей качества, установленные в таблице 2;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выполнены требования к производительности, установленные в подразделе 5.4;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представлен комплект документации в объёме раздела 6.</w:t>
      </w:r>
    </w:p>
    <w:p>
      <w:pPr>
        <w:pStyle w:val="Heading1"/>
      </w:pPr>
      <w:r>
        <w:t xml:space="preserve">9 Исполнители и распределение ответственности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4</w:t>
        </w:r>
      </w:fldSimple>
      <w:r>
        <w:t xml:space="preserve"> — Распределение ответственности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11"/>
        <w:gridCol w:w="2393"/>
        <w:gridCol w:w="4351"/>
      </w:tblGrid>
      <w:tr>
        <w:trPr>
          <w:cantSplit/>
          <w:tblHeader/>
        </w:trPr>
        <w:tc>
          <w:tcPr>
            <w:tcW w:type="dxa" w:w="2611"/>
          </w:tcPr>
          <w:p>
            <w:pPr>
              <w:pStyle w:val="TableHeader"/>
            </w:pPr>
            <w:r>
              <w:t xml:space="preserve">Исполнитель</w:t>
            </w:r>
          </w:p>
        </w:tc>
        <w:tc>
          <w:tcPr>
            <w:tcW w:type="dxa" w:w="2393"/>
          </w:tcPr>
          <w:p>
            <w:pPr>
              <w:pStyle w:val="TableHeader"/>
            </w:pPr>
            <w:r>
              <w:t xml:space="preserve">Роль</w:t>
            </w:r>
          </w:p>
        </w:tc>
        <w:tc>
          <w:tcPr>
            <w:tcW w:type="dxa" w:w="4351"/>
          </w:tcPr>
          <w:p>
            <w:pPr>
              <w:pStyle w:val="TableHeader"/>
            </w:pPr>
            <w:r>
              <w:t xml:space="preserve">Зона ответственности</w:t>
            </w:r>
          </w:p>
        </w:tc>
      </w:tr>
      <w:tr>
        <w:trPr>
          <w:cantSplit/>
          <w:tblHeader w:val="false"/>
        </w:trPr>
        <w:tc>
          <w:tcPr>
            <w:tcW w:type="dxa" w:w="2611"/>
          </w:tcPr>
          <w:p>
            <w:pPr>
              <w:pStyle w:val="TableText"/>
            </w:pPr>
            <w:r>
              <w:t xml:space="preserve">Красавин Даниил Сергеевич</w:t>
            </w:r>
          </w:p>
        </w:tc>
        <w:tc>
          <w:tcPr>
            <w:tcW w:type="dxa" w:w="2393"/>
          </w:tcPr>
          <w:p>
            <w:pPr>
              <w:pStyle w:val="TableText"/>
            </w:pPr>
            <w:r>
              <w:t xml:space="preserve">Руководитель проекта, инженер по тестированию</w:t>
            </w:r>
          </w:p>
        </w:tc>
        <w:tc>
          <w:tcPr>
            <w:tcW w:type="dxa" w:w="4351"/>
          </w:tcPr>
          <w:p>
            <w:pPr>
              <w:pStyle w:val="TableText"/>
            </w:pPr>
            <w:r>
              <w:t xml:space="preserve">Планирование работ и контроль сроков, взаимодействие с заказчиком, тест-план, тест-кейсы, матрица трассируемости, модульное и нагрузочное тестирование, тестирование GUI, оценка качества рекомендаций</w:t>
            </w:r>
          </w:p>
        </w:tc>
      </w:tr>
      <w:tr>
        <w:trPr>
          <w:cantSplit/>
          <w:tblHeader w:val="false"/>
        </w:trPr>
        <w:tc>
          <w:tcPr>
            <w:tcW w:type="dxa" w:w="2611"/>
          </w:tcPr>
          <w:p>
            <w:pPr>
              <w:pStyle w:val="TableText"/>
            </w:pPr>
            <w:r>
              <w:t xml:space="preserve">Елькин Вадим Алексеевич</w:t>
            </w:r>
          </w:p>
        </w:tc>
        <w:tc>
          <w:tcPr>
            <w:tcW w:type="dxa" w:w="2393"/>
          </w:tcPr>
          <w:p>
            <w:pPr>
              <w:pStyle w:val="TableText"/>
            </w:pPr>
            <w:r>
              <w:t xml:space="preserve">Разработчик, технический писатель</w:t>
            </w:r>
          </w:p>
        </w:tc>
        <w:tc>
          <w:tcPr>
            <w:tcW w:type="dxa" w:w="4351"/>
          </w:tcPr>
          <w:p>
            <w:pPr>
              <w:pStyle w:val="TableText"/>
            </w:pPr>
            <w:r>
              <w:t xml:space="preserve">Разработка серверной и клиентской частей, реализация алгоритма семантического поиска, подготовка демонстрационного набора данных, ТЗ, ТУ, UML-модели, документация на код, пояснительная записка</w:t>
            </w:r>
          </w:p>
        </w:tc>
      </w:tr>
    </w:tbl>
    <w:p>
      <w:pPr>
        <w:pStyle w:val="AfterTable"/>
      </w:pPr>
    </w:p>
    <w:p>
      <w:pPr>
        <w:pStyle w:val="TitleCenter"/>
      </w:pPr>
    </w:p>
    <w:p>
      <w:pPr>
        <w:pStyle w:val="TitleCenter"/>
      </w:pPr>
    </w:p>
    <w:p>
      <w:pPr>
        <w:pStyle w:val="TitleLeft"/>
        <w:spacing w:before="120"/>
      </w:pPr>
      <w:r>
        <w:t xml:space="preserve">Руководитель проекта                               ______________   Д.С. Красавин</w:t>
      </w:r>
    </w:p>
    <w:p>
      <w:pPr>
        <w:pStyle w:val="TitleLeft"/>
        <w:spacing w:before="120"/>
      </w:pPr>
      <w:r>
        <w:t xml:space="preserve">Разработчик                                                 ______________   В.А. Елькин</w:t>
      </w:r>
    </w:p>
    <w:sectPr>
      <w:footerReference w:type="default" r:id="rId8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t xml:space="preserve">Москва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360"/>
      </w:pPr>
    </w:lvl>
    <w:lvl w:ilvl="1" w15:tentative="1">
      <w:start w:val="1"/>
      <w:numFmt w:val="bullet"/>
      <w:lvlText w:val="•"/>
      <w:lvlJc w:val="left"/>
      <w:pPr>
        <w:ind w:left="113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russianLower"/>
      <w:lvlText w:val="%1)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24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00" w:line="360" w:lineRule="auto"/>
      <w:ind w:firstLine="709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160" w:line="360" w:lineRule="auto"/>
      <w:ind w:firstLine="709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firstLine="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Caption">
    <w:name w:val="caption"/>
    <w:basedOn w:val="Normal"/>
    <w:next w:val="Normal"/>
    <w:qFormat/>
    <w:pPr>
      <w:keepNext/>
      <w:spacing w:after="120" w:before="200" w:line="240" w:lineRule="auto"/>
      <w:ind w:firstLine="0"/>
      <w:jc w:val="left"/>
    </w:pPr>
  </w:style>
  <w:style w:type="paragraph" w:styleId="TableText">
    <w:name w:val="Текст таблицы"/>
    <w:basedOn w:val="Normal"/>
    <w:qFormat/>
    <w:pPr>
      <w:spacing w:after="40" w:before="40" w:line="240" w:lineRule="auto"/>
      <w:ind w:firstLine="0"/>
      <w:jc w:val="left"/>
    </w:pPr>
    <w:rPr>
      <w:sz w:val="24"/>
      <w:szCs w:val="24"/>
    </w:rPr>
  </w:style>
  <w:style w:type="paragraph" w:styleId="TableHeader">
    <w:name w:val="Шапка таблицы"/>
    <w:basedOn w:val="TableText"/>
    <w:qFormat/>
    <w:pPr>
      <w:jc w:val="center"/>
    </w:pPr>
    <w:rPr>
      <w:b/>
      <w:bCs/>
    </w:rPr>
  </w:style>
  <w:style w:type="paragraph" w:styleId="AfterTable">
    <w:name w:val="Отбивка после таблицы"/>
    <w:basedOn w:val="Normal"/>
    <w:pPr>
      <w:spacing w:after="0" w:before="0" w:line="240" w:lineRule="auto"/>
    </w:pPr>
    <w:rPr>
      <w:sz w:val="16"/>
      <w:szCs w:val="16"/>
    </w:rPr>
  </w:style>
  <w:style w:type="paragraph" w:styleId="TitleCenter">
    <w:name w:val="Титул по центру"/>
    <w:basedOn w:val="Normal"/>
    <w:qFormat/>
    <w:pPr>
      <w:ind w:firstLine="0"/>
      <w:jc w:val="center"/>
    </w:pPr>
  </w:style>
  <w:style w:type="paragraph" w:styleId="TitleLeft">
    <w:name w:val="Титул слева"/>
    <w:basedOn w:val="Normal"/>
    <w:qFormat/>
    <w:pPr>
      <w:ind w:firstLine="0"/>
      <w:jc w:val="left"/>
    </w:pPr>
  </w:style>
  <w:style w:type="paragraph" w:styleId="Figure">
    <w:name w:val="Рисунок"/>
    <w:basedOn w:val="Normal"/>
    <w:pPr>
      <w:spacing w:after="60" w:before="120" w:line="240" w:lineRule="auto"/>
      <w:ind w:firstLine="0"/>
      <w:jc w:val="center"/>
    </w:pPr>
  </w:style>
  <w:style w:type="paragraph" w:styleId="FigCaption">
    <w:name w:val="Подпись рисунка"/>
    <w:basedOn w:val="Normal"/>
    <w:next w:val="Normal"/>
    <w:pPr>
      <w:spacing w:after="200" w:before="60" w:line="240" w:lineRule="auto"/>
      <w:ind w:firstLine="0"/>
      <w:jc w:val="center"/>
    </w:pPr>
  </w:style>
  <w:style w:type="paragraph" w:styleId="Footer">
    <w:name w:val="footer"/>
    <w:basedOn w:val="Normal"/>
    <w:pPr>
      <w:spacing w:line="240" w:lineRule="auto"/>
      <w:ind w:firstLine="0"/>
      <w:jc w:val="center"/>
    </w:pPr>
  </w:style>
  <w:style w:type="paragraph" w:styleId="Header">
    <w:name w:val="header"/>
    <w:basedOn w:val="Normal"/>
    <w:pPr>
      <w:spacing w:line="240" w:lineRule="auto"/>
      <w:ind w:firstLine="0"/>
      <w:jc w:val="center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2026-09-23T09:54:11.114Z</dcterms:created>
  <dcterms:modified xsi:type="dcterms:W3CDTF">2026-09-23T09:54:11.123Z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