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Center"/>
      </w:pPr>
      <w:r>
        <w:rPr>
          <w:b w:val="false"/>
          <w:bCs w:val="false"/>
        </w:rPr>
        <w:t xml:space="preserve">Национальный исследовательский университет «Высшая школа экономики»</w:t>
      </w:r>
    </w:p>
    <w:p>
      <w:pPr>
        <w:pStyle w:val="TitleCenter"/>
      </w:pPr>
      <w:r>
        <w:rPr>
          <w:b w:val="false"/>
          <w:bCs w:val="false"/>
        </w:rPr>
        <w:t xml:space="preserve">Московский институт электроники и математики им. А.Н. Тихонова</w:t>
      </w:r>
    </w:p>
    <w:p>
      <w:pPr>
        <w:pStyle w:val="TitleCenter"/>
      </w:pPr>
    </w:p>
    <w:p>
      <w:pPr>
        <w:pStyle w:val="TitleCenter"/>
      </w:pPr>
    </w:p>
    <w:p>
      <w:pPr>
        <w:pStyle w:val="TitleCenter"/>
      </w:pPr>
    </w:p>
    <w:p>
      <w:pPr>
        <w:pStyle w:val="TitleCenter"/>
      </w:pPr>
      <w:r>
        <w:rPr>
          <w:b/>
          <w:bCs/>
        </w:rPr>
        <w:t xml:space="preserve">УТВЕРЖДАЮ</w:t>
      </w:r>
    </w:p>
    <w:p>
      <w:pPr>
        <w:pStyle w:val="TitleCenter"/>
      </w:pPr>
      <w:r>
        <w:rPr>
          <w:b w:val="false"/>
          <w:bCs w:val="false"/>
        </w:rPr>
        <w:t xml:space="preserve">Руководитель дисциплины</w:t>
      </w:r>
    </w:p>
    <w:p>
      <w:pPr>
        <w:pStyle w:val="TitleCenter"/>
      </w:pPr>
      <w:r>
        <w:rPr>
          <w:b w:val="false"/>
          <w:bCs w:val="false"/>
        </w:rPr>
        <w:t xml:space="preserve">«Технологии разработки программного обеспечения»</w:t>
      </w:r>
    </w:p>
    <w:p>
      <w:pPr>
        <w:pStyle w:val="TitleCenter"/>
      </w:pPr>
      <w:r>
        <w:rPr>
          <w:b w:val="false"/>
          <w:bCs w:val="false"/>
        </w:rPr>
        <w:t xml:space="preserve">______________ /______________/</w:t>
      </w:r>
    </w:p>
    <w:p>
      <w:pPr>
        <w:pStyle w:val="TitleCenter"/>
      </w:pPr>
      <w:r>
        <w:rPr>
          <w:b w:val="false"/>
          <w:bCs w:val="false"/>
        </w:rPr>
        <w:t xml:space="preserve">«____» ______________ 2026 г.</w:t>
      </w:r>
    </w:p>
    <w:p>
      <w:pPr>
        <w:pStyle w:val="TitleCenter"/>
      </w:pPr>
    </w:p>
    <w:p>
      <w:pPr>
        <w:pStyle w:val="TitleCenter"/>
      </w:pPr>
    </w:p>
    <w:p>
      <w:pPr>
        <w:pStyle w:val="TitleCenter"/>
      </w:pPr>
    </w:p>
    <w:p>
      <w:pPr>
        <w:pStyle w:val="TitleCenter"/>
      </w:pPr>
      <w:r>
        <w:rPr>
          <w:b/>
          <w:bCs/>
        </w:rPr>
        <w:t xml:space="preserve">СИСТЕМА ИНТЕЛЛЕКТУАЛЬНОГО ПОИСКА ДУБЛИКАТОВ</w:t>
      </w:r>
    </w:p>
    <w:p>
      <w:pPr>
        <w:pStyle w:val="TitleCenter"/>
      </w:pPr>
      <w:r>
        <w:rPr>
          <w:b/>
          <w:bCs/>
        </w:rPr>
        <w:t xml:space="preserve">ОБРАЩЕНИЙ В ТЕХНИЧЕСКУЮ ПОДДЕРЖКУ</w:t>
      </w:r>
    </w:p>
    <w:p>
      <w:pPr>
        <w:pStyle w:val="TitleCenter"/>
      </w:pPr>
    </w:p>
    <w:p>
      <w:pPr>
        <w:pStyle w:val="TitleCenter"/>
      </w:pPr>
      <w:r>
        <w:rPr>
          <w:b/>
          <w:bCs/>
        </w:rPr>
        <w:t xml:space="preserve">ТЕХНИЧЕСКИЕ УСЛОВИЯ</w:t>
      </w:r>
    </w:p>
    <w:p>
      <w:pPr>
        <w:pStyle w:val="TitleCenter"/>
      </w:pPr>
    </w:p>
    <w:p>
      <w:pPr>
        <w:pStyle w:val="TitleCenter"/>
      </w:pPr>
      <w:r>
        <w:rPr>
          <w:b w:val="false"/>
          <w:bCs w:val="false"/>
        </w:rPr>
        <w:t xml:space="preserve">СПДО.001.ТУ</w:t>
      </w:r>
    </w:p>
    <w:p>
      <w:pPr>
        <w:pStyle w:val="TitleCenter"/>
      </w:pPr>
      <w:r>
        <w:rPr>
          <w:b w:val="false"/>
          <w:bCs w:val="false"/>
        </w:rPr>
        <w:t xml:space="preserve">Листов 18</w:t>
      </w:r>
    </w:p>
    <w:p>
      <w:pPr>
        <w:pStyle w:val="TitleCenter"/>
      </w:pPr>
    </w:p>
    <w:p>
      <w:pPr>
        <w:pStyle w:val="TitleCenter"/>
      </w:pPr>
    </w:p>
    <w:p>
      <w:pPr>
        <w:pStyle w:val="TitleLeft"/>
      </w:pPr>
      <w:r>
        <w:rPr>
          <w:b/>
          <w:bCs/>
        </w:rPr>
        <w:t xml:space="preserve">СОГЛАСОВАНО</w:t>
      </w:r>
    </w:p>
    <w:p>
      <w:pPr>
        <w:pStyle w:val="TitleLeft"/>
      </w:pPr>
      <w:r>
        <w:rPr>
          <w:b w:val="false"/>
          <w:bCs w:val="false"/>
        </w:rPr>
        <w:t xml:space="preserve">Руководитель проекта, инженер по тестированию</w:t>
      </w:r>
    </w:p>
    <w:p>
      <w:pPr>
        <w:pStyle w:val="TitleLeft"/>
      </w:pPr>
      <w:r>
        <w:rPr>
          <w:b w:val="false"/>
          <w:bCs w:val="false"/>
        </w:rPr>
        <w:t xml:space="preserve">______________ Д.С. Красавин</w:t>
      </w:r>
    </w:p>
    <w:p>
      <w:pPr>
        <w:pStyle w:val="TitleLeft"/>
        <w:spacing w:before="200"/>
      </w:pPr>
      <w:r>
        <w:rPr>
          <w:b w:val="false"/>
          <w:bCs w:val="false"/>
        </w:rPr>
        <w:t xml:space="preserve">Разработчик, технический писатель</w:t>
      </w:r>
    </w:p>
    <w:p>
      <w:pPr>
        <w:pStyle w:val="TitleLeft"/>
      </w:pPr>
      <w:r>
        <w:rPr>
          <w:b w:val="false"/>
          <w:bCs w:val="false"/>
        </w:rPr>
        <w:t xml:space="preserve">______________ В.А. Елькин</w:t>
      </w:r>
    </w:p>
    <w:p>
      <w:pPr>
        <w:sectPr>
          <w:footerReference w:type="default" r:id="rId7"/>
          <w:pgSz w:w="11906" w:h="16838" w:orient="portrait"/>
          <w:pgMar w:top="1133" w:right="850" w:bottom="1133" w:left="1700" w:header="708" w:footer="708" w:gutter="0"/>
          <w:pgNumType/>
          <w:docGrid w:linePitch="360"/>
        </w:sectPr>
      </w:pPr>
    </w:p>
    <w:p>
      <w:pPr>
        <w:pStyle w:val="Heading1"/>
      </w:pPr>
      <w:r>
        <w:t xml:space="preserve">Вводная часть</w:t>
      </w:r>
    </w:p>
    <w:p>
      <w:r>
        <w:rPr>
          <w:b w:val="false"/>
          <w:bCs w:val="false"/>
          <w:i w:val="false"/>
          <w:iCs w:val="false"/>
        </w:rPr>
        <w:t xml:space="preserve">Настоящие технические условия распространяются на программное изделие «Система интеллектуального поиска дубликатов обращений в техническую поддержку» (далее — изделие, СПДО), предназначенное для ведения реестра обращений в службу технической поддержки и автоматического подбора ранее зарегистрированных обращений, семантически близких к вновь создаваемому.</w:t>
      </w:r>
    </w:p>
    <w:p>
      <w:r>
        <w:rPr>
          <w:b w:val="false"/>
          <w:bCs w:val="false"/>
          <w:i w:val="false"/>
          <w:iCs w:val="false"/>
        </w:rPr>
        <w:t xml:space="preserve">Изделие представляет собой веб-приложение, состоящее из серверной части, клиентской части и базы данных, и поставляется в электронном виде.</w:t>
      </w:r>
    </w:p>
    <w:p>
      <w:r>
        <w:rPr>
          <w:b w:val="false"/>
          <w:bCs w:val="false"/>
          <w:i w:val="false"/>
          <w:iCs w:val="false"/>
        </w:rPr>
        <w:t xml:space="preserve">Пример записи изделия при заказе и в документации другой продукции:</w:t>
      </w:r>
    </w:p>
    <w:p>
      <w:pPr>
        <w:pStyle w:val="TitleCenter"/>
        <w:spacing w:after="120" w:before="120"/>
      </w:pPr>
      <w:r>
        <w:rPr>
          <w:b w:val="false"/>
          <w:bCs w:val="false"/>
        </w:rPr>
        <w:t xml:space="preserve">«Система интеллектуального поиска дубликатов обращений в техническую поддержку СПДО.001 ТУ».</w:t>
      </w:r>
    </w:p>
    <w:p>
      <w:r>
        <w:rPr>
          <w:b w:val="false"/>
          <w:bCs w:val="false"/>
          <w:i w:val="false"/>
          <w:iCs w:val="false"/>
        </w:rPr>
        <w:t xml:space="preserve">Настоящие технические условия разработаны на основании технического задания СПДО.001.ТЗ и оформлены в соответствии с ГОСТ 2.114-2016 с учётом требований ГОСТ 19.101-77 и ГОСТ 19.106-78.</w:t>
      </w:r>
    </w:p>
    <w:p>
      <w:pPr>
        <w:pStyle w:val="Heading1"/>
      </w:pPr>
      <w:r>
        <w:t xml:space="preserve">1 Технические требования</w:t>
      </w:r>
    </w:p>
    <w:p>
      <w:r>
        <w:rPr>
          <w:b w:val="false"/>
          <w:bCs w:val="false"/>
          <w:i w:val="false"/>
          <w:iCs w:val="false"/>
        </w:rPr>
        <w:t xml:space="preserve">Изделие должно соответствовать требованиям настоящих технических условий и техническому заданию СПДО.001.ТЗ.</w:t>
      </w:r>
    </w:p>
    <w:p>
      <w:pPr>
        <w:pStyle w:val="Heading2"/>
      </w:pPr>
      <w:r>
        <w:t xml:space="preserve">1.1 Основные параметры и характеристики</w:t>
      </w:r>
    </w:p>
    <w:p>
      <w:pPr>
        <w:pStyle w:val="Heading3"/>
      </w:pPr>
      <w:r>
        <w:t xml:space="preserve">1.1.1 Функциональные характеристики</w:t>
      </w:r>
    </w:p>
    <w:p>
      <w:r>
        <w:rPr>
          <w:b w:val="false"/>
          <w:bCs w:val="false"/>
          <w:i w:val="false"/>
          <w:iCs w:val="false"/>
        </w:rPr>
        <w:t xml:space="preserve">Изделие должно обеспечивать выполнение функций, приведённых в таблице 1.</w:t>
      </w:r>
    </w:p>
    <w:p>
      <w:pPr>
        <w:pStyle w:val="Caption"/>
      </w:pPr>
      <w:r>
        <w:t xml:space="preserve">Таблица </w:t>
      </w:r>
      <w:fldSimple w:instr=" SEQ Таблица \* ARABIC ">
        <w:r>
          <w:t xml:space="preserve">1</w:t>
        </w:r>
      </w:fldSimple>
      <w:r>
        <w:t xml:space="preserve"> — Функциональные характеристики</w:t>
      </w:r>
    </w:p>
    <w:tbl>
      <w:tblPr>
        <w:tblW w:type="dxa" w:w="9355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1537"/>
        <w:gridCol w:w="5747"/>
        <w:gridCol w:w="2071"/>
      </w:tblGrid>
      <w:tr>
        <w:trPr>
          <w:cantSplit/>
          <w:tblHeader/>
        </w:trPr>
        <w:tc>
          <w:tcPr>
            <w:tcW w:type="dxa" w:w="1537"/>
          </w:tcPr>
          <w:p>
            <w:pPr>
              <w:pStyle w:val="TableHeader"/>
            </w:pPr>
            <w:r>
              <w:t xml:space="preserve">Обозначение</w:t>
            </w:r>
          </w:p>
        </w:tc>
        <w:tc>
          <w:tcPr>
            <w:tcW w:type="dxa" w:w="5747"/>
          </w:tcPr>
          <w:p>
            <w:pPr>
              <w:pStyle w:val="TableHeader"/>
            </w:pPr>
            <w:r>
              <w:t xml:space="preserve">Наименование функции</w:t>
            </w:r>
          </w:p>
        </w:tc>
        <w:tc>
          <w:tcPr>
            <w:tcW w:type="dxa" w:w="2071"/>
          </w:tcPr>
          <w:p>
            <w:pPr>
              <w:pStyle w:val="TableHeader"/>
            </w:pPr>
            <w:r>
              <w:t xml:space="preserve">Норма</w:t>
            </w:r>
          </w:p>
        </w:tc>
      </w:tr>
      <w:tr>
        <w:trPr>
          <w:cantSplit/>
          <w:tblHeader w:val="false"/>
        </w:trPr>
        <w:tc>
          <w:tcPr>
            <w:tcW w:type="dxa" w:w="1537"/>
          </w:tcPr>
          <w:p>
            <w:pPr>
              <w:pStyle w:val="TableText"/>
            </w:pPr>
            <w:r>
              <w:t xml:space="preserve">ТЗ.Ф1</w:t>
            </w:r>
          </w:p>
        </w:tc>
        <w:tc>
          <w:tcPr>
            <w:tcW w:type="dxa" w:w="5747"/>
          </w:tcPr>
          <w:p>
            <w:pPr>
              <w:pStyle w:val="TableText"/>
            </w:pPr>
            <w:r>
              <w:t xml:space="preserve">Регистрация обращения с указанием заголовка, описания, категории и компонента</w:t>
            </w:r>
          </w:p>
        </w:tc>
        <w:tc>
          <w:tcPr>
            <w:tcW w:type="dxa" w:w="2071"/>
          </w:tcPr>
          <w:p>
            <w:pPr>
              <w:pStyle w:val="TableText"/>
            </w:pPr>
            <w:r>
              <w:t xml:space="preserve">Наличие</w:t>
            </w:r>
          </w:p>
        </w:tc>
      </w:tr>
      <w:tr>
        <w:trPr>
          <w:cantSplit/>
          <w:tblHeader w:val="false"/>
        </w:trPr>
        <w:tc>
          <w:tcPr>
            <w:tcW w:type="dxa" w:w="1537"/>
          </w:tcPr>
          <w:p>
            <w:pPr>
              <w:pStyle w:val="TableText"/>
            </w:pPr>
            <w:r>
              <w:t xml:space="preserve">ТЗ.Ф2</w:t>
            </w:r>
          </w:p>
        </w:tc>
        <w:tc>
          <w:tcPr>
            <w:tcW w:type="dxa" w:w="5747"/>
          </w:tcPr>
          <w:p>
            <w:pPr>
              <w:pStyle w:val="TableText"/>
            </w:pPr>
            <w:r>
              <w:t xml:space="preserve">Редактирование черновика обращения до регистрации</w:t>
            </w:r>
          </w:p>
        </w:tc>
        <w:tc>
          <w:tcPr>
            <w:tcW w:type="dxa" w:w="2071"/>
          </w:tcPr>
          <w:p>
            <w:pPr>
              <w:pStyle w:val="TableText"/>
            </w:pPr>
            <w:r>
              <w:t xml:space="preserve">Наличие</w:t>
            </w:r>
          </w:p>
        </w:tc>
      </w:tr>
      <w:tr>
        <w:trPr>
          <w:cantSplit/>
          <w:tblHeader w:val="false"/>
        </w:trPr>
        <w:tc>
          <w:tcPr>
            <w:tcW w:type="dxa" w:w="1537"/>
          </w:tcPr>
          <w:p>
            <w:pPr>
              <w:pStyle w:val="TableText"/>
            </w:pPr>
            <w:r>
              <w:t xml:space="preserve">ТЗ.Ф3</w:t>
            </w:r>
          </w:p>
        </w:tc>
        <w:tc>
          <w:tcPr>
            <w:tcW w:type="dxa" w:w="5747"/>
          </w:tcPr>
          <w:p>
            <w:pPr>
              <w:pStyle w:val="TableText"/>
            </w:pPr>
            <w:r>
              <w:t xml:space="preserve">Автоматический подбор похожих обращений при регистрации нового с фиксацией сеанса поиска</w:t>
            </w:r>
          </w:p>
        </w:tc>
        <w:tc>
          <w:tcPr>
            <w:tcW w:type="dxa" w:w="2071"/>
          </w:tcPr>
          <w:p>
            <w:pPr>
              <w:pStyle w:val="TableText"/>
            </w:pPr>
            <w:r>
              <w:t xml:space="preserve">Наличие</w:t>
            </w:r>
          </w:p>
        </w:tc>
      </w:tr>
      <w:tr>
        <w:trPr>
          <w:cantSplit/>
          <w:tblHeader w:val="false"/>
        </w:trPr>
        <w:tc>
          <w:tcPr>
            <w:tcW w:type="dxa" w:w="1537"/>
          </w:tcPr>
          <w:p>
            <w:pPr>
              <w:pStyle w:val="TableText"/>
            </w:pPr>
            <w:r>
              <w:t xml:space="preserve">ТЗ.Ф4</w:t>
            </w:r>
          </w:p>
        </w:tc>
        <w:tc>
          <w:tcPr>
            <w:tcW w:type="dxa" w:w="5747"/>
          </w:tcPr>
          <w:p>
            <w:pPr>
              <w:pStyle w:val="TableText"/>
            </w:pPr>
            <w:r>
              <w:t xml:space="preserve">Вывод ранжированного списка кандидатов (не более 10) с коэффициентом сходства</w:t>
            </w:r>
          </w:p>
        </w:tc>
        <w:tc>
          <w:tcPr>
            <w:tcW w:type="dxa" w:w="2071"/>
          </w:tcPr>
          <w:p>
            <w:pPr>
              <w:pStyle w:val="TableText"/>
            </w:pPr>
            <w:r>
              <w:t xml:space="preserve">Наличие</w:t>
            </w:r>
          </w:p>
        </w:tc>
      </w:tr>
      <w:tr>
        <w:trPr>
          <w:cantSplit/>
          <w:tblHeader w:val="false"/>
        </w:trPr>
        <w:tc>
          <w:tcPr>
            <w:tcW w:type="dxa" w:w="1537"/>
          </w:tcPr>
          <w:p>
            <w:pPr>
              <w:pStyle w:val="TableText"/>
            </w:pPr>
            <w:r>
              <w:t xml:space="preserve">ТЗ.Ф5</w:t>
            </w:r>
          </w:p>
        </w:tc>
        <w:tc>
          <w:tcPr>
            <w:tcW w:type="dxa" w:w="5747"/>
          </w:tcPr>
          <w:p>
            <w:pPr>
              <w:pStyle w:val="TableText"/>
            </w:pPr>
            <w:r>
              <w:t xml:space="preserve">Просмотр карточки найденного обращения и его решения</w:t>
            </w:r>
          </w:p>
        </w:tc>
        <w:tc>
          <w:tcPr>
            <w:tcW w:type="dxa" w:w="2071"/>
          </w:tcPr>
          <w:p>
            <w:pPr>
              <w:pStyle w:val="TableText"/>
            </w:pPr>
            <w:r>
              <w:t xml:space="preserve">Наличие</w:t>
            </w:r>
          </w:p>
        </w:tc>
      </w:tr>
      <w:tr>
        <w:trPr>
          <w:cantSplit/>
          <w:tblHeader w:val="false"/>
        </w:trPr>
        <w:tc>
          <w:tcPr>
            <w:tcW w:type="dxa" w:w="1537"/>
          </w:tcPr>
          <w:p>
            <w:pPr>
              <w:pStyle w:val="TableText"/>
            </w:pPr>
            <w:r>
              <w:t xml:space="preserve">ТЗ.Ф6</w:t>
            </w:r>
          </w:p>
        </w:tc>
        <w:tc>
          <w:tcPr>
            <w:tcW w:type="dxa" w:w="5747"/>
          </w:tcPr>
          <w:p>
            <w:pPr>
              <w:pStyle w:val="TableText"/>
            </w:pPr>
            <w:r>
              <w:t xml:space="preserve">Отметка «решение помогло / не помогло»</w:t>
            </w:r>
          </w:p>
        </w:tc>
        <w:tc>
          <w:tcPr>
            <w:tcW w:type="dxa" w:w="2071"/>
          </w:tcPr>
          <w:p>
            <w:pPr>
              <w:pStyle w:val="TableText"/>
            </w:pPr>
            <w:r>
              <w:t xml:space="preserve">Наличие</w:t>
            </w:r>
          </w:p>
        </w:tc>
      </w:tr>
      <w:tr>
        <w:trPr>
          <w:cantSplit/>
          <w:tblHeader w:val="false"/>
        </w:trPr>
        <w:tc>
          <w:tcPr>
            <w:tcW w:type="dxa" w:w="1537"/>
          </w:tcPr>
          <w:p>
            <w:pPr>
              <w:pStyle w:val="TableText"/>
            </w:pPr>
            <w:r>
              <w:t xml:space="preserve">ТЗ.Ф7</w:t>
            </w:r>
          </w:p>
        </w:tc>
        <w:tc>
          <w:tcPr>
            <w:tcW w:type="dxa" w:w="5747"/>
          </w:tcPr>
          <w:p>
            <w:pPr>
              <w:pStyle w:val="TableText"/>
            </w:pPr>
            <w:r>
              <w:t xml:space="preserve">Пометка обращения как дубликата с запретом циклов</w:t>
            </w:r>
          </w:p>
        </w:tc>
        <w:tc>
          <w:tcPr>
            <w:tcW w:type="dxa" w:w="2071"/>
          </w:tcPr>
          <w:p>
            <w:pPr>
              <w:pStyle w:val="TableText"/>
            </w:pPr>
            <w:r>
              <w:t xml:space="preserve">Наличие</w:t>
            </w:r>
          </w:p>
        </w:tc>
      </w:tr>
      <w:tr>
        <w:trPr>
          <w:cantSplit/>
          <w:tblHeader w:val="false"/>
        </w:trPr>
        <w:tc>
          <w:tcPr>
            <w:tcW w:type="dxa" w:w="1537"/>
          </w:tcPr>
          <w:p>
            <w:pPr>
              <w:pStyle w:val="TableText"/>
            </w:pPr>
            <w:r>
              <w:t xml:space="preserve">ТЗ.Ф8</w:t>
            </w:r>
          </w:p>
        </w:tc>
        <w:tc>
          <w:tcPr>
            <w:tcW w:type="dxa" w:w="5747"/>
          </w:tcPr>
          <w:p>
            <w:pPr>
              <w:pStyle w:val="TableText"/>
            </w:pPr>
            <w:r>
              <w:t xml:space="preserve">Установление связи вида «связанное обращение»</w:t>
            </w:r>
          </w:p>
        </w:tc>
        <w:tc>
          <w:tcPr>
            <w:tcW w:type="dxa" w:w="2071"/>
          </w:tcPr>
          <w:p>
            <w:pPr>
              <w:pStyle w:val="TableText"/>
            </w:pPr>
            <w:r>
              <w:t xml:space="preserve">Наличие</w:t>
            </w:r>
          </w:p>
        </w:tc>
      </w:tr>
      <w:tr>
        <w:trPr>
          <w:cantSplit/>
          <w:tblHeader w:val="false"/>
        </w:trPr>
        <w:tc>
          <w:tcPr>
            <w:tcW w:type="dxa" w:w="1537"/>
          </w:tcPr>
          <w:p>
            <w:pPr>
              <w:pStyle w:val="TableText"/>
            </w:pPr>
            <w:r>
              <w:t xml:space="preserve">ТЗ.Ф9</w:t>
            </w:r>
          </w:p>
        </w:tc>
        <w:tc>
          <w:tcPr>
            <w:tcW w:type="dxa" w:w="5747"/>
          </w:tcPr>
          <w:p>
            <w:pPr>
              <w:pStyle w:val="TableText"/>
            </w:pPr>
            <w:r>
              <w:t xml:space="preserve">Отклонение рекомендации с сохранением вердикта</w:t>
            </w:r>
          </w:p>
        </w:tc>
        <w:tc>
          <w:tcPr>
            <w:tcW w:type="dxa" w:w="2071"/>
          </w:tcPr>
          <w:p>
            <w:pPr>
              <w:pStyle w:val="TableText"/>
            </w:pPr>
            <w:r>
              <w:t xml:space="preserve">Наличие</w:t>
            </w:r>
          </w:p>
        </w:tc>
      </w:tr>
      <w:tr>
        <w:trPr>
          <w:cantSplit/>
          <w:tblHeader w:val="false"/>
        </w:trPr>
        <w:tc>
          <w:tcPr>
            <w:tcW w:type="dxa" w:w="1537"/>
          </w:tcPr>
          <w:p>
            <w:pPr>
              <w:pStyle w:val="TableText"/>
            </w:pPr>
            <w:r>
              <w:t xml:space="preserve">ТЗ.Ф10</w:t>
            </w:r>
          </w:p>
        </w:tc>
        <w:tc>
          <w:tcPr>
            <w:tcW w:type="dxa" w:w="5747"/>
          </w:tcPr>
          <w:p>
            <w:pPr>
              <w:pStyle w:val="TableText"/>
            </w:pPr>
            <w:r>
              <w:t xml:space="preserve">Создание независимого обращения при наличии совпадений</w:t>
            </w:r>
          </w:p>
        </w:tc>
        <w:tc>
          <w:tcPr>
            <w:tcW w:type="dxa" w:w="2071"/>
          </w:tcPr>
          <w:p>
            <w:pPr>
              <w:pStyle w:val="TableText"/>
            </w:pPr>
            <w:r>
              <w:t xml:space="preserve">Наличие</w:t>
            </w:r>
          </w:p>
        </w:tc>
      </w:tr>
      <w:tr>
        <w:trPr>
          <w:cantSplit/>
          <w:tblHeader w:val="false"/>
        </w:trPr>
        <w:tc>
          <w:tcPr>
            <w:tcW w:type="dxa" w:w="1537"/>
          </w:tcPr>
          <w:p>
            <w:pPr>
              <w:pStyle w:val="TableText"/>
            </w:pPr>
            <w:r>
              <w:t xml:space="preserve">ТЗ.Ф11</w:t>
            </w:r>
          </w:p>
        </w:tc>
        <w:tc>
          <w:tcPr>
            <w:tcW w:type="dxa" w:w="5747"/>
          </w:tcPr>
          <w:p>
            <w:pPr>
              <w:pStyle w:val="TableText"/>
            </w:pPr>
            <w:r>
              <w:t xml:space="preserve">Ведение реестра обращений с фильтрацией и поиском; ограничение видимости чужих обращений</w:t>
            </w:r>
          </w:p>
        </w:tc>
        <w:tc>
          <w:tcPr>
            <w:tcW w:type="dxa" w:w="2071"/>
          </w:tcPr>
          <w:p>
            <w:pPr>
              <w:pStyle w:val="TableText"/>
            </w:pPr>
            <w:r>
              <w:t xml:space="preserve">Наличие</w:t>
            </w:r>
          </w:p>
        </w:tc>
      </w:tr>
      <w:tr>
        <w:trPr>
          <w:cantSplit/>
          <w:tblHeader w:val="false"/>
        </w:trPr>
        <w:tc>
          <w:tcPr>
            <w:tcW w:type="dxa" w:w="1537"/>
          </w:tcPr>
          <w:p>
            <w:pPr>
              <w:pStyle w:val="TableText"/>
            </w:pPr>
            <w:r>
              <w:t xml:space="preserve">ТЗ.Ф12</w:t>
            </w:r>
          </w:p>
        </w:tc>
        <w:tc>
          <w:tcPr>
            <w:tcW w:type="dxa" w:w="5747"/>
          </w:tcPr>
          <w:p>
            <w:pPr>
              <w:pStyle w:val="TableText"/>
            </w:pPr>
            <w:r>
              <w:t xml:space="preserve">Изменение статуса по допустимым переходам и публикация решения</w:t>
            </w:r>
          </w:p>
        </w:tc>
        <w:tc>
          <w:tcPr>
            <w:tcW w:type="dxa" w:w="2071"/>
          </w:tcPr>
          <w:p>
            <w:pPr>
              <w:pStyle w:val="TableText"/>
            </w:pPr>
            <w:r>
              <w:t xml:space="preserve">Наличие</w:t>
            </w:r>
          </w:p>
        </w:tc>
      </w:tr>
      <w:tr>
        <w:trPr>
          <w:cantSplit/>
          <w:tblHeader w:val="false"/>
        </w:trPr>
        <w:tc>
          <w:tcPr>
            <w:tcW w:type="dxa" w:w="1537"/>
          </w:tcPr>
          <w:p>
            <w:pPr>
              <w:pStyle w:val="TableText"/>
            </w:pPr>
            <w:r>
              <w:t xml:space="preserve">ТЗ.Ф13</w:t>
            </w:r>
          </w:p>
        </w:tc>
        <w:tc>
          <w:tcPr>
            <w:tcW w:type="dxa" w:w="5747"/>
          </w:tcPr>
          <w:p>
            <w:pPr>
              <w:pStyle w:val="TableText"/>
            </w:pPr>
            <w:r>
              <w:t xml:space="preserve">Ведение истории изменений обращения</w:t>
            </w:r>
          </w:p>
        </w:tc>
        <w:tc>
          <w:tcPr>
            <w:tcW w:type="dxa" w:w="2071"/>
          </w:tcPr>
          <w:p>
            <w:pPr>
              <w:pStyle w:val="TableText"/>
            </w:pPr>
            <w:r>
              <w:t xml:space="preserve">Наличие</w:t>
            </w:r>
          </w:p>
        </w:tc>
      </w:tr>
      <w:tr>
        <w:trPr>
          <w:cantSplit/>
          <w:tblHeader w:val="false"/>
        </w:trPr>
        <w:tc>
          <w:tcPr>
            <w:tcW w:type="dxa" w:w="1537"/>
          </w:tcPr>
          <w:p>
            <w:pPr>
              <w:pStyle w:val="TableText"/>
            </w:pPr>
            <w:r>
              <w:t xml:space="preserve">ТЗ.Ф14</w:t>
            </w:r>
          </w:p>
        </w:tc>
        <w:tc>
          <w:tcPr>
            <w:tcW w:type="dxa" w:w="5747"/>
          </w:tcPr>
          <w:p>
            <w:pPr>
              <w:pStyle w:val="TableText"/>
            </w:pPr>
            <w:r>
              <w:t xml:space="preserve">Вывод статистики качества рекомендаций</w:t>
            </w:r>
          </w:p>
        </w:tc>
        <w:tc>
          <w:tcPr>
            <w:tcW w:type="dxa" w:w="2071"/>
          </w:tcPr>
          <w:p>
            <w:pPr>
              <w:pStyle w:val="TableText"/>
            </w:pPr>
            <w:r>
              <w:t xml:space="preserve">Наличие</w:t>
            </w:r>
          </w:p>
        </w:tc>
      </w:tr>
      <w:tr>
        <w:trPr>
          <w:cantSplit/>
          <w:tblHeader w:val="false"/>
        </w:trPr>
        <w:tc>
          <w:tcPr>
            <w:tcW w:type="dxa" w:w="1537"/>
          </w:tcPr>
          <w:p>
            <w:pPr>
              <w:pStyle w:val="TableText"/>
            </w:pPr>
            <w:r>
              <w:t xml:space="preserve">ТЗ.Ф15</w:t>
            </w:r>
          </w:p>
        </w:tc>
        <w:tc>
          <w:tcPr>
            <w:tcW w:type="dxa" w:w="5747"/>
          </w:tcPr>
          <w:p>
            <w:pPr>
              <w:pStyle w:val="TableText"/>
            </w:pPr>
            <w:r>
              <w:t xml:space="preserve">Аутентификация и разграничение прав по ролям; пометка конфиденциальности</w:t>
            </w:r>
          </w:p>
        </w:tc>
        <w:tc>
          <w:tcPr>
            <w:tcW w:type="dxa" w:w="2071"/>
          </w:tcPr>
          <w:p>
            <w:pPr>
              <w:pStyle w:val="TableText"/>
            </w:pPr>
            <w:r>
              <w:t xml:space="preserve">Наличие</w:t>
            </w:r>
          </w:p>
        </w:tc>
      </w:tr>
    </w:tbl>
    <w:p>
      <w:pPr>
        <w:pStyle w:val="AfterTable"/>
      </w:pPr>
    </w:p>
    <w:p>
      <w:pPr>
        <w:pStyle w:val="Heading3"/>
      </w:pPr>
      <w:r>
        <w:t xml:space="preserve">1.1.2 Характеристики качества подбора обращений</w:t>
      </w:r>
    </w:p>
    <w:p>
      <w:r>
        <w:rPr>
          <w:b w:val="false"/>
          <w:bCs w:val="false"/>
          <w:i w:val="false"/>
          <w:iCs w:val="false"/>
        </w:rPr>
        <w:t xml:space="preserve">Показатели качества подбора обращений должны соответствовать нормам, приведённым в таблице 2. Показатели определяются на проверочной части эталонного набора по методике, изложенной в разделе 5.</w:t>
      </w:r>
    </w:p>
    <w:p>
      <w:pPr>
        <w:pStyle w:val="Caption"/>
      </w:pPr>
      <w:r>
        <w:t xml:space="preserve">Таблица </w:t>
      </w:r>
      <w:fldSimple w:instr=" SEQ Таблица \* ARABIC ">
        <w:r>
          <w:t xml:space="preserve">2</w:t>
        </w:r>
      </w:fldSimple>
      <w:r>
        <w:t xml:space="preserve"> — Нормы показателей качества подбора</w:t>
      </w:r>
    </w:p>
    <w:tbl>
      <w:tblPr>
        <w:tblW w:type="dxa" w:w="9355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5747"/>
        <w:gridCol w:w="2005"/>
        <w:gridCol w:w="1603"/>
      </w:tblGrid>
      <w:tr>
        <w:trPr>
          <w:cantSplit/>
          <w:tblHeader/>
        </w:trPr>
        <w:tc>
          <w:tcPr>
            <w:tcW w:type="dxa" w:w="5747"/>
          </w:tcPr>
          <w:p>
            <w:pPr>
              <w:pStyle w:val="TableHeader"/>
            </w:pPr>
            <w:r>
              <w:t xml:space="preserve">Наименование показателя</w:t>
            </w:r>
          </w:p>
        </w:tc>
        <w:tc>
          <w:tcPr>
            <w:tcW w:type="dxa" w:w="2005"/>
          </w:tcPr>
          <w:p>
            <w:pPr>
              <w:pStyle w:val="TableHeader"/>
            </w:pPr>
            <w:r>
              <w:t xml:space="preserve">Норма</w:t>
            </w:r>
          </w:p>
        </w:tc>
        <w:tc>
          <w:tcPr>
            <w:tcW w:type="dxa" w:w="1603"/>
          </w:tcPr>
          <w:p>
            <w:pPr>
              <w:pStyle w:val="TableHeader"/>
            </w:pPr>
            <w:r>
              <w:t xml:space="preserve">Метод контроля</w:t>
            </w:r>
          </w:p>
        </w:tc>
      </w:tr>
      <w:tr>
        <w:trPr>
          <w:cantSplit/>
          <w:tblHeader w:val="false"/>
        </w:trPr>
        <w:tc>
          <w:tcPr>
            <w:tcW w:type="dxa" w:w="5747"/>
          </w:tcPr>
          <w:p>
            <w:pPr>
              <w:pStyle w:val="TableText"/>
            </w:pPr>
            <w:r>
              <w:t xml:space="preserve">Доля обращений проверочной выборки, для которых истинный дубликат находится в первых трёх позициях выдачи (recall@3)</w:t>
            </w:r>
          </w:p>
        </w:tc>
        <w:tc>
          <w:tcPr>
            <w:tcW w:type="dxa" w:w="2005"/>
          </w:tcPr>
          <w:p>
            <w:pPr>
              <w:pStyle w:val="TableText"/>
            </w:pPr>
            <w:r>
              <w:t xml:space="preserve">не менее 0,80</w:t>
            </w:r>
          </w:p>
        </w:tc>
        <w:tc>
          <w:tcPr>
            <w:tcW w:type="dxa" w:w="1603"/>
          </w:tcPr>
          <w:p>
            <w:pPr>
              <w:pStyle w:val="TableText"/>
            </w:pPr>
            <w:r>
              <w:t xml:space="preserve">5.4</w:t>
            </w:r>
          </w:p>
        </w:tc>
      </w:tr>
      <w:tr>
        <w:trPr>
          <w:cantSplit/>
          <w:tblHeader w:val="false"/>
        </w:trPr>
        <w:tc>
          <w:tcPr>
            <w:tcW w:type="dxa" w:w="5747"/>
          </w:tcPr>
          <w:p>
            <w:pPr>
              <w:pStyle w:val="TableText"/>
            </w:pPr>
            <w:r>
              <w:t xml:space="preserve">Оценка качества зафиксирована для предъявляемого релиза на неизменяемой проверочной выборке</w:t>
            </w:r>
          </w:p>
        </w:tc>
        <w:tc>
          <w:tcPr>
            <w:tcW w:type="dxa" w:w="2005"/>
          </w:tcPr>
          <w:p>
            <w:pPr>
              <w:pStyle w:val="TableText"/>
            </w:pPr>
            <w:r>
              <w:t xml:space="preserve">наличие</w:t>
            </w:r>
          </w:p>
        </w:tc>
        <w:tc>
          <w:tcPr>
            <w:tcW w:type="dxa" w:w="1603"/>
          </w:tcPr>
          <w:p>
            <w:pPr>
              <w:pStyle w:val="TableText"/>
            </w:pPr>
            <w:r>
              <w:t xml:space="preserve">5.4</w:t>
            </w:r>
          </w:p>
        </w:tc>
      </w:tr>
      <w:tr>
        <w:trPr>
          <w:cantSplit/>
          <w:tblHeader w:val="false"/>
        </w:trPr>
        <w:tc>
          <w:tcPr>
            <w:tcW w:type="dxa" w:w="5747"/>
          </w:tcPr>
          <w:p>
            <w:pPr>
              <w:pStyle w:val="TableText"/>
            </w:pPr>
            <w:r>
              <w:t xml:space="preserve">Проверочная выборка не использовалась при настройке порогов и весовых коэффициентов</w:t>
            </w:r>
          </w:p>
        </w:tc>
        <w:tc>
          <w:tcPr>
            <w:tcW w:type="dxa" w:w="2005"/>
          </w:tcPr>
          <w:p>
            <w:pPr>
              <w:pStyle w:val="TableText"/>
            </w:pPr>
            <w:r>
              <w:t xml:space="preserve">наличие</w:t>
            </w:r>
          </w:p>
        </w:tc>
        <w:tc>
          <w:tcPr>
            <w:tcW w:type="dxa" w:w="1603"/>
          </w:tcPr>
          <w:p>
            <w:pPr>
              <w:pStyle w:val="TableText"/>
            </w:pPr>
            <w:r>
              <w:t xml:space="preserve">5.4</w:t>
            </w:r>
          </w:p>
        </w:tc>
      </w:tr>
      <w:tr>
        <w:trPr>
          <w:cantSplit/>
          <w:tblHeader w:val="false"/>
        </w:trPr>
        <w:tc>
          <w:tcPr>
            <w:tcW w:type="dxa" w:w="5747"/>
          </w:tcPr>
          <w:p>
            <w:pPr>
              <w:pStyle w:val="TableText"/>
            </w:pPr>
            <w:r>
              <w:t xml:space="preserve">Для каждой рекомендации сохранены режим, версия модели и параметры сеанса поиска</w:t>
            </w:r>
          </w:p>
        </w:tc>
        <w:tc>
          <w:tcPr>
            <w:tcW w:type="dxa" w:w="2005"/>
          </w:tcPr>
          <w:p>
            <w:pPr>
              <w:pStyle w:val="TableText"/>
            </w:pPr>
            <w:r>
              <w:t xml:space="preserve">наличие</w:t>
            </w:r>
          </w:p>
        </w:tc>
        <w:tc>
          <w:tcPr>
            <w:tcW w:type="dxa" w:w="1603"/>
          </w:tcPr>
          <w:p>
            <w:pPr>
              <w:pStyle w:val="TableText"/>
            </w:pPr>
            <w:r>
              <w:t xml:space="preserve">5.2</w:t>
            </w:r>
          </w:p>
        </w:tc>
      </w:tr>
    </w:tbl>
    <w:p>
      <w:pPr>
        <w:pStyle w:val="AfterTable"/>
      </w:pPr>
    </w:p>
    <w:p>
      <w:pPr>
        <w:pStyle w:val="Heading3"/>
      </w:pPr>
      <w:r>
        <w:t xml:space="preserve">1.1.3 Характеристики производительности и ресурсоёмкости</w:t>
      </w:r>
    </w:p>
    <w:p>
      <w:pPr>
        <w:pStyle w:val="Caption"/>
      </w:pPr>
      <w:r>
        <w:t xml:space="preserve">Таблица </w:t>
      </w:r>
      <w:fldSimple w:instr=" SEQ Таблица \* ARABIC ">
        <w:r>
          <w:t xml:space="preserve">3</w:t>
        </w:r>
      </w:fldSimple>
      <w:r>
        <w:t xml:space="preserve"> — Нормы характеристик производительности</w:t>
      </w:r>
    </w:p>
    <w:tbl>
      <w:tblPr>
        <w:tblW w:type="dxa" w:w="9355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5212"/>
        <w:gridCol w:w="2539"/>
        <w:gridCol w:w="1604"/>
      </w:tblGrid>
      <w:tr>
        <w:trPr>
          <w:cantSplit/>
          <w:tblHeader/>
        </w:trPr>
        <w:tc>
          <w:tcPr>
            <w:tcW w:type="dxa" w:w="5212"/>
          </w:tcPr>
          <w:p>
            <w:pPr>
              <w:pStyle w:val="TableHeader"/>
            </w:pPr>
            <w:r>
              <w:t xml:space="preserve">Наименование характеристики</w:t>
            </w:r>
          </w:p>
        </w:tc>
        <w:tc>
          <w:tcPr>
            <w:tcW w:type="dxa" w:w="2539"/>
          </w:tcPr>
          <w:p>
            <w:pPr>
              <w:pStyle w:val="TableHeader"/>
            </w:pPr>
            <w:r>
              <w:t xml:space="preserve">Норма</w:t>
            </w:r>
          </w:p>
        </w:tc>
        <w:tc>
          <w:tcPr>
            <w:tcW w:type="dxa" w:w="1604"/>
          </w:tcPr>
          <w:p>
            <w:pPr>
              <w:pStyle w:val="TableHeader"/>
            </w:pPr>
            <w:r>
              <w:t xml:space="preserve">Метод контроля</w:t>
            </w:r>
          </w:p>
        </w:tc>
      </w:tr>
      <w:tr>
        <w:trPr>
          <w:cantSplit/>
          <w:tblHeader w:val="false"/>
        </w:trPr>
        <w:tc>
          <w:tcPr>
            <w:tcW w:type="dxa" w:w="5212"/>
          </w:tcPr>
          <w:p>
            <w:pPr>
              <w:pStyle w:val="TableText"/>
            </w:pPr>
            <w:r>
              <w:t xml:space="preserve">Время формирования списка кандидатов при объёме реестра до 5 000 обращений (95-й процентиль)</w:t>
            </w:r>
          </w:p>
        </w:tc>
        <w:tc>
          <w:tcPr>
            <w:tcW w:type="dxa" w:w="2539"/>
          </w:tcPr>
          <w:p>
            <w:pPr>
              <w:pStyle w:val="TableText"/>
            </w:pPr>
            <w:r>
              <w:t xml:space="preserve">не более 2,0 с</w:t>
            </w:r>
          </w:p>
        </w:tc>
        <w:tc>
          <w:tcPr>
            <w:tcW w:type="dxa" w:w="1604"/>
          </w:tcPr>
          <w:p>
            <w:pPr>
              <w:pStyle w:val="TableText"/>
            </w:pPr>
            <w:r>
              <w:t xml:space="preserve">5.5</w:t>
            </w:r>
          </w:p>
        </w:tc>
      </w:tr>
      <w:tr>
        <w:trPr>
          <w:cantSplit/>
          <w:tblHeader w:val="false"/>
        </w:trPr>
        <w:tc>
          <w:tcPr>
            <w:tcW w:type="dxa" w:w="5212"/>
          </w:tcPr>
          <w:p>
            <w:pPr>
              <w:pStyle w:val="TableText"/>
            </w:pPr>
            <w:r>
              <w:t xml:space="preserve">Время вычисления векторного представления обращения</w:t>
            </w:r>
          </w:p>
        </w:tc>
        <w:tc>
          <w:tcPr>
            <w:tcW w:type="dxa" w:w="2539"/>
          </w:tcPr>
          <w:p>
            <w:pPr>
              <w:pStyle w:val="TableText"/>
            </w:pPr>
            <w:r>
              <w:t xml:space="preserve">не более 0,5 с</w:t>
            </w:r>
          </w:p>
        </w:tc>
        <w:tc>
          <w:tcPr>
            <w:tcW w:type="dxa" w:w="1604"/>
          </w:tcPr>
          <w:p>
            <w:pPr>
              <w:pStyle w:val="TableText"/>
            </w:pPr>
            <w:r>
              <w:t xml:space="preserve">5.5</w:t>
            </w:r>
          </w:p>
        </w:tc>
      </w:tr>
      <w:tr>
        <w:trPr>
          <w:cantSplit/>
          <w:tblHeader w:val="false"/>
        </w:trPr>
        <w:tc>
          <w:tcPr>
            <w:tcW w:type="dxa" w:w="5212"/>
          </w:tcPr>
          <w:p>
            <w:pPr>
              <w:pStyle w:val="TableText"/>
            </w:pPr>
            <w:r>
              <w:t xml:space="preserve">Время отклика сервера на обычные операции интерфейса (95-й процентиль)</w:t>
            </w:r>
          </w:p>
        </w:tc>
        <w:tc>
          <w:tcPr>
            <w:tcW w:type="dxa" w:w="2539"/>
          </w:tcPr>
          <w:p>
            <w:pPr>
              <w:pStyle w:val="TableText"/>
            </w:pPr>
            <w:r>
              <w:t xml:space="preserve">не более 2,0 с</w:t>
            </w:r>
          </w:p>
        </w:tc>
        <w:tc>
          <w:tcPr>
            <w:tcW w:type="dxa" w:w="1604"/>
          </w:tcPr>
          <w:p>
            <w:pPr>
              <w:pStyle w:val="TableText"/>
            </w:pPr>
            <w:r>
              <w:t xml:space="preserve">5.5</w:t>
            </w:r>
          </w:p>
        </w:tc>
      </w:tr>
      <w:tr>
        <w:trPr>
          <w:cantSplit/>
          <w:tblHeader w:val="false"/>
        </w:trPr>
        <w:tc>
          <w:tcPr>
            <w:tcW w:type="dxa" w:w="5212"/>
          </w:tcPr>
          <w:p>
            <w:pPr>
              <w:pStyle w:val="TableText"/>
            </w:pPr>
            <w:r>
              <w:t xml:space="preserve">Число рекомендаций на один запрос</w:t>
            </w:r>
          </w:p>
        </w:tc>
        <w:tc>
          <w:tcPr>
            <w:tcW w:type="dxa" w:w="2539"/>
          </w:tcPr>
          <w:p>
            <w:pPr>
              <w:pStyle w:val="TableText"/>
            </w:pPr>
            <w:r>
              <w:t xml:space="preserve">не более 10</w:t>
            </w:r>
          </w:p>
        </w:tc>
        <w:tc>
          <w:tcPr>
            <w:tcW w:type="dxa" w:w="1604"/>
          </w:tcPr>
          <w:p>
            <w:pPr>
              <w:pStyle w:val="TableText"/>
            </w:pPr>
            <w:r>
              <w:t xml:space="preserve">5.2</w:t>
            </w:r>
          </w:p>
        </w:tc>
      </w:tr>
      <w:tr>
        <w:trPr>
          <w:cantSplit/>
          <w:tblHeader w:val="false"/>
        </w:trPr>
        <w:tc>
          <w:tcPr>
            <w:tcW w:type="dxa" w:w="5212"/>
          </w:tcPr>
          <w:p>
            <w:pPr>
              <w:pStyle w:val="TableText"/>
            </w:pPr>
            <w:r>
              <w:t xml:space="preserve">Число одновременно работающих пользователей</w:t>
            </w:r>
          </w:p>
        </w:tc>
        <w:tc>
          <w:tcPr>
            <w:tcW w:type="dxa" w:w="2539"/>
          </w:tcPr>
          <w:p>
            <w:pPr>
              <w:pStyle w:val="TableText"/>
            </w:pPr>
            <w:r>
              <w:t xml:space="preserve">не менее 10</w:t>
            </w:r>
          </w:p>
        </w:tc>
        <w:tc>
          <w:tcPr>
            <w:tcW w:type="dxa" w:w="1604"/>
          </w:tcPr>
          <w:p>
            <w:pPr>
              <w:pStyle w:val="TableText"/>
            </w:pPr>
            <w:r>
              <w:t xml:space="preserve">5.5</w:t>
            </w:r>
          </w:p>
        </w:tc>
      </w:tr>
      <w:tr>
        <w:trPr>
          <w:cantSplit/>
          <w:tblHeader w:val="false"/>
        </w:trPr>
        <w:tc>
          <w:tcPr>
            <w:tcW w:type="dxa" w:w="5212"/>
          </w:tcPr>
          <w:p>
            <w:pPr>
              <w:pStyle w:val="TableText"/>
            </w:pPr>
            <w:r>
              <w:t xml:space="preserve">Объём реестра обращений без деградации функций</w:t>
            </w:r>
          </w:p>
        </w:tc>
        <w:tc>
          <w:tcPr>
            <w:tcW w:type="dxa" w:w="2539"/>
          </w:tcPr>
          <w:p>
            <w:pPr>
              <w:pStyle w:val="TableText"/>
            </w:pPr>
            <w:r>
              <w:t xml:space="preserve">не менее 10 000 записей</w:t>
            </w:r>
          </w:p>
        </w:tc>
        <w:tc>
          <w:tcPr>
            <w:tcW w:type="dxa" w:w="1604"/>
          </w:tcPr>
          <w:p>
            <w:pPr>
              <w:pStyle w:val="TableText"/>
            </w:pPr>
            <w:r>
              <w:t xml:space="preserve">5.5</w:t>
            </w:r>
          </w:p>
        </w:tc>
      </w:tr>
      <w:tr>
        <w:trPr>
          <w:cantSplit/>
          <w:tblHeader w:val="false"/>
        </w:trPr>
        <w:tc>
          <w:tcPr>
            <w:tcW w:type="dxa" w:w="5212"/>
          </w:tcPr>
          <w:p>
            <w:pPr>
              <w:pStyle w:val="TableText"/>
            </w:pPr>
            <w:r>
              <w:t xml:space="preserve">Объём занимаемой оперативной памяти серверной частью</w:t>
            </w:r>
          </w:p>
        </w:tc>
        <w:tc>
          <w:tcPr>
            <w:tcW w:type="dxa" w:w="2539"/>
          </w:tcPr>
          <w:p>
            <w:pPr>
              <w:pStyle w:val="TableText"/>
            </w:pPr>
            <w:r>
              <w:t xml:space="preserve">не более 4 ГБ</w:t>
            </w:r>
          </w:p>
        </w:tc>
        <w:tc>
          <w:tcPr>
            <w:tcW w:type="dxa" w:w="1604"/>
          </w:tcPr>
          <w:p>
            <w:pPr>
              <w:pStyle w:val="TableText"/>
            </w:pPr>
            <w:r>
              <w:t xml:space="preserve">5.5</w:t>
            </w:r>
          </w:p>
        </w:tc>
      </w:tr>
      <w:tr>
        <w:trPr>
          <w:cantSplit/>
          <w:tblHeader w:val="false"/>
        </w:trPr>
        <w:tc>
          <w:tcPr>
            <w:tcW w:type="dxa" w:w="5212"/>
          </w:tcPr>
          <w:p>
            <w:pPr>
              <w:pStyle w:val="TableText"/>
            </w:pPr>
            <w:r>
              <w:t xml:space="preserve">Объём занимаемого дискового пространства с демонстрационным набором</w:t>
            </w:r>
          </w:p>
        </w:tc>
        <w:tc>
          <w:tcPr>
            <w:tcW w:type="dxa" w:w="2539"/>
          </w:tcPr>
          <w:p>
            <w:pPr>
              <w:pStyle w:val="TableText"/>
            </w:pPr>
            <w:r>
              <w:t xml:space="preserve">не более 10 ГБ</w:t>
            </w:r>
          </w:p>
        </w:tc>
        <w:tc>
          <w:tcPr>
            <w:tcW w:type="dxa" w:w="1604"/>
          </w:tcPr>
          <w:p>
            <w:pPr>
              <w:pStyle w:val="TableText"/>
            </w:pPr>
            <w:r>
              <w:t xml:space="preserve">5.5</w:t>
            </w:r>
          </w:p>
        </w:tc>
      </w:tr>
    </w:tbl>
    <w:p>
      <w:pPr>
        <w:pStyle w:val="AfterTable"/>
      </w:pPr>
    </w:p>
    <w:p>
      <w:pPr>
        <w:pStyle w:val="Heading3"/>
      </w:pPr>
      <w:r>
        <w:t xml:space="preserve">1.1.4 Характеристики надёжности</w:t>
      </w:r>
    </w:p>
    <w:p>
      <w:pPr>
        <w:pStyle w:val="ListParagraph"/>
        <w:numPr>
          <w:ilvl w:val="0"/>
          <w:numId w:val="2"/>
        </w:numPr>
        <w:ind w:left="709" w:hanging="360"/>
      </w:pPr>
      <w:r>
        <w:t xml:space="preserve">время восстановления после программного сбоя — не более 15 мин;</w:t>
      </w:r>
    </w:p>
    <w:p>
      <w:pPr>
        <w:pStyle w:val="ListParagraph"/>
        <w:numPr>
          <w:ilvl w:val="0"/>
          <w:numId w:val="2"/>
        </w:numPr>
        <w:ind w:left="709" w:hanging="360"/>
      </w:pPr>
      <w:r>
        <w:t xml:space="preserve">отказ изделия вследствие некорректного ввода данных через пользовательский интерфейс — не допускается;</w:t>
      </w:r>
    </w:p>
    <w:p>
      <w:pPr>
        <w:pStyle w:val="ListParagraph"/>
        <w:numPr>
          <w:ilvl w:val="0"/>
          <w:numId w:val="2"/>
        </w:numPr>
        <w:ind w:left="709" w:hanging="360"/>
      </w:pPr>
      <w:r>
        <w:t xml:space="preserve">сохранность зарегистрированных обращений при перезапуске серверной части — обеспечивается;</w:t>
      </w:r>
    </w:p>
    <w:p>
      <w:pPr>
        <w:pStyle w:val="ListParagraph"/>
        <w:numPr>
          <w:ilvl w:val="0"/>
          <w:numId w:val="2"/>
        </w:numPr>
        <w:ind w:left="709" w:hanging="360"/>
      </w:pPr>
      <w:r>
        <w:t xml:space="preserve">работоспособность функции регистрации обращений при недоступности модуля семантического поиска — сохраняется с выводом предупреждения;</w:t>
      </w:r>
    </w:p>
    <w:p>
      <w:pPr>
        <w:pStyle w:val="ListParagraph"/>
        <w:numPr>
          <w:ilvl w:val="0"/>
          <w:numId w:val="2"/>
        </w:numPr>
        <w:ind w:left="709" w:hanging="360"/>
      </w:pPr>
      <w:r>
        <w:t xml:space="preserve">текст черновика при ошибке модуля семантического поиска — не утрачивается;</w:t>
      </w:r>
    </w:p>
    <w:p>
      <w:pPr>
        <w:pStyle w:val="ListParagraph"/>
        <w:numPr>
          <w:ilvl w:val="0"/>
          <w:numId w:val="2"/>
        </w:numPr>
        <w:ind w:left="709" w:hanging="360"/>
      </w:pPr>
      <w:r>
        <w:t xml:space="preserve">изменение статуса, создание связи и запись в историю изменений — выполняются в одной транзакции.</w:t>
      </w:r>
    </w:p>
    <w:p>
      <w:pPr>
        <w:pStyle w:val="Heading3"/>
      </w:pPr>
      <w:r>
        <w:t xml:space="preserve">1.1.5 Характеристики качества программного кода</w:t>
      </w:r>
    </w:p>
    <w:p>
      <w:r>
        <w:rPr>
          <w:b w:val="false"/>
          <w:bCs w:val="false"/>
          <w:i w:val="false"/>
          <w:iCs w:val="false"/>
        </w:rPr>
        <w:t xml:space="preserve">Исходный код изделия должен соответствовать нормам, приведённым в таблице 4.</w:t>
      </w:r>
    </w:p>
    <w:p>
      <w:pPr>
        <w:pStyle w:val="Caption"/>
      </w:pPr>
      <w:r>
        <w:t xml:space="preserve">Таблица </w:t>
      </w:r>
      <w:fldSimple w:instr=" SEQ Таблица \* ARABIC ">
        <w:r>
          <w:t xml:space="preserve">4</w:t>
        </w:r>
      </w:fldSimple>
      <w:r>
        <w:t xml:space="preserve"> — Нормы показателей качества кода</w:t>
      </w:r>
    </w:p>
    <w:tbl>
      <w:tblPr>
        <w:tblW w:type="dxa" w:w="9355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5212"/>
        <w:gridCol w:w="2539"/>
        <w:gridCol w:w="1604"/>
      </w:tblGrid>
      <w:tr>
        <w:trPr>
          <w:cantSplit/>
          <w:tblHeader/>
        </w:trPr>
        <w:tc>
          <w:tcPr>
            <w:tcW w:type="dxa" w:w="5212"/>
          </w:tcPr>
          <w:p>
            <w:pPr>
              <w:pStyle w:val="TableHeader"/>
            </w:pPr>
            <w:r>
              <w:t xml:space="preserve">Наименование показателя</w:t>
            </w:r>
          </w:p>
        </w:tc>
        <w:tc>
          <w:tcPr>
            <w:tcW w:type="dxa" w:w="2539"/>
          </w:tcPr>
          <w:p>
            <w:pPr>
              <w:pStyle w:val="TableHeader"/>
            </w:pPr>
            <w:r>
              <w:t xml:space="preserve">Норма</w:t>
            </w:r>
          </w:p>
        </w:tc>
        <w:tc>
          <w:tcPr>
            <w:tcW w:type="dxa" w:w="1604"/>
          </w:tcPr>
          <w:p>
            <w:pPr>
              <w:pStyle w:val="TableHeader"/>
            </w:pPr>
            <w:r>
              <w:t xml:space="preserve">Метод контроля</w:t>
            </w:r>
          </w:p>
        </w:tc>
      </w:tr>
      <w:tr>
        <w:trPr>
          <w:cantSplit/>
          <w:tblHeader w:val="false"/>
        </w:trPr>
        <w:tc>
          <w:tcPr>
            <w:tcW w:type="dxa" w:w="5212"/>
          </w:tcPr>
          <w:p>
            <w:pPr>
              <w:pStyle w:val="TableText"/>
            </w:pPr>
            <w:r>
              <w:t xml:space="preserve">Покрытие кода модульными тестами по строкам</w:t>
            </w:r>
          </w:p>
        </w:tc>
        <w:tc>
          <w:tcPr>
            <w:tcW w:type="dxa" w:w="2539"/>
          </w:tcPr>
          <w:p>
            <w:pPr>
              <w:pStyle w:val="TableText"/>
            </w:pPr>
            <w:r>
              <w:t xml:space="preserve">не менее 70 %</w:t>
            </w:r>
          </w:p>
        </w:tc>
        <w:tc>
          <w:tcPr>
            <w:tcW w:type="dxa" w:w="1604"/>
          </w:tcPr>
          <w:p>
            <w:pPr>
              <w:pStyle w:val="TableText"/>
            </w:pPr>
            <w:r>
              <w:t xml:space="preserve">5.3</w:t>
            </w:r>
          </w:p>
        </w:tc>
      </w:tr>
      <w:tr>
        <w:trPr>
          <w:cantSplit/>
          <w:tblHeader w:val="false"/>
        </w:trPr>
        <w:tc>
          <w:tcPr>
            <w:tcW w:type="dxa" w:w="5212"/>
          </w:tcPr>
          <w:p>
            <w:pPr>
              <w:pStyle w:val="TableText"/>
            </w:pPr>
            <w:r>
              <w:t xml:space="preserve">Цикломатическая сложность функции (метода)</w:t>
            </w:r>
          </w:p>
        </w:tc>
        <w:tc>
          <w:tcPr>
            <w:tcW w:type="dxa" w:w="2539"/>
          </w:tcPr>
          <w:p>
            <w:pPr>
              <w:pStyle w:val="TableText"/>
            </w:pPr>
            <w:r>
              <w:t xml:space="preserve">не более 15</w:t>
            </w:r>
          </w:p>
        </w:tc>
        <w:tc>
          <w:tcPr>
            <w:tcW w:type="dxa" w:w="1604"/>
          </w:tcPr>
          <w:p>
            <w:pPr>
              <w:pStyle w:val="TableText"/>
            </w:pPr>
            <w:r>
              <w:t xml:space="preserve">5.6</w:t>
            </w:r>
          </w:p>
        </w:tc>
      </w:tr>
      <w:tr>
        <w:trPr>
          <w:cantSplit/>
          <w:tblHeader w:val="false"/>
        </w:trPr>
        <w:tc>
          <w:tcPr>
            <w:tcW w:type="dxa" w:w="5212"/>
          </w:tcPr>
          <w:p>
            <w:pPr>
              <w:pStyle w:val="TableText"/>
            </w:pPr>
            <w:r>
              <w:t xml:space="preserve">Индекс сопровождаемости модуля</w:t>
            </w:r>
          </w:p>
        </w:tc>
        <w:tc>
          <w:tcPr>
            <w:tcW w:type="dxa" w:w="2539"/>
          </w:tcPr>
          <w:p>
            <w:pPr>
              <w:pStyle w:val="TableText"/>
            </w:pPr>
            <w:r>
              <w:t xml:space="preserve">не менее 20</w:t>
            </w:r>
          </w:p>
        </w:tc>
        <w:tc>
          <w:tcPr>
            <w:tcW w:type="dxa" w:w="1604"/>
          </w:tcPr>
          <w:p>
            <w:pPr>
              <w:pStyle w:val="TableText"/>
            </w:pPr>
            <w:r>
              <w:t xml:space="preserve">5.6</w:t>
            </w:r>
          </w:p>
        </w:tc>
      </w:tr>
      <w:tr>
        <w:trPr>
          <w:cantSplit/>
          <w:tblHeader w:val="false"/>
        </w:trPr>
        <w:tc>
          <w:tcPr>
            <w:tcW w:type="dxa" w:w="5212"/>
          </w:tcPr>
          <w:p>
            <w:pPr>
              <w:pStyle w:val="TableText"/>
            </w:pPr>
            <w:r>
              <w:t xml:space="preserve">Число незакрытых дефектов уровня «блокирующий» и «критический»</w:t>
            </w:r>
          </w:p>
        </w:tc>
        <w:tc>
          <w:tcPr>
            <w:tcW w:type="dxa" w:w="2539"/>
          </w:tcPr>
          <w:p>
            <w:pPr>
              <w:pStyle w:val="TableText"/>
            </w:pPr>
            <w:r>
              <w:t xml:space="preserve">0</w:t>
            </w:r>
          </w:p>
        </w:tc>
        <w:tc>
          <w:tcPr>
            <w:tcW w:type="dxa" w:w="1604"/>
          </w:tcPr>
          <w:p>
            <w:pPr>
              <w:pStyle w:val="TableText"/>
            </w:pPr>
            <w:r>
              <w:t xml:space="preserve">5.2</w:t>
            </w:r>
          </w:p>
        </w:tc>
      </w:tr>
    </w:tbl>
    <w:p>
      <w:pPr>
        <w:pStyle w:val="AfterTable"/>
      </w:pPr>
    </w:p>
    <w:p>
      <w:pPr>
        <w:pStyle w:val="Heading2"/>
      </w:pPr>
      <w:r>
        <w:t xml:space="preserve">1.2 Требования к применяемым компонентам сторонней разработки</w:t>
      </w:r>
    </w:p>
    <w:p>
      <w:r>
        <w:rPr>
          <w:b w:val="false"/>
          <w:bCs w:val="false"/>
          <w:i w:val="false"/>
          <w:iCs w:val="false"/>
        </w:rPr>
        <w:t xml:space="preserve">Изделие строится на основе свободно распространяемых программных компонентов. Перечень применяемых компонентов и условий их распространения приведён в приложении А.</w:t>
      </w:r>
    </w:p>
    <w:p>
      <w:r>
        <w:rPr>
          <w:b w:val="false"/>
          <w:bCs w:val="false"/>
          <w:i w:val="false"/>
          <w:iCs w:val="false"/>
        </w:rPr>
        <w:t xml:space="preserve">Применение компонентов, условия распространения которых запрещают использование в учебных и исследовательских целях, не допускается. Модели векторного представления текста и наборы данных, применяемые при настройке и контроле изделия, должны сопровождаться указанием лицензии.</w:t>
      </w:r>
    </w:p>
    <w:p>
      <w:r>
        <w:rPr>
          <w:b w:val="false"/>
          <w:bCs w:val="false"/>
          <w:i w:val="false"/>
          <w:iCs w:val="false"/>
        </w:rPr>
        <w:t xml:space="preserve">Обучение собственных нейросетевых моделей не предусматривается.</w:t>
      </w:r>
    </w:p>
    <w:p>
      <w:pPr>
        <w:pStyle w:val="Heading2"/>
      </w:pPr>
      <w:r>
        <w:t xml:space="preserve">1.3 Комплектность</w:t>
      </w:r>
    </w:p>
    <w:p>
      <w:r>
        <w:rPr>
          <w:b w:val="false"/>
          <w:bCs w:val="false"/>
          <w:i w:val="false"/>
          <w:iCs w:val="false"/>
        </w:rPr>
        <w:t xml:space="preserve">В комплект поставки изделия входят:</w:t>
      </w:r>
    </w:p>
    <w:p>
      <w:pPr>
        <w:pStyle w:val="ListParagraph"/>
        <w:numPr>
          <w:ilvl w:val="0"/>
          <w:numId w:val="3"/>
        </w:numPr>
        <w:ind w:left="1134" w:hanging="425"/>
      </w:pPr>
      <w:r>
        <w:t xml:space="preserve">дистрибутив изделия, содержащий исходный код серверной и клиентской частей, файлы сборки контейнеров и сценарии развёртывания;</w:t>
      </w:r>
    </w:p>
    <w:p>
      <w:pPr>
        <w:pStyle w:val="ListParagraph"/>
        <w:numPr>
          <w:ilvl w:val="0"/>
          <w:numId w:val="3"/>
        </w:numPr>
        <w:ind w:left="1134" w:hanging="425"/>
      </w:pPr>
      <w:r>
        <w:t xml:space="preserve">сценарии инициализации базы данных и справочников;</w:t>
      </w:r>
    </w:p>
    <w:p>
      <w:pPr>
        <w:pStyle w:val="ListParagraph"/>
        <w:numPr>
          <w:ilvl w:val="0"/>
          <w:numId w:val="3"/>
        </w:numPr>
        <w:ind w:left="1134" w:hanging="425"/>
      </w:pPr>
      <w:r>
        <w:t xml:space="preserve">демонстрационный набор обращений на русском языке объёмом от 100 до 150 записей с эталонной разметкой групп дубликатов;</w:t>
      </w:r>
    </w:p>
    <w:p>
      <w:pPr>
        <w:pStyle w:val="ListParagraph"/>
        <w:numPr>
          <w:ilvl w:val="0"/>
          <w:numId w:val="3"/>
        </w:numPr>
        <w:ind w:left="1134" w:hanging="425"/>
      </w:pPr>
      <w:r>
        <w:t xml:space="preserve">комплект программной документации по ГОСТ 19.101-77 в объёме, установленном разделом 5 технического задания СПДО.001.ТЗ;</w:t>
      </w:r>
    </w:p>
    <w:p>
      <w:pPr>
        <w:pStyle w:val="ListParagraph"/>
        <w:numPr>
          <w:ilvl w:val="0"/>
          <w:numId w:val="3"/>
        </w:numPr>
        <w:ind w:left="1134" w:hanging="425"/>
      </w:pPr>
      <w:r>
        <w:t xml:space="preserve">документация на исходный код, сформированная средствами автоматического документирования;</w:t>
      </w:r>
    </w:p>
    <w:p>
      <w:pPr>
        <w:pStyle w:val="ListParagraph"/>
        <w:numPr>
          <w:ilvl w:val="0"/>
          <w:numId w:val="3"/>
        </w:numPr>
        <w:ind w:left="1134" w:hanging="425"/>
      </w:pPr>
      <w:r>
        <w:t xml:space="preserve">файл контрольных сумм комплекта поставки.</w:t>
      </w:r>
    </w:p>
    <w:p>
      <w:pPr>
        <w:pStyle w:val="Heading2"/>
      </w:pPr>
      <w:r>
        <w:t xml:space="preserve">1.4 Маркировка</w:t>
      </w:r>
    </w:p>
    <w:p>
      <w:r>
        <w:rPr>
          <w:b w:val="false"/>
          <w:bCs w:val="false"/>
          <w:i w:val="false"/>
          <w:iCs w:val="false"/>
        </w:rPr>
        <w:t xml:space="preserve">Маркировка изделия выполняется в электронном виде и включает:</w:t>
      </w:r>
    </w:p>
    <w:p>
      <w:pPr>
        <w:pStyle w:val="ListParagraph"/>
        <w:numPr>
          <w:ilvl w:val="0"/>
          <w:numId w:val="2"/>
        </w:numPr>
        <w:ind w:left="709" w:hanging="360"/>
      </w:pPr>
      <w:r>
        <w:t xml:space="preserve">обозначение изделия — СПДО.001;</w:t>
      </w:r>
    </w:p>
    <w:p>
      <w:pPr>
        <w:pStyle w:val="ListParagraph"/>
        <w:numPr>
          <w:ilvl w:val="0"/>
          <w:numId w:val="2"/>
        </w:numPr>
        <w:ind w:left="709" w:hanging="360"/>
      </w:pPr>
      <w:r>
        <w:t xml:space="preserve">номер версии по схеме «мажорная.минорная.исправление»;</w:t>
      </w:r>
    </w:p>
    <w:p>
      <w:pPr>
        <w:pStyle w:val="ListParagraph"/>
        <w:numPr>
          <w:ilvl w:val="0"/>
          <w:numId w:val="2"/>
        </w:numPr>
        <w:ind w:left="709" w:hanging="360"/>
      </w:pPr>
      <w:r>
        <w:t xml:space="preserve">дату сборки в формате ГГГГ-ММ-ДД;</w:t>
      </w:r>
    </w:p>
    <w:p>
      <w:pPr>
        <w:pStyle w:val="ListParagraph"/>
        <w:numPr>
          <w:ilvl w:val="0"/>
          <w:numId w:val="2"/>
        </w:numPr>
        <w:ind w:left="709" w:hanging="360"/>
      </w:pPr>
      <w:r>
        <w:t xml:space="preserve">наименование организации-разработчика и фамилии исполнителей.</w:t>
      </w:r>
    </w:p>
    <w:p>
      <w:r>
        <w:rPr>
          <w:b w:val="false"/>
          <w:bCs w:val="false"/>
          <w:i w:val="false"/>
          <w:iCs w:val="false"/>
        </w:rPr>
        <w:t xml:space="preserve">Маркировка размещается в файле описания проекта в корне дистрибутива, в служебном разделе пользовательского интерфейса и в наименовании архива дистрибутива. Требования к нанесению маркировки на тару не предъявляются.</w:t>
      </w:r>
    </w:p>
    <w:p>
      <w:pPr>
        <w:pStyle w:val="Heading2"/>
      </w:pPr>
      <w:r>
        <w:t xml:space="preserve">1.5 Упаковка</w:t>
      </w:r>
    </w:p>
    <w:p>
      <w:r>
        <w:rPr>
          <w:b w:val="false"/>
          <w:bCs w:val="false"/>
          <w:i w:val="false"/>
          <w:iCs w:val="false"/>
        </w:rPr>
        <w:t xml:space="preserve">Изделие поставляется в виде архива формата ZIP или TAR.GZ либо в виде образа контейнера. Архив дистрибутива сопровождается файлом контрольных сумм, вычисленных по алгоритму SHA-256.</w:t>
      </w:r>
    </w:p>
    <w:p>
      <w:r>
        <w:rPr>
          <w:b w:val="false"/>
          <w:bCs w:val="false"/>
          <w:i w:val="false"/>
          <w:iCs w:val="false"/>
        </w:rPr>
        <w:t xml:space="preserve">Требования к потребительской и транспортной таре не предъявляются, поскольку поставка на физических носителях не предусматривается.</w:t>
      </w:r>
    </w:p>
    <w:p>
      <w:pPr>
        <w:pStyle w:val="Heading1"/>
      </w:pPr>
      <w:r>
        <w:t xml:space="preserve">2 Требования безопасности</w:t>
      </w:r>
    </w:p>
    <w:p>
      <w:pPr>
        <w:pStyle w:val="Heading2"/>
      </w:pPr>
      <w:r>
        <w:t xml:space="preserve">2.1 Требования информационной безопасности</w:t>
      </w:r>
    </w:p>
    <w:p>
      <w:pPr>
        <w:pStyle w:val="ListParagraph"/>
        <w:numPr>
          <w:ilvl w:val="0"/>
          <w:numId w:val="2"/>
        </w:numPr>
        <w:ind w:left="709" w:hanging="360"/>
      </w:pPr>
      <w:r>
        <w:t xml:space="preserve">доступ к функциям оператора и администратора предоставляется после аутентификации по имени пользователя и паролю;</w:t>
      </w:r>
    </w:p>
    <w:p>
      <w:pPr>
        <w:pStyle w:val="ListParagraph"/>
        <w:numPr>
          <w:ilvl w:val="0"/>
          <w:numId w:val="2"/>
        </w:numPr>
        <w:ind w:left="709" w:hanging="360"/>
      </w:pPr>
      <w:r>
        <w:t xml:space="preserve">пароли хранятся в виде криптографических хеш-значений с использованием алгоритма с солью; хранение паролей в открытом виде не допускается;</w:t>
      </w:r>
    </w:p>
    <w:p>
      <w:pPr>
        <w:pStyle w:val="ListParagraph"/>
        <w:numPr>
          <w:ilvl w:val="0"/>
          <w:numId w:val="2"/>
        </w:numPr>
        <w:ind w:left="709" w:hanging="360"/>
      </w:pPr>
      <w:r>
        <w:t xml:space="preserve">разграничение прав выполняется по ролям: пользователь, оператор технической поддержки, администратор; полномочия проверяются сервером при каждой защищённой операции независимо от клиентской части;</w:t>
      </w:r>
    </w:p>
    <w:p>
      <w:pPr>
        <w:pStyle w:val="ListParagraph"/>
        <w:numPr>
          <w:ilvl w:val="0"/>
          <w:numId w:val="2"/>
        </w:numPr>
        <w:ind w:left="709" w:hanging="360"/>
      </w:pPr>
      <w:r>
        <w:t xml:space="preserve">пользовательский ввод проверяется на сервере независимо от проверки в клиентской части;</w:t>
      </w:r>
    </w:p>
    <w:p>
      <w:pPr>
        <w:pStyle w:val="ListParagraph"/>
        <w:numPr>
          <w:ilvl w:val="0"/>
          <w:numId w:val="2"/>
        </w:numPr>
        <w:ind w:left="709" w:hanging="360"/>
      </w:pPr>
      <w:r>
        <w:t xml:space="preserve">пользователь видит в реестре только собственные обращения; конфиденциальные обращения в рекомендации посторонним пользователям не включаются;</w:t>
      </w:r>
    </w:p>
    <w:p>
      <w:pPr>
        <w:pStyle w:val="ListParagraph"/>
        <w:numPr>
          <w:ilvl w:val="0"/>
          <w:numId w:val="2"/>
        </w:numPr>
        <w:ind w:left="709" w:hanging="360"/>
      </w:pPr>
      <w:r>
        <w:t xml:space="preserve">обмен данными между клиентской и серверной частями при эксплуатации в сети общего пользования выполняется по протоколу HTTPS;</w:t>
      </w:r>
    </w:p>
    <w:p>
      <w:pPr>
        <w:pStyle w:val="ListParagraph"/>
        <w:numPr>
          <w:ilvl w:val="0"/>
          <w:numId w:val="2"/>
        </w:numPr>
        <w:ind w:left="709" w:hanging="360"/>
      </w:pPr>
      <w:r>
        <w:t xml:space="preserve">действия по установлению и отклонению связей, изменению статусов и публикации решений фиксируются в журнале с указанием пользователя и времени; пароли и токены доступа в журнал не записываются;</w:t>
      </w:r>
    </w:p>
    <w:p>
      <w:pPr>
        <w:pStyle w:val="ListParagraph"/>
        <w:numPr>
          <w:ilvl w:val="0"/>
          <w:numId w:val="2"/>
        </w:numPr>
        <w:ind w:left="709" w:hanging="360"/>
      </w:pPr>
      <w:r>
        <w:t xml:space="preserve">изделие не должно содержать недокументированных функций и вредоносного кода; проверка выполняется по методу 5.7.</w:t>
      </w:r>
    </w:p>
    <w:p>
      <w:pPr>
        <w:pStyle w:val="Heading2"/>
      </w:pPr>
      <w:r>
        <w:t xml:space="preserve">2.2 Требования по составу обрабатываемых сведений</w:t>
      </w:r>
    </w:p>
    <w:p>
      <w:r>
        <w:rPr>
          <w:b w:val="false"/>
          <w:bCs w:val="false"/>
          <w:i w:val="false"/>
          <w:iCs w:val="false"/>
        </w:rPr>
        <w:t xml:space="preserve">Обработка сведений, составляющих государственную тайну, а также персональных данных специальных категорий не предусматривается. Состав обрабатываемых сведений ограничивается учётными данными пользователей и текстами обращений.</w:t>
      </w:r>
    </w:p>
    <w:p>
      <w:pPr>
        <w:pStyle w:val="Heading2"/>
      </w:pPr>
      <w:r>
        <w:t xml:space="preserve">2.3 Требования безопасности при эксплуатации</w:t>
      </w:r>
    </w:p>
    <w:p>
      <w:r>
        <w:rPr>
          <w:b w:val="false"/>
          <w:bCs w:val="false"/>
          <w:i w:val="false"/>
          <w:iCs w:val="false"/>
        </w:rPr>
        <w:t xml:space="preserve">Изделие не является источником опасных и вредных производственных факторов. Требования безопасности при работе персонала с техническими средствами определяются эксплуатационной документацией на применяемые технические средства и действующими санитарными правилами при работе с персональными электронными вычислительными машинами.</w:t>
      </w:r>
    </w:p>
    <w:p>
      <w:pPr>
        <w:pStyle w:val="Heading1"/>
      </w:pPr>
      <w:r>
        <w:t xml:space="preserve">3 Требования охраны окружающей среды</w:t>
      </w:r>
    </w:p>
    <w:p>
      <w:r>
        <w:rPr>
          <w:b w:val="false"/>
          <w:bCs w:val="false"/>
          <w:i w:val="false"/>
          <w:iCs w:val="false"/>
        </w:rPr>
        <w:t xml:space="preserve">Изделие поставляется в электронном виде, при производстве и эксплуатации не образует отходов и не оказывает воздействия на окружающую среду. Специальные требования по утилизации не предъявляются. Утилизация технических средств, на которых эксплуатируется изделие, выполняется в соответствии с эксплуатационной документацией на эти средства.</w:t>
      </w:r>
    </w:p>
    <w:p>
      <w:pPr>
        <w:pStyle w:val="Heading1"/>
      </w:pPr>
      <w:r>
        <w:t xml:space="preserve">4 Правила приёмки</w:t>
      </w:r>
    </w:p>
    <w:p>
      <w:pPr>
        <w:pStyle w:val="Heading2"/>
      </w:pPr>
      <w:r>
        <w:t xml:space="preserve">4.1 Виды испытаний</w:t>
      </w:r>
    </w:p>
    <w:p>
      <w:r>
        <w:rPr>
          <w:b w:val="false"/>
          <w:bCs w:val="false"/>
          <w:i w:val="false"/>
          <w:iCs w:val="false"/>
        </w:rPr>
        <w:t xml:space="preserve">Для контроля соответствия изделия требованиям настоящих технических условий проводят:</w:t>
      </w:r>
    </w:p>
    <w:p>
      <w:pPr>
        <w:pStyle w:val="ListParagraph"/>
        <w:numPr>
          <w:ilvl w:val="0"/>
          <w:numId w:val="4"/>
        </w:numPr>
        <w:ind w:left="1134" w:hanging="425"/>
      </w:pPr>
      <w:r>
        <w:t xml:space="preserve">приёмо-сдаточные испытания — при предъявлении изделия заказчику по завершении разработки;</w:t>
      </w:r>
    </w:p>
    <w:p>
      <w:pPr>
        <w:pStyle w:val="ListParagraph"/>
        <w:numPr>
          <w:ilvl w:val="0"/>
          <w:numId w:val="4"/>
        </w:numPr>
        <w:ind w:left="1134" w:hanging="425"/>
      </w:pPr>
      <w:r>
        <w:t xml:space="preserve">периодические испытания — при предъявлении результатов очередного этапа работ в сроки, установленные техническим заданием;</w:t>
      </w:r>
    </w:p>
    <w:p>
      <w:pPr>
        <w:pStyle w:val="ListParagraph"/>
        <w:numPr>
          <w:ilvl w:val="0"/>
          <w:numId w:val="4"/>
        </w:numPr>
        <w:ind w:left="1134" w:hanging="425"/>
      </w:pPr>
      <w:r>
        <w:t xml:space="preserve">типовые испытания — при внесении в изделие изменений, затрагивающих алгоритм подбора обращений, схему базы данных или состав применяемых компонентов сторонней разработки.</w:t>
      </w:r>
    </w:p>
    <w:p>
      <w:pPr>
        <w:pStyle w:val="Heading2"/>
      </w:pPr>
      <w:r>
        <w:t xml:space="preserve">4.2 Состав и объём испытаний</w:t>
      </w:r>
    </w:p>
    <w:p>
      <w:r>
        <w:rPr>
          <w:b w:val="false"/>
          <w:bCs w:val="false"/>
          <w:i w:val="false"/>
          <w:iCs w:val="false"/>
        </w:rPr>
        <w:t xml:space="preserve">Состав проверок при различных видах испытаний приведён в таблице 5.</w:t>
      </w:r>
    </w:p>
    <w:p>
      <w:pPr>
        <w:pStyle w:val="Caption"/>
      </w:pPr>
      <w:r>
        <w:t xml:space="preserve">Таблица </w:t>
      </w:r>
      <w:fldSimple w:instr=" SEQ Таблица \* ARABIC ">
        <w:r>
          <w:t xml:space="preserve">5</w:t>
        </w:r>
      </w:fldSimple>
      <w:r>
        <w:t xml:space="preserve"> — Состав проверок</w:t>
      </w:r>
    </w:p>
    <w:tbl>
      <w:tblPr>
        <w:tblW w:type="dxa" w:w="9355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4009"/>
        <w:gridCol w:w="1737"/>
        <w:gridCol w:w="1737"/>
        <w:gridCol w:w="1872"/>
      </w:tblGrid>
      <w:tr>
        <w:trPr>
          <w:cantSplit/>
          <w:tblHeader/>
        </w:trPr>
        <w:tc>
          <w:tcPr>
            <w:tcW w:type="dxa" w:w="4009"/>
          </w:tcPr>
          <w:p>
            <w:pPr>
              <w:pStyle w:val="TableHeader"/>
            </w:pPr>
            <w:r>
              <w:t xml:space="preserve">Наименование проверки</w:t>
            </w:r>
          </w:p>
        </w:tc>
        <w:tc>
          <w:tcPr>
            <w:tcW w:type="dxa" w:w="1737"/>
          </w:tcPr>
          <w:p>
            <w:pPr>
              <w:pStyle w:val="TableHeader"/>
            </w:pPr>
            <w:r>
              <w:t xml:space="preserve">Приёмо-сдаточные</w:t>
            </w:r>
          </w:p>
        </w:tc>
        <w:tc>
          <w:tcPr>
            <w:tcW w:type="dxa" w:w="1737"/>
          </w:tcPr>
          <w:p>
            <w:pPr>
              <w:pStyle w:val="TableHeader"/>
            </w:pPr>
            <w:r>
              <w:t xml:space="preserve">Периодические</w:t>
            </w:r>
          </w:p>
        </w:tc>
        <w:tc>
          <w:tcPr>
            <w:tcW w:type="dxa" w:w="1872"/>
          </w:tcPr>
          <w:p>
            <w:pPr>
              <w:pStyle w:val="TableHeader"/>
            </w:pPr>
            <w:r>
              <w:t xml:space="preserve">Пункт методов контроля</w:t>
            </w:r>
          </w:p>
        </w:tc>
      </w:tr>
      <w:tr>
        <w:trPr>
          <w:cantSplit/>
          <w:tblHeader w:val="false"/>
        </w:trPr>
        <w:tc>
          <w:tcPr>
            <w:tcW w:type="dxa" w:w="4009"/>
          </w:tcPr>
          <w:p>
            <w:pPr>
              <w:pStyle w:val="TableText"/>
            </w:pPr>
            <w:r>
              <w:t xml:space="preserve">Проверка комплектности</w:t>
            </w:r>
          </w:p>
        </w:tc>
        <w:tc>
          <w:tcPr>
            <w:tcW w:type="dxa" w:w="1737"/>
          </w:tcPr>
          <w:p>
            <w:pPr>
              <w:pStyle w:val="TableText"/>
            </w:pPr>
            <w:r>
              <w:t xml:space="preserve">Да</w:t>
            </w:r>
          </w:p>
        </w:tc>
        <w:tc>
          <w:tcPr>
            <w:tcW w:type="dxa" w:w="1737"/>
          </w:tcPr>
          <w:p>
            <w:pPr>
              <w:pStyle w:val="TableText"/>
            </w:pPr>
            <w:r>
              <w:t xml:space="preserve">Нет</w:t>
            </w:r>
          </w:p>
        </w:tc>
        <w:tc>
          <w:tcPr>
            <w:tcW w:type="dxa" w:w="1872"/>
          </w:tcPr>
          <w:p>
            <w:pPr>
              <w:pStyle w:val="TableText"/>
            </w:pPr>
            <w:r>
              <w:t xml:space="preserve">5.1</w:t>
            </w:r>
          </w:p>
        </w:tc>
      </w:tr>
      <w:tr>
        <w:trPr>
          <w:cantSplit/>
          <w:tblHeader w:val="false"/>
        </w:trPr>
        <w:tc>
          <w:tcPr>
            <w:tcW w:type="dxa" w:w="4009"/>
          </w:tcPr>
          <w:p>
            <w:pPr>
              <w:pStyle w:val="TableText"/>
            </w:pPr>
            <w:r>
              <w:t xml:space="preserve">Проверка функциональных характеристик</w:t>
            </w:r>
          </w:p>
        </w:tc>
        <w:tc>
          <w:tcPr>
            <w:tcW w:type="dxa" w:w="1737"/>
          </w:tcPr>
          <w:p>
            <w:pPr>
              <w:pStyle w:val="TableText"/>
            </w:pPr>
            <w:r>
              <w:t xml:space="preserve">Да</w:t>
            </w:r>
          </w:p>
        </w:tc>
        <w:tc>
          <w:tcPr>
            <w:tcW w:type="dxa" w:w="1737"/>
          </w:tcPr>
          <w:p>
            <w:pPr>
              <w:pStyle w:val="TableText"/>
            </w:pPr>
            <w:r>
              <w:t xml:space="preserve">Да</w:t>
            </w:r>
          </w:p>
        </w:tc>
        <w:tc>
          <w:tcPr>
            <w:tcW w:type="dxa" w:w="1872"/>
          </w:tcPr>
          <w:p>
            <w:pPr>
              <w:pStyle w:val="TableText"/>
            </w:pPr>
            <w:r>
              <w:t xml:space="preserve">5.2</w:t>
            </w:r>
          </w:p>
        </w:tc>
      </w:tr>
      <w:tr>
        <w:trPr>
          <w:cantSplit/>
          <w:tblHeader w:val="false"/>
        </w:trPr>
        <w:tc>
          <w:tcPr>
            <w:tcW w:type="dxa" w:w="4009"/>
          </w:tcPr>
          <w:p>
            <w:pPr>
              <w:pStyle w:val="TableText"/>
            </w:pPr>
            <w:r>
              <w:t xml:space="preserve">Проверка покрытия кода тестами</w:t>
            </w:r>
          </w:p>
        </w:tc>
        <w:tc>
          <w:tcPr>
            <w:tcW w:type="dxa" w:w="1737"/>
          </w:tcPr>
          <w:p>
            <w:pPr>
              <w:pStyle w:val="TableText"/>
            </w:pPr>
            <w:r>
              <w:t xml:space="preserve">Да</w:t>
            </w:r>
          </w:p>
        </w:tc>
        <w:tc>
          <w:tcPr>
            <w:tcW w:type="dxa" w:w="1737"/>
          </w:tcPr>
          <w:p>
            <w:pPr>
              <w:pStyle w:val="TableText"/>
            </w:pPr>
            <w:r>
              <w:t xml:space="preserve">Да</w:t>
            </w:r>
          </w:p>
        </w:tc>
        <w:tc>
          <w:tcPr>
            <w:tcW w:type="dxa" w:w="1872"/>
          </w:tcPr>
          <w:p>
            <w:pPr>
              <w:pStyle w:val="TableText"/>
            </w:pPr>
            <w:r>
              <w:t xml:space="preserve">5.3</w:t>
            </w:r>
          </w:p>
        </w:tc>
      </w:tr>
      <w:tr>
        <w:trPr>
          <w:cantSplit/>
          <w:tblHeader w:val="false"/>
        </w:trPr>
        <w:tc>
          <w:tcPr>
            <w:tcW w:type="dxa" w:w="4009"/>
          </w:tcPr>
          <w:p>
            <w:pPr>
              <w:pStyle w:val="TableText"/>
            </w:pPr>
            <w:r>
              <w:t xml:space="preserve">Проверка качества подбора обращений</w:t>
            </w:r>
          </w:p>
        </w:tc>
        <w:tc>
          <w:tcPr>
            <w:tcW w:type="dxa" w:w="1737"/>
          </w:tcPr>
          <w:p>
            <w:pPr>
              <w:pStyle w:val="TableText"/>
            </w:pPr>
            <w:r>
              <w:t xml:space="preserve">Да</w:t>
            </w:r>
          </w:p>
        </w:tc>
        <w:tc>
          <w:tcPr>
            <w:tcW w:type="dxa" w:w="1737"/>
          </w:tcPr>
          <w:p>
            <w:pPr>
              <w:pStyle w:val="TableText"/>
            </w:pPr>
            <w:r>
              <w:t xml:space="preserve">Да</w:t>
            </w:r>
          </w:p>
        </w:tc>
        <w:tc>
          <w:tcPr>
            <w:tcW w:type="dxa" w:w="1872"/>
          </w:tcPr>
          <w:p>
            <w:pPr>
              <w:pStyle w:val="TableText"/>
            </w:pPr>
            <w:r>
              <w:t xml:space="preserve">5.4</w:t>
            </w:r>
          </w:p>
        </w:tc>
      </w:tr>
      <w:tr>
        <w:trPr>
          <w:cantSplit/>
          <w:tblHeader w:val="false"/>
        </w:trPr>
        <w:tc>
          <w:tcPr>
            <w:tcW w:type="dxa" w:w="4009"/>
          </w:tcPr>
          <w:p>
            <w:pPr>
              <w:pStyle w:val="TableText"/>
            </w:pPr>
            <w:r>
              <w:t xml:space="preserve">Проверка характеристик производительности</w:t>
            </w:r>
          </w:p>
        </w:tc>
        <w:tc>
          <w:tcPr>
            <w:tcW w:type="dxa" w:w="1737"/>
          </w:tcPr>
          <w:p>
            <w:pPr>
              <w:pStyle w:val="TableText"/>
            </w:pPr>
            <w:r>
              <w:t xml:space="preserve">Да</w:t>
            </w:r>
          </w:p>
        </w:tc>
        <w:tc>
          <w:tcPr>
            <w:tcW w:type="dxa" w:w="1737"/>
          </w:tcPr>
          <w:p>
            <w:pPr>
              <w:pStyle w:val="TableText"/>
            </w:pPr>
            <w:r>
              <w:t xml:space="preserve">Нет</w:t>
            </w:r>
          </w:p>
        </w:tc>
        <w:tc>
          <w:tcPr>
            <w:tcW w:type="dxa" w:w="1872"/>
          </w:tcPr>
          <w:p>
            <w:pPr>
              <w:pStyle w:val="TableText"/>
            </w:pPr>
            <w:r>
              <w:t xml:space="preserve">5.5</w:t>
            </w:r>
          </w:p>
        </w:tc>
      </w:tr>
      <w:tr>
        <w:trPr>
          <w:cantSplit/>
          <w:tblHeader w:val="false"/>
        </w:trPr>
        <w:tc>
          <w:tcPr>
            <w:tcW w:type="dxa" w:w="4009"/>
          </w:tcPr>
          <w:p>
            <w:pPr>
              <w:pStyle w:val="TableText"/>
            </w:pPr>
            <w:r>
              <w:t xml:space="preserve">Проверка показателей качества кода</w:t>
            </w:r>
          </w:p>
        </w:tc>
        <w:tc>
          <w:tcPr>
            <w:tcW w:type="dxa" w:w="1737"/>
          </w:tcPr>
          <w:p>
            <w:pPr>
              <w:pStyle w:val="TableText"/>
            </w:pPr>
            <w:r>
              <w:t xml:space="preserve">Да</w:t>
            </w:r>
          </w:p>
        </w:tc>
        <w:tc>
          <w:tcPr>
            <w:tcW w:type="dxa" w:w="1737"/>
          </w:tcPr>
          <w:p>
            <w:pPr>
              <w:pStyle w:val="TableText"/>
            </w:pPr>
            <w:r>
              <w:t xml:space="preserve">Да</w:t>
            </w:r>
          </w:p>
        </w:tc>
        <w:tc>
          <w:tcPr>
            <w:tcW w:type="dxa" w:w="1872"/>
          </w:tcPr>
          <w:p>
            <w:pPr>
              <w:pStyle w:val="TableText"/>
            </w:pPr>
            <w:r>
              <w:t xml:space="preserve">5.6</w:t>
            </w:r>
          </w:p>
        </w:tc>
      </w:tr>
      <w:tr>
        <w:trPr>
          <w:cantSplit/>
          <w:tblHeader w:val="false"/>
        </w:trPr>
        <w:tc>
          <w:tcPr>
            <w:tcW w:type="dxa" w:w="4009"/>
          </w:tcPr>
          <w:p>
            <w:pPr>
              <w:pStyle w:val="TableText"/>
            </w:pPr>
            <w:r>
              <w:t xml:space="preserve">Проверка требований безопасности</w:t>
            </w:r>
          </w:p>
        </w:tc>
        <w:tc>
          <w:tcPr>
            <w:tcW w:type="dxa" w:w="1737"/>
          </w:tcPr>
          <w:p>
            <w:pPr>
              <w:pStyle w:val="TableText"/>
            </w:pPr>
            <w:r>
              <w:t xml:space="preserve">Да</w:t>
            </w:r>
          </w:p>
        </w:tc>
        <w:tc>
          <w:tcPr>
            <w:tcW w:type="dxa" w:w="1737"/>
          </w:tcPr>
          <w:p>
            <w:pPr>
              <w:pStyle w:val="TableText"/>
            </w:pPr>
            <w:r>
              <w:t xml:space="preserve">Нет</w:t>
            </w:r>
          </w:p>
        </w:tc>
        <w:tc>
          <w:tcPr>
            <w:tcW w:type="dxa" w:w="1872"/>
          </w:tcPr>
          <w:p>
            <w:pPr>
              <w:pStyle w:val="TableText"/>
            </w:pPr>
            <w:r>
              <w:t xml:space="preserve">5.7</w:t>
            </w:r>
          </w:p>
        </w:tc>
      </w:tr>
      <w:tr>
        <w:trPr>
          <w:cantSplit/>
          <w:tblHeader w:val="false"/>
        </w:trPr>
        <w:tc>
          <w:tcPr>
            <w:tcW w:type="dxa" w:w="4009"/>
          </w:tcPr>
          <w:p>
            <w:pPr>
              <w:pStyle w:val="TableText"/>
            </w:pPr>
            <w:r>
              <w:t xml:space="preserve">Проверка маркировки и упаковки</w:t>
            </w:r>
          </w:p>
        </w:tc>
        <w:tc>
          <w:tcPr>
            <w:tcW w:type="dxa" w:w="1737"/>
          </w:tcPr>
          <w:p>
            <w:pPr>
              <w:pStyle w:val="TableText"/>
            </w:pPr>
            <w:r>
              <w:t xml:space="preserve">Да</w:t>
            </w:r>
          </w:p>
        </w:tc>
        <w:tc>
          <w:tcPr>
            <w:tcW w:type="dxa" w:w="1737"/>
          </w:tcPr>
          <w:p>
            <w:pPr>
              <w:pStyle w:val="TableText"/>
            </w:pPr>
            <w:r>
              <w:t xml:space="preserve">Нет</w:t>
            </w:r>
          </w:p>
        </w:tc>
        <w:tc>
          <w:tcPr>
            <w:tcW w:type="dxa" w:w="1872"/>
          </w:tcPr>
          <w:p>
            <w:pPr>
              <w:pStyle w:val="TableText"/>
            </w:pPr>
            <w:r>
              <w:t xml:space="preserve">5.8</w:t>
            </w:r>
          </w:p>
        </w:tc>
      </w:tr>
    </w:tbl>
    <w:p>
      <w:pPr>
        <w:pStyle w:val="AfterTable"/>
      </w:pPr>
    </w:p>
    <w:p>
      <w:r>
        <w:rPr>
          <w:b w:val="false"/>
          <w:bCs w:val="false"/>
          <w:i w:val="false"/>
          <w:iCs w:val="false"/>
        </w:rPr>
        <w:t xml:space="preserve">Испытания проводятся на полном комплекте поставки. Выборочный контроль не применяется, поскольку изделие изготавливается в единственном экземпляре.</w:t>
      </w:r>
    </w:p>
    <w:p>
      <w:pPr>
        <w:pStyle w:val="Heading2"/>
      </w:pPr>
      <w:r>
        <w:t xml:space="preserve">4.3 Порядок проведения и оформления результатов</w:t>
      </w:r>
    </w:p>
    <w:p>
      <w:r>
        <w:rPr>
          <w:b w:val="false"/>
          <w:bCs w:val="false"/>
          <w:i w:val="false"/>
          <w:iCs w:val="false"/>
        </w:rPr>
        <w:t xml:space="preserve">Испытания проводит инженер по тестированию в присутствии представителя заказчика. Каждый этап защищает ответственный за него исполнитель.</w:t>
      </w:r>
    </w:p>
    <w:p>
      <w:r>
        <w:rPr>
          <w:b w:val="false"/>
          <w:bCs w:val="false"/>
          <w:i w:val="false"/>
          <w:iCs w:val="false"/>
        </w:rPr>
        <w:t xml:space="preserve">Результаты испытаний оформляются протоколом по форме приложения Б. Протокол содержит перечень проверок, фактически полученные значения, заключение о соответствии и перечень выявленных несоответствий.</w:t>
      </w:r>
    </w:p>
    <w:p>
      <w:pPr>
        <w:pStyle w:val="Heading2"/>
      </w:pPr>
      <w:r>
        <w:t xml:space="preserve">4.4 Порядок при отрицательных результатах</w:t>
      </w:r>
    </w:p>
    <w:p>
      <w:r>
        <w:rPr>
          <w:b w:val="false"/>
          <w:bCs w:val="false"/>
          <w:i w:val="false"/>
          <w:iCs w:val="false"/>
        </w:rPr>
        <w:t xml:space="preserve">Изделие считается не выдержавшим испытания, если хотя бы по одной проверке получен отрицательный результат. Выявленные несоответствия устраняются исполнителем, после чего проводятся повторные испытания в объёме проверок, по которым получен отрицательный результат, и проверок, на результат которых могли повлиять внесённые изменения.</w:t>
      </w:r>
    </w:p>
    <w:p>
      <w:r>
        <w:rPr>
          <w:b w:val="false"/>
          <w:bCs w:val="false"/>
          <w:i w:val="false"/>
          <w:iCs w:val="false"/>
        </w:rPr>
        <w:t xml:space="preserve">Повторные испытания допускается проводить не более двух раз. При отрицательном результате повторных испытаний вопрос о приёмке изделия решается заказчиком.</w:t>
      </w:r>
    </w:p>
    <w:p>
      <w:pPr>
        <w:pStyle w:val="Heading1"/>
      </w:pPr>
      <w:r>
        <w:t xml:space="preserve">5 Методы контроля</w:t>
      </w:r>
    </w:p>
    <w:p>
      <w:pPr>
        <w:pStyle w:val="Heading2"/>
      </w:pPr>
      <w:r>
        <w:t xml:space="preserve">5.1 Проверка комплектности</w:t>
      </w:r>
    </w:p>
    <w:p>
      <w:r>
        <w:rPr>
          <w:b w:val="false"/>
          <w:bCs w:val="false"/>
          <w:i w:val="false"/>
          <w:iCs w:val="false"/>
        </w:rPr>
        <w:t xml:space="preserve">Комплектность проверяют сличением фактического состава комплекта поставки с перечнем, приведённым в 1.3. Целостность дистрибутива проверяют сверкой контрольных сумм SHA-256 с файлом контрольных сумм.</w:t>
      </w:r>
    </w:p>
    <w:p>
      <w:pPr>
        <w:pStyle w:val="Heading2"/>
      </w:pPr>
      <w:r>
        <w:t xml:space="preserve">5.2 Проверка функциональных характеристик</w:t>
      </w:r>
    </w:p>
    <w:p>
      <w:r>
        <w:rPr>
          <w:b w:val="false"/>
          <w:bCs w:val="false"/>
          <w:i w:val="false"/>
          <w:iCs w:val="false"/>
        </w:rPr>
        <w:t xml:space="preserve">Функциональные характеристики проверяют выполнением тест-кейсов по программе и методике испытаний СПДО.001.51. Для каждой функции таблицы 1 выполняют не менее одной положительной и одной отрицательной проверки. Функция считается реализованной, если фактический результат совпал с ожидаемым во всех тест-кейсах, относящихся к этой функции.</w:t>
      </w:r>
    </w:p>
    <w:p>
      <w:r>
        <w:rPr>
          <w:b w:val="false"/>
          <w:bCs w:val="false"/>
          <w:i w:val="false"/>
          <w:iCs w:val="false"/>
        </w:rPr>
        <w:t xml:space="preserve">Для функций ТЗ.Ф7 и ТЗ.Ф12 дополнительно проверяют отклонение недопустимых операций: создание прямого и косвенного цикла связей «дубликат», недопустимый переход статуса, закрытие без решения и без комментария. Наличие сеанса поиска с версией модели проверяют по записи в базе данных для произвольной рекомендации.</w:t>
      </w:r>
    </w:p>
    <w:p>
      <w:r>
        <w:rPr>
          <w:b w:val="false"/>
          <w:bCs w:val="false"/>
          <w:i w:val="false"/>
          <w:iCs w:val="false"/>
        </w:rPr>
        <w:t xml:space="preserve">Дефекты, выявленные при проверке, регистрируют с указанием серьёзности по пятиуровневой шкале (блокирующий, критический, значительный, незначительный, тривиальный) и приоритета устранения.</w:t>
      </w:r>
    </w:p>
    <w:p>
      <w:pPr>
        <w:pStyle w:val="Heading2"/>
      </w:pPr>
      <w:r>
        <w:t xml:space="preserve">5.3 Проверка покрытия кода тестами</w:t>
      </w:r>
    </w:p>
    <w:p>
      <w:r>
        <w:rPr>
          <w:b w:val="false"/>
          <w:bCs w:val="false"/>
          <w:i w:val="false"/>
          <w:iCs w:val="false"/>
        </w:rPr>
        <w:t xml:space="preserve">Покрытие кода определяют запуском набора модульных тестов со сбором статистики покрытия. Фиксируют долю покрытых строк по проекту в целом. Результат считают положительным при значении не ниже нормы таблицы 4.</w:t>
      </w:r>
    </w:p>
    <w:p>
      <w:pPr>
        <w:pStyle w:val="Heading2"/>
      </w:pPr>
      <w:r>
        <w:t xml:space="preserve">5.4 Проверка качества подбора обращений</w:t>
      </w:r>
    </w:p>
    <w:p>
      <w:r>
        <w:rPr>
          <w:b w:val="false"/>
          <w:bCs w:val="false"/>
          <w:i w:val="false"/>
          <w:iCs w:val="false"/>
        </w:rPr>
        <w:t xml:space="preserve">Проверку выполняют на проверочной части эталонного набора обращений на русском языке, входящего в комплект поставки. Проверочная часть не используется при настройке порогов и весовых коэффициентов и не изменяется между релизами; её контрольная сумма фиксируется в протоколе. Порядок проверки:</w:t>
      </w:r>
    </w:p>
    <w:p>
      <w:pPr>
        <w:pStyle w:val="ListParagraph"/>
        <w:numPr>
          <w:ilvl w:val="0"/>
          <w:numId w:val="5"/>
        </w:numPr>
        <w:ind w:left="1134" w:hanging="425"/>
      </w:pPr>
      <w:r>
        <w:t xml:space="preserve">загружают полный эталонный набор в чистый экземпляр базы данных;</w:t>
      </w:r>
    </w:p>
    <w:p>
      <w:pPr>
        <w:pStyle w:val="ListParagraph"/>
        <w:numPr>
          <w:ilvl w:val="0"/>
          <w:numId w:val="5"/>
        </w:numPr>
        <w:ind w:left="1134" w:hanging="425"/>
      </w:pPr>
      <w:r>
        <w:t xml:space="preserve">для каждого обращения проверочной части формируют запрос на подбор похожих обращений;</w:t>
      </w:r>
    </w:p>
    <w:p>
      <w:pPr>
        <w:pStyle w:val="ListParagraph"/>
        <w:numPr>
          <w:ilvl w:val="0"/>
          <w:numId w:val="5"/>
        </w:numPr>
        <w:ind w:left="1134" w:hanging="425"/>
      </w:pPr>
      <w:r>
        <w:t xml:space="preserve">фиксируют позиции истинных дубликатов в выдаче;</w:t>
      </w:r>
    </w:p>
    <w:p>
      <w:pPr>
        <w:pStyle w:val="ListParagraph"/>
        <w:numPr>
          <w:ilvl w:val="0"/>
          <w:numId w:val="5"/>
        </w:numPr>
        <w:ind w:left="1134" w:hanging="425"/>
      </w:pPr>
      <w:r>
        <w:t xml:space="preserve">вычисляют recall@3 как долю обращений, для которых хотя бы один истинный дубликат попал в первые три позиции;</w:t>
      </w:r>
    </w:p>
    <w:p>
      <w:pPr>
        <w:pStyle w:val="ListParagraph"/>
        <w:numPr>
          <w:ilvl w:val="0"/>
          <w:numId w:val="5"/>
        </w:numPr>
        <w:ind w:left="1134" w:hanging="425"/>
      </w:pPr>
      <w:r>
        <w:t xml:space="preserve">сопоставляют полученное значение с нормой таблицы 2 и записывают в протокол вместе с режимом, версией модели и значениями параметров.</w:t>
      </w:r>
    </w:p>
    <w:p>
      <w:r>
        <w:rPr>
          <w:b w:val="false"/>
          <w:bCs w:val="false"/>
          <w:i w:val="false"/>
          <w:iCs w:val="false"/>
        </w:rPr>
        <w:t xml:space="preserve">Дополнительно допускается контрольная проверка алгоритма на открытых наборах данных с готовой разметкой дубликатов; результаты такой проверки носят справочный характер и в протокол приёмо-сдаточных испытаний не включаются.</w:t>
      </w:r>
    </w:p>
    <w:p>
      <w:pPr>
        <w:pStyle w:val="Heading2"/>
      </w:pPr>
      <w:r>
        <w:t xml:space="preserve">5.5 Проверка характеристик производительности</w:t>
      </w:r>
    </w:p>
    <w:p>
      <w:r>
        <w:rPr>
          <w:b w:val="false"/>
          <w:bCs w:val="false"/>
          <w:i w:val="false"/>
          <w:iCs w:val="false"/>
        </w:rPr>
        <w:t xml:space="preserve">Время отклика измеряют средствами профилирования браузера и журналами серверной части не менее чем на 20 последовательных операциях каждого вида; за результат принимают 95-й процентиль.</w:t>
      </w:r>
    </w:p>
    <w:p>
      <w:r>
        <w:rPr>
          <w:b w:val="false"/>
          <w:bCs w:val="false"/>
          <w:i w:val="false"/>
          <w:iCs w:val="false"/>
        </w:rPr>
        <w:t xml:space="preserve">Нагрузочное тестирование проводят инструментом нагрузочного тестирования HTTP при числе одновременных соединений не менее 10 и продолжительности не менее 30 с. Фиксируют среднее и максимальное время отклика, число запросов в секунду и число ошибочных ответов.</w:t>
      </w:r>
    </w:p>
    <w:p>
      <w:r>
        <w:rPr>
          <w:b w:val="false"/>
          <w:bCs w:val="false"/>
          <w:i w:val="false"/>
          <w:iCs w:val="false"/>
        </w:rPr>
        <w:t xml:space="preserve">Объём занимаемых ресурсов определяют штатными средствами операционной системы при работе изделия с загруженным демонстрационным набором данных.</w:t>
      </w:r>
    </w:p>
    <w:p>
      <w:pPr>
        <w:pStyle w:val="Heading2"/>
      </w:pPr>
      <w:r>
        <w:t xml:space="preserve">5.6 Проверка показателей качества кода</w:t>
      </w:r>
    </w:p>
    <w:p>
      <w:r>
        <w:rPr>
          <w:b w:val="false"/>
          <w:bCs w:val="false"/>
          <w:i w:val="false"/>
          <w:iCs w:val="false"/>
        </w:rPr>
        <w:t xml:space="preserve">Показатели качества кода определяют средствами статического анализа. Фиксируют цикломатическую сложность функций, индекс сопровождаемости модулей и объём исходного кода. Результат считают положительным, если ни одна функция и ни один модуль не выходят за нормы таблицы 4.</w:t>
      </w:r>
    </w:p>
    <w:p>
      <w:pPr>
        <w:pStyle w:val="Heading2"/>
      </w:pPr>
      <w:r>
        <w:t xml:space="preserve">5.7 Проверка требований безопасности</w:t>
      </w:r>
    </w:p>
    <w:p>
      <w:pPr>
        <w:pStyle w:val="ListParagraph"/>
        <w:numPr>
          <w:ilvl w:val="0"/>
          <w:numId w:val="2"/>
        </w:numPr>
        <w:ind w:left="709" w:hanging="360"/>
      </w:pPr>
      <w:r>
        <w:t xml:space="preserve">проверяют недоступность функций оператора и администратора без аутентификации;</w:t>
      </w:r>
    </w:p>
    <w:p>
      <w:pPr>
        <w:pStyle w:val="ListParagraph"/>
        <w:numPr>
          <w:ilvl w:val="0"/>
          <w:numId w:val="2"/>
        </w:numPr>
        <w:ind w:left="709" w:hanging="360"/>
      </w:pPr>
      <w:r>
        <w:t xml:space="preserve">проверяют отсутствие паролей в открытом виде в базе данных и в журналах;</w:t>
      </w:r>
    </w:p>
    <w:p>
      <w:pPr>
        <w:pStyle w:val="ListParagraph"/>
        <w:numPr>
          <w:ilvl w:val="0"/>
          <w:numId w:val="2"/>
        </w:numPr>
        <w:ind w:left="709" w:hanging="360"/>
      </w:pPr>
      <w:r>
        <w:t xml:space="preserve">проверяют разграничение прав путём попытки выполнения операций от имени роли с недостаточными правами;</w:t>
      </w:r>
    </w:p>
    <w:p>
      <w:pPr>
        <w:pStyle w:val="ListParagraph"/>
        <w:numPr>
          <w:ilvl w:val="0"/>
          <w:numId w:val="2"/>
        </w:numPr>
        <w:ind w:left="709" w:hanging="360"/>
      </w:pPr>
      <w:r>
        <w:t xml:space="preserve">проверяют наличие записей журнала при установлении и отклонении связей;</w:t>
      </w:r>
    </w:p>
    <w:p>
      <w:pPr>
        <w:pStyle w:val="ListParagraph"/>
        <w:numPr>
          <w:ilvl w:val="0"/>
          <w:numId w:val="2"/>
        </w:numPr>
        <w:ind w:left="709" w:hanging="360"/>
      </w:pPr>
      <w:r>
        <w:t xml:space="preserve">состав применяемых компонентов сторонней разработки сверяют с приложением А и проверяют средствами контроля известных уязвимостей зависимостей.</w:t>
      </w:r>
    </w:p>
    <w:p>
      <w:pPr>
        <w:pStyle w:val="Heading2"/>
      </w:pPr>
      <w:r>
        <w:t xml:space="preserve">5.8 Проверка маркировки и упаковки</w:t>
      </w:r>
    </w:p>
    <w:p>
      <w:r>
        <w:rPr>
          <w:b w:val="false"/>
          <w:bCs w:val="false"/>
          <w:i w:val="false"/>
          <w:iCs w:val="false"/>
        </w:rPr>
        <w:t xml:space="preserve">Маркировку проверяют визуально в файле описания проекта, в интерфейсе изделия и в наименовании архива дистрибутива. Упаковку проверяют распаковкой архива дистрибутива на контрольной машине с последующим развёртыванием изделия по инструкции руководства системного программиста.</w:t>
      </w:r>
    </w:p>
    <w:p>
      <w:pPr>
        <w:pStyle w:val="Heading1"/>
      </w:pPr>
      <w:r>
        <w:t xml:space="preserve">6 Транспортирование и хранение</w:t>
      </w:r>
    </w:p>
    <w:p>
      <w:r>
        <w:rPr>
          <w:b w:val="false"/>
          <w:bCs w:val="false"/>
          <w:i w:val="false"/>
          <w:iCs w:val="false"/>
        </w:rPr>
        <w:t xml:space="preserve">Транспортирование изделия выполняется по каналам связи в виде архива дистрибутива или образа контейнера. Транспортирование на физических носителях не предусматривается; при необходимости такой передачи носитель должен быть защищён от механических повреждений и воздействия влаги.</w:t>
      </w:r>
    </w:p>
    <w:p>
      <w:r>
        <w:rPr>
          <w:b w:val="false"/>
          <w:bCs w:val="false"/>
          <w:i w:val="false"/>
          <w:iCs w:val="false"/>
        </w:rPr>
        <w:t xml:space="preserve">Хранение исходного кода, документации и демонстрационного набора данных выполняется в удалённом репозитории системы контроля версий. Резервное копирование базы данных выполняется не реже одного раза в сутки с сохранением не менее семи последних копий.</w:t>
      </w:r>
    </w:p>
    <w:p>
      <w:r>
        <w:rPr>
          <w:b w:val="false"/>
          <w:bCs w:val="false"/>
          <w:i w:val="false"/>
          <w:iCs w:val="false"/>
        </w:rPr>
        <w:t xml:space="preserve">Срок хранения комплекта поставки не ограничен при условии сохранности носителей и доступности репозитория. Целостность хранимого дистрибутива контролируется сверкой контрольных сумм не реже одного раза в квартал.</w:t>
      </w:r>
    </w:p>
    <w:p>
      <w:pPr>
        <w:pStyle w:val="Heading1"/>
      </w:pPr>
      <w:r>
        <w:t xml:space="preserve">7 Указания по эксплуатации</w:t>
      </w:r>
    </w:p>
    <w:p>
      <w:pPr>
        <w:pStyle w:val="Heading2"/>
      </w:pPr>
      <w:r>
        <w:t xml:space="preserve">7.1 Развёртывание</w:t>
      </w:r>
    </w:p>
    <w:p>
      <w:r>
        <w:rPr>
          <w:b w:val="false"/>
          <w:bCs w:val="false"/>
          <w:i w:val="false"/>
          <w:iCs w:val="false"/>
        </w:rPr>
        <w:t xml:space="preserve">Развёртывание изделия выполняется в соответствии с руководством системного программиста СПДО.001.32 и включает подготовку сервера, развёртывание контейнеров, инициализацию базы данных и справочников, загрузку модели векторного представления и проверку работоспособности по контрольному сценарию.</w:t>
      </w:r>
    </w:p>
    <w:p>
      <w:pPr>
        <w:pStyle w:val="Heading2"/>
      </w:pPr>
      <w:r>
        <w:t xml:space="preserve">7.2 Требования к персоналу</w:t>
      </w:r>
    </w:p>
    <w:p>
      <w:r>
        <w:rPr>
          <w:b w:val="false"/>
          <w:bCs w:val="false"/>
          <w:i w:val="false"/>
          <w:iCs w:val="false"/>
        </w:rPr>
        <w:t xml:space="preserve">Эксплуатацию обеспечивают оператор технической поддержки и администратор. Совмещение ролей допускается. Специальная подготовка пользователей не требуется.</w:t>
      </w:r>
    </w:p>
    <w:p>
      <w:pPr>
        <w:pStyle w:val="Heading2"/>
      </w:pPr>
      <w:r>
        <w:t xml:space="preserve">7.3 Регламент технического обслуживания</w:t>
      </w:r>
    </w:p>
    <w:p>
      <w:pPr>
        <w:pStyle w:val="ListParagraph"/>
        <w:numPr>
          <w:ilvl w:val="0"/>
          <w:numId w:val="2"/>
        </w:numPr>
        <w:ind w:left="709" w:hanging="360"/>
      </w:pPr>
      <w:r>
        <w:t xml:space="preserve">ежесуточно — резервное копирование базы данных;</w:t>
      </w:r>
    </w:p>
    <w:p>
      <w:pPr>
        <w:pStyle w:val="ListParagraph"/>
        <w:numPr>
          <w:ilvl w:val="0"/>
          <w:numId w:val="2"/>
        </w:numPr>
        <w:ind w:left="709" w:hanging="360"/>
      </w:pPr>
      <w:r>
        <w:t xml:space="preserve">еженедельно — просмотр статистики качества рекомендаций и при необходимости корректировка порога сходства;</w:t>
      </w:r>
    </w:p>
    <w:p>
      <w:pPr>
        <w:pStyle w:val="ListParagraph"/>
        <w:numPr>
          <w:ilvl w:val="0"/>
          <w:numId w:val="2"/>
        </w:numPr>
        <w:ind w:left="709" w:hanging="360"/>
      </w:pPr>
      <w:r>
        <w:t xml:space="preserve">ежемесячно — актуализация справочников категорий и компонентов;</w:t>
      </w:r>
    </w:p>
    <w:p>
      <w:pPr>
        <w:pStyle w:val="ListParagraph"/>
        <w:numPr>
          <w:ilvl w:val="0"/>
          <w:numId w:val="2"/>
        </w:numPr>
        <w:ind w:left="709" w:hanging="360"/>
      </w:pPr>
      <w:r>
        <w:t xml:space="preserve">при замене модели векторного представления или изменении весов и порогов — повторное построение поискового индекса с последующим повторным измерением recall@3 по 5.4 и фиксацией результата.</w:t>
      </w:r>
    </w:p>
    <w:p>
      <w:pPr>
        <w:pStyle w:val="Heading2"/>
      </w:pPr>
      <w:r>
        <w:t xml:space="preserve">7.4 Ограничения применения</w:t>
      </w:r>
    </w:p>
    <w:p>
      <w:pPr>
        <w:pStyle w:val="ListParagraph"/>
        <w:numPr>
          <w:ilvl w:val="0"/>
          <w:numId w:val="2"/>
        </w:numPr>
        <w:ind w:left="709" w:hanging="360"/>
      </w:pPr>
      <w:r>
        <w:t xml:space="preserve">изделие рассчитано на обращения на русском языке; качество подбора на обращениях на других языках не нормируется;</w:t>
      </w:r>
    </w:p>
    <w:p>
      <w:pPr>
        <w:pStyle w:val="ListParagraph"/>
        <w:numPr>
          <w:ilvl w:val="0"/>
          <w:numId w:val="2"/>
        </w:numPr>
        <w:ind w:left="709" w:hanging="360"/>
      </w:pPr>
      <w:r>
        <w:t xml:space="preserve">изделие не предназначено для замены системы управления задачами и не содержит средств планирования работ, учёта трудозатрат и управления спринтами;</w:t>
      </w:r>
    </w:p>
    <w:p>
      <w:pPr>
        <w:pStyle w:val="ListParagraph"/>
        <w:numPr>
          <w:ilvl w:val="0"/>
          <w:numId w:val="2"/>
        </w:numPr>
        <w:ind w:left="709" w:hanging="360"/>
      </w:pPr>
      <w:r>
        <w:t xml:space="preserve">изделие не принимает решения о связывании обращений без подтверждения оператора;</w:t>
      </w:r>
    </w:p>
    <w:p>
      <w:pPr>
        <w:pStyle w:val="ListParagraph"/>
        <w:numPr>
          <w:ilvl w:val="0"/>
          <w:numId w:val="2"/>
        </w:numPr>
        <w:ind w:left="709" w:hanging="360"/>
      </w:pPr>
      <w:r>
        <w:t xml:space="preserve">нормы показателей качества подбора установлены для реестра объёмом до 10 000 обращений;</w:t>
      </w:r>
    </w:p>
    <w:p>
      <w:pPr>
        <w:pStyle w:val="ListParagraph"/>
        <w:numPr>
          <w:ilvl w:val="0"/>
          <w:numId w:val="2"/>
        </w:numPr>
        <w:ind w:left="709" w:hanging="360"/>
      </w:pPr>
      <w:r>
        <w:t xml:space="preserve">в первой версии не поддерживаются: мобильное приложение, интеграция с электронной почтой, мессенджерами и внешними helpdesk-системами, обработка голосовых обращений, генерация ответов языковыми моделями, автоматическое дообучение модели на пользовательских данных.</w:t>
      </w:r>
    </w:p>
    <w:p>
      <w:pPr>
        <w:pStyle w:val="Heading1"/>
      </w:pPr>
      <w:r>
        <w:t xml:space="preserve">8 Гарантии изготовителя</w:t>
      </w:r>
    </w:p>
    <w:p>
      <w:r>
        <w:rPr>
          <w:b w:val="false"/>
          <w:bCs w:val="false"/>
          <w:i w:val="false"/>
          <w:iCs w:val="false"/>
        </w:rPr>
        <w:t xml:space="preserve">Исполнитель гарантирует соответствие изделия требованиям настоящих технических условий при соблюдении условий эксплуатации, транспортирования и хранения, установленных разделами 6 и 7.</w:t>
      </w:r>
    </w:p>
    <w:p>
      <w:r>
        <w:rPr>
          <w:b w:val="false"/>
          <w:bCs w:val="false"/>
          <w:i w:val="false"/>
          <w:iCs w:val="false"/>
        </w:rPr>
        <w:t xml:space="preserve">Гарантийный срок эксплуатации — 3 месяца со дня подписания протокола приёмо-сдаточных испытаний.</w:t>
      </w:r>
    </w:p>
    <w:p>
      <w:r>
        <w:rPr>
          <w:b w:val="false"/>
          <w:bCs w:val="false"/>
          <w:i w:val="false"/>
          <w:iCs w:val="false"/>
        </w:rPr>
        <w:t xml:space="preserve">В течение гарантийного срока исполнитель устраняет за свой счёт дефекты, выявленные при эксплуатации изделия и подтверждённые воспроизведением на контрольном стенде. Срок устранения дефекта уровня «блокирующий» и «критический» — не более 5 рабочих дней, прочих дефектов — по согласованию с заказчиком.</w:t>
      </w:r>
    </w:p>
    <w:p>
      <w:r>
        <w:rPr>
          <w:b w:val="false"/>
          <w:bCs w:val="false"/>
          <w:i w:val="false"/>
          <w:iCs w:val="false"/>
        </w:rPr>
        <w:t xml:space="preserve">Гарантия не распространяется на случаи:</w:t>
      </w:r>
    </w:p>
    <w:p>
      <w:pPr>
        <w:pStyle w:val="ListParagraph"/>
        <w:numPr>
          <w:ilvl w:val="0"/>
          <w:numId w:val="2"/>
        </w:numPr>
        <w:ind w:left="709" w:hanging="360"/>
      </w:pPr>
      <w:r>
        <w:t xml:space="preserve">внесения в исходный код изменений без согласования с исполнителем;</w:t>
      </w:r>
    </w:p>
    <w:p>
      <w:pPr>
        <w:pStyle w:val="ListParagraph"/>
        <w:numPr>
          <w:ilvl w:val="0"/>
          <w:numId w:val="2"/>
        </w:numPr>
        <w:ind w:left="709" w:hanging="360"/>
      </w:pPr>
      <w:r>
        <w:t xml:space="preserve">замены применяемых компонентов сторонней разработки или модели векторного представления без последующего повторного контроля по 5.4;</w:t>
      </w:r>
    </w:p>
    <w:p>
      <w:pPr>
        <w:pStyle w:val="ListParagraph"/>
        <w:numPr>
          <w:ilvl w:val="0"/>
          <w:numId w:val="2"/>
        </w:numPr>
        <w:ind w:left="709" w:hanging="360"/>
      </w:pPr>
      <w:r>
        <w:t xml:space="preserve">эксплуатации изделия на технических средствах, не соответствующих минимальной конфигурации;</w:t>
      </w:r>
    </w:p>
    <w:p>
      <w:pPr>
        <w:pStyle w:val="ListParagraph"/>
        <w:numPr>
          <w:ilvl w:val="0"/>
          <w:numId w:val="2"/>
        </w:numPr>
        <w:ind w:left="709" w:hanging="360"/>
      </w:pPr>
      <w:r>
        <w:t xml:space="preserve">нарушения регламента технического обслуживания, установленного в 7.3.</w:t>
      </w:r>
    </w:p>
    <w:p>
      <w:pPr>
        <w:pStyle w:val="Heading1"/>
      </w:pPr>
      <w:r>
        <w:br w:type="page"/>
      </w:r>
      <w:r>
        <w:t xml:space="preserve">Приложение А (обязательное) Перечень применяемых компонентов сторонней разработки</w:t>
      </w:r>
    </w:p>
    <w:p>
      <w:pPr>
        <w:pStyle w:val="Caption"/>
      </w:pPr>
      <w:r>
        <w:t xml:space="preserve">Таблица А.1 — Компоненты сторонней разработки</w:t>
      </w:r>
    </w:p>
    <w:tbl>
      <w:tblPr>
        <w:tblW w:type="dxa" w:w="9355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2988"/>
        <w:gridCol w:w="2599"/>
        <w:gridCol w:w="1949"/>
        <w:gridCol w:w="1819"/>
      </w:tblGrid>
      <w:tr>
        <w:trPr>
          <w:cantSplit/>
          <w:tblHeader/>
        </w:trPr>
        <w:tc>
          <w:tcPr>
            <w:tcW w:type="dxa" w:w="2988"/>
          </w:tcPr>
          <w:p>
            <w:pPr>
              <w:pStyle w:val="TableHeader"/>
            </w:pPr>
            <w:r>
              <w:t xml:space="preserve">Наименование</w:t>
            </w:r>
          </w:p>
        </w:tc>
        <w:tc>
          <w:tcPr>
            <w:tcW w:type="dxa" w:w="2599"/>
          </w:tcPr>
          <w:p>
            <w:pPr>
              <w:pStyle w:val="TableHeader"/>
            </w:pPr>
            <w:r>
              <w:t xml:space="preserve">Назначение</w:t>
            </w:r>
          </w:p>
        </w:tc>
        <w:tc>
          <w:tcPr>
            <w:tcW w:type="dxa" w:w="1949"/>
          </w:tcPr>
          <w:p>
            <w:pPr>
              <w:pStyle w:val="TableHeader"/>
            </w:pPr>
            <w:r>
              <w:t xml:space="preserve">Версия</w:t>
            </w:r>
          </w:p>
        </w:tc>
        <w:tc>
          <w:tcPr>
            <w:tcW w:type="dxa" w:w="1819"/>
          </w:tcPr>
          <w:p>
            <w:pPr>
              <w:pStyle w:val="TableHeader"/>
            </w:pPr>
            <w:r>
              <w:t xml:space="preserve">Условия распространения</w:t>
            </w:r>
          </w:p>
        </w:tc>
      </w:tr>
      <w:tr>
        <w:trPr>
          <w:cantSplit/>
          <w:tblHeader w:val="false"/>
        </w:trPr>
        <w:tc>
          <w:tcPr>
            <w:tcW w:type="dxa" w:w="2988"/>
          </w:tcPr>
          <w:p>
            <w:pPr>
              <w:pStyle w:val="TableText"/>
            </w:pPr>
            <w:r>
              <w:t xml:space="preserve">Python</w:t>
            </w:r>
          </w:p>
        </w:tc>
        <w:tc>
          <w:tcPr>
            <w:tcW w:type="dxa" w:w="2599"/>
          </w:tcPr>
          <w:p>
            <w:pPr>
              <w:pStyle w:val="TableText"/>
            </w:pPr>
            <w:r>
              <w:t xml:space="preserve">Язык программирования серверной части</w:t>
            </w:r>
          </w:p>
        </w:tc>
        <w:tc>
          <w:tcPr>
            <w:tcW w:type="dxa" w:w="1949"/>
          </w:tcPr>
          <w:p>
            <w:pPr>
              <w:pStyle w:val="TableText"/>
            </w:pPr>
            <w:r>
              <w:t xml:space="preserve">3.11 и выше</w:t>
            </w:r>
          </w:p>
        </w:tc>
        <w:tc>
          <w:tcPr>
            <w:tcW w:type="dxa" w:w="1819"/>
          </w:tcPr>
          <w:p>
            <w:pPr>
              <w:pStyle w:val="TableText"/>
            </w:pPr>
            <w:r>
              <w:t xml:space="preserve">PSF License</w:t>
            </w:r>
          </w:p>
        </w:tc>
      </w:tr>
      <w:tr>
        <w:trPr>
          <w:cantSplit/>
          <w:tblHeader w:val="false"/>
        </w:trPr>
        <w:tc>
          <w:tcPr>
            <w:tcW w:type="dxa" w:w="2988"/>
          </w:tcPr>
          <w:p>
            <w:pPr>
              <w:pStyle w:val="TableText"/>
            </w:pPr>
            <w:r>
              <w:t xml:space="preserve">FastAPI</w:t>
            </w:r>
          </w:p>
        </w:tc>
        <w:tc>
          <w:tcPr>
            <w:tcW w:type="dxa" w:w="2599"/>
          </w:tcPr>
          <w:p>
            <w:pPr>
              <w:pStyle w:val="TableText"/>
            </w:pPr>
            <w:r>
              <w:t xml:space="preserve">Каркас серверной части</w:t>
            </w:r>
          </w:p>
        </w:tc>
        <w:tc>
          <w:tcPr>
            <w:tcW w:type="dxa" w:w="1949"/>
          </w:tcPr>
          <w:p>
            <w:pPr>
              <w:pStyle w:val="TableText"/>
            </w:pPr>
            <w:r>
              <w:t xml:space="preserve">актуальная</w:t>
            </w:r>
          </w:p>
        </w:tc>
        <w:tc>
          <w:tcPr>
            <w:tcW w:type="dxa" w:w="1819"/>
          </w:tcPr>
          <w:p>
            <w:pPr>
              <w:pStyle w:val="TableText"/>
            </w:pPr>
            <w:r>
              <w:t xml:space="preserve">MIT</w:t>
            </w:r>
          </w:p>
        </w:tc>
      </w:tr>
      <w:tr>
        <w:trPr>
          <w:cantSplit/>
          <w:tblHeader w:val="false"/>
        </w:trPr>
        <w:tc>
          <w:tcPr>
            <w:tcW w:type="dxa" w:w="2988"/>
          </w:tcPr>
          <w:p>
            <w:pPr>
              <w:pStyle w:val="TableText"/>
            </w:pPr>
            <w:r>
              <w:t xml:space="preserve">PostgreSQL</w:t>
            </w:r>
          </w:p>
        </w:tc>
        <w:tc>
          <w:tcPr>
            <w:tcW w:type="dxa" w:w="2599"/>
          </w:tcPr>
          <w:p>
            <w:pPr>
              <w:pStyle w:val="TableText"/>
            </w:pPr>
            <w:r>
              <w:t xml:space="preserve">Система управления базами данных</w:t>
            </w:r>
          </w:p>
        </w:tc>
        <w:tc>
          <w:tcPr>
            <w:tcW w:type="dxa" w:w="1949"/>
          </w:tcPr>
          <w:p>
            <w:pPr>
              <w:pStyle w:val="TableText"/>
            </w:pPr>
            <w:r>
              <w:t xml:space="preserve">16</w:t>
            </w:r>
          </w:p>
        </w:tc>
        <w:tc>
          <w:tcPr>
            <w:tcW w:type="dxa" w:w="1819"/>
          </w:tcPr>
          <w:p>
            <w:pPr>
              <w:pStyle w:val="TableText"/>
            </w:pPr>
            <w:r>
              <w:t xml:space="preserve">PostgreSQL License</w:t>
            </w:r>
          </w:p>
        </w:tc>
      </w:tr>
      <w:tr>
        <w:trPr>
          <w:cantSplit/>
          <w:tblHeader w:val="false"/>
        </w:trPr>
        <w:tc>
          <w:tcPr>
            <w:tcW w:type="dxa" w:w="2988"/>
          </w:tcPr>
          <w:p>
            <w:pPr>
              <w:pStyle w:val="TableText"/>
            </w:pPr>
            <w:r>
              <w:t xml:space="preserve">pgvector</w:t>
            </w:r>
          </w:p>
        </w:tc>
        <w:tc>
          <w:tcPr>
            <w:tcW w:type="dxa" w:w="2599"/>
          </w:tcPr>
          <w:p>
            <w:pPr>
              <w:pStyle w:val="TableText"/>
            </w:pPr>
            <w:r>
              <w:t xml:space="preserve">Хранение и поиск векторных представлений</w:t>
            </w:r>
          </w:p>
        </w:tc>
        <w:tc>
          <w:tcPr>
            <w:tcW w:type="dxa" w:w="1949"/>
          </w:tcPr>
          <w:p>
            <w:pPr>
              <w:pStyle w:val="TableText"/>
            </w:pPr>
            <w:r>
              <w:t xml:space="preserve">актуальная</w:t>
            </w:r>
          </w:p>
        </w:tc>
        <w:tc>
          <w:tcPr>
            <w:tcW w:type="dxa" w:w="1819"/>
          </w:tcPr>
          <w:p>
            <w:pPr>
              <w:pStyle w:val="TableText"/>
            </w:pPr>
            <w:r>
              <w:t xml:space="preserve">PostgreSQL License</w:t>
            </w:r>
          </w:p>
        </w:tc>
      </w:tr>
      <w:tr>
        <w:trPr>
          <w:cantSplit/>
          <w:tblHeader w:val="false"/>
        </w:trPr>
        <w:tc>
          <w:tcPr>
            <w:tcW w:type="dxa" w:w="2988"/>
          </w:tcPr>
          <w:p>
            <w:pPr>
              <w:pStyle w:val="TableText"/>
            </w:pPr>
            <w:r>
              <w:t xml:space="preserve">sentence-transformers</w:t>
            </w:r>
          </w:p>
        </w:tc>
        <w:tc>
          <w:tcPr>
            <w:tcW w:type="dxa" w:w="2599"/>
          </w:tcPr>
          <w:p>
            <w:pPr>
              <w:pStyle w:val="TableText"/>
            </w:pPr>
            <w:r>
              <w:t xml:space="preserve">Вычисление векторных представлений текста</w:t>
            </w:r>
          </w:p>
        </w:tc>
        <w:tc>
          <w:tcPr>
            <w:tcW w:type="dxa" w:w="1949"/>
          </w:tcPr>
          <w:p>
            <w:pPr>
              <w:pStyle w:val="TableText"/>
            </w:pPr>
            <w:r>
              <w:t xml:space="preserve">актуальная</w:t>
            </w:r>
          </w:p>
        </w:tc>
        <w:tc>
          <w:tcPr>
            <w:tcW w:type="dxa" w:w="1819"/>
          </w:tcPr>
          <w:p>
            <w:pPr>
              <w:pStyle w:val="TableText"/>
            </w:pPr>
            <w:r>
              <w:t xml:space="preserve">Apache 2.0</w:t>
            </w:r>
          </w:p>
        </w:tc>
      </w:tr>
      <w:tr>
        <w:trPr>
          <w:cantSplit/>
          <w:tblHeader w:val="false"/>
        </w:trPr>
        <w:tc>
          <w:tcPr>
            <w:tcW w:type="dxa" w:w="2988"/>
          </w:tcPr>
          <w:p>
            <w:pPr>
              <w:pStyle w:val="TableText"/>
            </w:pPr>
            <w:r>
              <w:t xml:space="preserve">Модель векторного представления</w:t>
            </w:r>
          </w:p>
        </w:tc>
        <w:tc>
          <w:tcPr>
            <w:tcW w:type="dxa" w:w="2599"/>
          </w:tcPr>
          <w:p>
            <w:pPr>
              <w:pStyle w:val="TableText"/>
            </w:pPr>
            <w:r>
              <w:t xml:space="preserve">Векторизация текста обращений</w:t>
            </w:r>
          </w:p>
        </w:tc>
        <w:tc>
          <w:tcPr>
            <w:tcW w:type="dxa" w:w="1949"/>
          </w:tcPr>
          <w:p>
            <w:pPr>
              <w:pStyle w:val="TableText"/>
            </w:pPr>
            <w:r>
              <w:t xml:space="preserve">по выбору исполнителя</w:t>
            </w:r>
          </w:p>
        </w:tc>
        <w:tc>
          <w:tcPr>
            <w:tcW w:type="dxa" w:w="1819"/>
          </w:tcPr>
          <w:p>
            <w:pPr>
              <w:pStyle w:val="TableText"/>
            </w:pPr>
            <w:r>
              <w:t xml:space="preserve">свободная лицензия, указывается в паспорте сборки</w:t>
            </w:r>
          </w:p>
        </w:tc>
      </w:tr>
      <w:tr>
        <w:trPr>
          <w:cantSplit/>
          <w:tblHeader w:val="false"/>
        </w:trPr>
        <w:tc>
          <w:tcPr>
            <w:tcW w:type="dxa" w:w="2988"/>
          </w:tcPr>
          <w:p>
            <w:pPr>
              <w:pStyle w:val="TableText"/>
            </w:pPr>
            <w:r>
              <w:t xml:space="preserve">Docker, Docker Compose</w:t>
            </w:r>
          </w:p>
        </w:tc>
        <w:tc>
          <w:tcPr>
            <w:tcW w:type="dxa" w:w="2599"/>
          </w:tcPr>
          <w:p>
            <w:pPr>
              <w:pStyle w:val="TableText"/>
            </w:pPr>
            <w:r>
              <w:t xml:space="preserve">Контейнеризация и развёртывание</w:t>
            </w:r>
          </w:p>
        </w:tc>
        <w:tc>
          <w:tcPr>
            <w:tcW w:type="dxa" w:w="1949"/>
          </w:tcPr>
          <w:p>
            <w:pPr>
              <w:pStyle w:val="TableText"/>
            </w:pPr>
            <w:r>
              <w:t xml:space="preserve">актуальная</w:t>
            </w:r>
          </w:p>
        </w:tc>
        <w:tc>
          <w:tcPr>
            <w:tcW w:type="dxa" w:w="1819"/>
          </w:tcPr>
          <w:p>
            <w:pPr>
              <w:pStyle w:val="TableText"/>
            </w:pPr>
            <w:r>
              <w:t xml:space="preserve">Apache 2.0</w:t>
            </w:r>
          </w:p>
        </w:tc>
      </w:tr>
      <w:tr>
        <w:trPr>
          <w:cantSplit/>
          <w:tblHeader w:val="false"/>
        </w:trPr>
        <w:tc>
          <w:tcPr>
            <w:tcW w:type="dxa" w:w="2988"/>
          </w:tcPr>
          <w:p>
            <w:pPr>
              <w:pStyle w:val="TableText"/>
            </w:pPr>
            <w:r>
              <w:t xml:space="preserve">pytest, pytest-cov</w:t>
            </w:r>
          </w:p>
        </w:tc>
        <w:tc>
          <w:tcPr>
            <w:tcW w:type="dxa" w:w="2599"/>
          </w:tcPr>
          <w:p>
            <w:pPr>
              <w:pStyle w:val="TableText"/>
            </w:pPr>
            <w:r>
              <w:t xml:space="preserve">Модульное тестирование, покрытие кода</w:t>
            </w:r>
          </w:p>
        </w:tc>
        <w:tc>
          <w:tcPr>
            <w:tcW w:type="dxa" w:w="1949"/>
          </w:tcPr>
          <w:p>
            <w:pPr>
              <w:pStyle w:val="TableText"/>
            </w:pPr>
            <w:r>
              <w:t xml:space="preserve">актуальная</w:t>
            </w:r>
          </w:p>
        </w:tc>
        <w:tc>
          <w:tcPr>
            <w:tcW w:type="dxa" w:w="1819"/>
          </w:tcPr>
          <w:p>
            <w:pPr>
              <w:pStyle w:val="TableText"/>
            </w:pPr>
            <w:r>
              <w:t xml:space="preserve">MIT</w:t>
            </w:r>
          </w:p>
        </w:tc>
      </w:tr>
      <w:tr>
        <w:trPr>
          <w:cantSplit/>
          <w:tblHeader w:val="false"/>
        </w:trPr>
        <w:tc>
          <w:tcPr>
            <w:tcW w:type="dxa" w:w="2988"/>
          </w:tcPr>
          <w:p>
            <w:pPr>
              <w:pStyle w:val="TableText"/>
            </w:pPr>
            <w:r>
              <w:t xml:space="preserve">radon</w:t>
            </w:r>
          </w:p>
        </w:tc>
        <w:tc>
          <w:tcPr>
            <w:tcW w:type="dxa" w:w="2599"/>
          </w:tcPr>
          <w:p>
            <w:pPr>
              <w:pStyle w:val="TableText"/>
            </w:pPr>
            <w:r>
              <w:t xml:space="preserve">Статический анализ показателей качества кода</w:t>
            </w:r>
          </w:p>
        </w:tc>
        <w:tc>
          <w:tcPr>
            <w:tcW w:type="dxa" w:w="1949"/>
          </w:tcPr>
          <w:p>
            <w:pPr>
              <w:pStyle w:val="TableText"/>
            </w:pPr>
            <w:r>
              <w:t xml:space="preserve">актуальная</w:t>
            </w:r>
          </w:p>
        </w:tc>
        <w:tc>
          <w:tcPr>
            <w:tcW w:type="dxa" w:w="1819"/>
          </w:tcPr>
          <w:p>
            <w:pPr>
              <w:pStyle w:val="TableText"/>
            </w:pPr>
            <w:r>
              <w:t xml:space="preserve">MIT</w:t>
            </w:r>
          </w:p>
        </w:tc>
      </w:tr>
      <w:tr>
        <w:trPr>
          <w:cantSplit/>
          <w:tblHeader w:val="false"/>
        </w:trPr>
        <w:tc>
          <w:tcPr>
            <w:tcW w:type="dxa" w:w="2988"/>
          </w:tcPr>
          <w:p>
            <w:pPr>
              <w:pStyle w:val="TableText"/>
            </w:pPr>
            <w:r>
              <w:t xml:space="preserve">wrk</w:t>
            </w:r>
          </w:p>
        </w:tc>
        <w:tc>
          <w:tcPr>
            <w:tcW w:type="dxa" w:w="2599"/>
          </w:tcPr>
          <w:p>
            <w:pPr>
              <w:pStyle w:val="TableText"/>
            </w:pPr>
            <w:r>
              <w:t xml:space="preserve">Нагрузочное тестирование</w:t>
            </w:r>
          </w:p>
        </w:tc>
        <w:tc>
          <w:tcPr>
            <w:tcW w:type="dxa" w:w="1949"/>
          </w:tcPr>
          <w:p>
            <w:pPr>
              <w:pStyle w:val="TableText"/>
            </w:pPr>
            <w:r>
              <w:t xml:space="preserve">актуальная</w:t>
            </w:r>
          </w:p>
        </w:tc>
        <w:tc>
          <w:tcPr>
            <w:tcW w:type="dxa" w:w="1819"/>
          </w:tcPr>
          <w:p>
            <w:pPr>
              <w:pStyle w:val="TableText"/>
            </w:pPr>
            <w:r>
              <w:t xml:space="preserve">Apache 2.0</w:t>
            </w:r>
          </w:p>
        </w:tc>
      </w:tr>
      <w:tr>
        <w:trPr>
          <w:cantSplit/>
          <w:tblHeader w:val="false"/>
        </w:trPr>
        <w:tc>
          <w:tcPr>
            <w:tcW w:type="dxa" w:w="2988"/>
          </w:tcPr>
          <w:p>
            <w:pPr>
              <w:pStyle w:val="TableText"/>
            </w:pPr>
            <w:r>
              <w:t xml:space="preserve">Playwright</w:t>
            </w:r>
          </w:p>
        </w:tc>
        <w:tc>
          <w:tcPr>
            <w:tcW w:type="dxa" w:w="2599"/>
          </w:tcPr>
          <w:p>
            <w:pPr>
              <w:pStyle w:val="TableText"/>
            </w:pPr>
            <w:r>
              <w:t xml:space="preserve">Тестирование графического интерфейса</w:t>
            </w:r>
          </w:p>
        </w:tc>
        <w:tc>
          <w:tcPr>
            <w:tcW w:type="dxa" w:w="1949"/>
          </w:tcPr>
          <w:p>
            <w:pPr>
              <w:pStyle w:val="TableText"/>
            </w:pPr>
            <w:r>
              <w:t xml:space="preserve">актуальная</w:t>
            </w:r>
          </w:p>
        </w:tc>
        <w:tc>
          <w:tcPr>
            <w:tcW w:type="dxa" w:w="1819"/>
          </w:tcPr>
          <w:p>
            <w:pPr>
              <w:pStyle w:val="TableText"/>
            </w:pPr>
            <w:r>
              <w:t xml:space="preserve">Apache 2.0</w:t>
            </w:r>
          </w:p>
        </w:tc>
      </w:tr>
    </w:tbl>
    <w:p>
      <w:pPr>
        <w:pStyle w:val="AfterTable"/>
      </w:pPr>
    </w:p>
    <w:p>
      <w:r>
        <w:rPr>
          <w:b w:val="false"/>
          <w:bCs w:val="false"/>
          <w:i w:val="false"/>
          <w:iCs w:val="false"/>
        </w:rPr>
        <w:t xml:space="preserve">Фактически применённые версии компонентов фиксируются в файлах описания зависимостей, входящих в комплект поставки.</w:t>
      </w:r>
    </w:p>
    <w:p>
      <w:pPr>
        <w:pStyle w:val="Heading1"/>
      </w:pPr>
      <w:r>
        <w:br w:type="page"/>
      </w:r>
      <w:r>
        <w:t xml:space="preserve">Приложение Б (рекомендуемое) Форма протокола приёмо-сдаточных испытаний</w:t>
      </w:r>
    </w:p>
    <w:p>
      <w:pPr>
        <w:pStyle w:val="TitleCenter"/>
        <w:spacing w:after="160" w:before="0"/>
      </w:pPr>
      <w:r>
        <w:rPr>
          <w:b/>
          <w:bCs/>
        </w:rPr>
        <w:t xml:space="preserve">ПРОТОКОЛ приёмо-сдаточных испытаний № ____ от «____» ____________ 2026 г.</w:t>
      </w:r>
    </w:p>
    <w:p>
      <w:r>
        <w:rPr>
          <w:b w:val="false"/>
          <w:bCs w:val="false"/>
          <w:i w:val="false"/>
          <w:iCs w:val="false"/>
        </w:rPr>
        <w:t xml:space="preserve">Изделие: система интеллектуального поиска дубликатов обращений в техническую поддержку СПДО.001, версия ____________.</w:t>
      </w:r>
    </w:p>
    <w:p>
      <w:r>
        <w:rPr>
          <w:b w:val="false"/>
          <w:bCs w:val="false"/>
          <w:i w:val="false"/>
          <w:iCs w:val="false"/>
        </w:rPr>
        <w:t xml:space="preserve">Основание: технические условия СПДО.001.ТУ, техническое задание СПДО.001.ТЗ.</w:t>
      </w:r>
    </w:p>
    <w:p>
      <w:r>
        <w:rPr>
          <w:b w:val="false"/>
          <w:bCs w:val="false"/>
          <w:i w:val="false"/>
          <w:iCs w:val="false"/>
        </w:rPr>
        <w:t xml:space="preserve">Испытания провёл: ____________________________________________.</w:t>
      </w:r>
    </w:p>
    <w:p>
      <w:r>
        <w:rPr>
          <w:b w:val="false"/>
          <w:bCs w:val="false"/>
          <w:i w:val="false"/>
          <w:iCs w:val="false"/>
        </w:rPr>
        <w:t xml:space="preserve">Условия проведения испытаний: ____________________________________________.</w:t>
      </w:r>
    </w:p>
    <w:p>
      <w:pPr>
        <w:pStyle w:val="Caption"/>
      </w:pPr>
      <w:r>
        <w:t xml:space="preserve">Таблица Б.1 — Результаты проверок</w:t>
      </w:r>
    </w:p>
    <w:tbl>
      <w:tblPr>
        <w:tblW w:type="dxa" w:w="9355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936"/>
        <w:gridCol w:w="3475"/>
        <w:gridCol w:w="2005"/>
        <w:gridCol w:w="1604"/>
        <w:gridCol w:w="1335"/>
      </w:tblGrid>
      <w:tr>
        <w:trPr>
          <w:cantSplit/>
          <w:tblHeader/>
        </w:trPr>
        <w:tc>
          <w:tcPr>
            <w:tcW w:type="dxa" w:w="936"/>
          </w:tcPr>
          <w:p>
            <w:pPr>
              <w:pStyle w:val="TableHeader"/>
            </w:pPr>
            <w:r>
              <w:t xml:space="preserve">№</w:t>
            </w:r>
          </w:p>
        </w:tc>
        <w:tc>
          <w:tcPr>
            <w:tcW w:type="dxa" w:w="3475"/>
          </w:tcPr>
          <w:p>
            <w:pPr>
              <w:pStyle w:val="TableHeader"/>
            </w:pPr>
            <w:r>
              <w:t xml:space="preserve">Наименование проверки</w:t>
            </w:r>
          </w:p>
        </w:tc>
        <w:tc>
          <w:tcPr>
            <w:tcW w:type="dxa" w:w="2005"/>
          </w:tcPr>
          <w:p>
            <w:pPr>
              <w:pStyle w:val="TableHeader"/>
            </w:pPr>
            <w:r>
              <w:t xml:space="preserve">Норма по ТУ</w:t>
            </w:r>
          </w:p>
        </w:tc>
        <w:tc>
          <w:tcPr>
            <w:tcW w:type="dxa" w:w="1604"/>
          </w:tcPr>
          <w:p>
            <w:pPr>
              <w:pStyle w:val="TableHeader"/>
            </w:pPr>
            <w:r>
              <w:t xml:space="preserve">Фактически</w:t>
            </w:r>
          </w:p>
        </w:tc>
        <w:tc>
          <w:tcPr>
            <w:tcW w:type="dxa" w:w="1335"/>
          </w:tcPr>
          <w:p>
            <w:pPr>
              <w:pStyle w:val="TableHeader"/>
            </w:pPr>
            <w:r>
              <w:t xml:space="preserve">Результат</w:t>
            </w:r>
          </w:p>
        </w:tc>
      </w:tr>
      <w:tr>
        <w:trPr>
          <w:cantSplit/>
          <w:tblHeader w:val="false"/>
        </w:trPr>
        <w:tc>
          <w:tcPr>
            <w:tcW w:type="dxa" w:w="936"/>
          </w:tcPr>
          <w:p>
            <w:pPr>
              <w:pStyle w:val="TableText"/>
            </w:pPr>
            <w:r>
              <w:t xml:space="preserve">1</w:t>
            </w:r>
          </w:p>
        </w:tc>
        <w:tc>
          <w:tcPr>
            <w:tcW w:type="dxa" w:w="3475"/>
          </w:tcPr>
          <w:p>
            <w:pPr>
              <w:pStyle w:val="TableText"/>
            </w:pPr>
            <w:r>
              <w:t xml:space="preserve">Комплектность (5.1)</w:t>
            </w:r>
          </w:p>
        </w:tc>
        <w:tc>
          <w:tcPr>
            <w:tcW w:type="dxa" w:w="2005"/>
          </w:tcPr>
          <w:p>
            <w:pPr>
              <w:pStyle w:val="TableText"/>
            </w:pPr>
            <w:r>
              <w:t xml:space="preserve">по 1.3</w:t>
            </w:r>
          </w:p>
        </w:tc>
        <w:tc>
          <w:tcPr>
            <w:tcW w:type="dxa" w:w="1604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type="dxa" w:w="1335"/>
          </w:tcPr>
          <w:p>
            <w:pPr>
              <w:pStyle w:val="TableText"/>
            </w:pPr>
            <w:r>
              <w:t xml:space="preserve"/>
            </w:r>
          </w:p>
        </w:tc>
      </w:tr>
      <w:tr>
        <w:trPr>
          <w:cantSplit/>
          <w:tblHeader w:val="false"/>
        </w:trPr>
        <w:tc>
          <w:tcPr>
            <w:tcW w:type="dxa" w:w="936"/>
          </w:tcPr>
          <w:p>
            <w:pPr>
              <w:pStyle w:val="TableText"/>
            </w:pPr>
            <w:r>
              <w:t xml:space="preserve">2</w:t>
            </w:r>
          </w:p>
        </w:tc>
        <w:tc>
          <w:tcPr>
            <w:tcW w:type="dxa" w:w="3475"/>
          </w:tcPr>
          <w:p>
            <w:pPr>
              <w:pStyle w:val="TableText"/>
            </w:pPr>
            <w:r>
              <w:t xml:space="preserve">Функциональные характеристики (5.2)</w:t>
            </w:r>
          </w:p>
        </w:tc>
        <w:tc>
          <w:tcPr>
            <w:tcW w:type="dxa" w:w="2005"/>
          </w:tcPr>
          <w:p>
            <w:pPr>
              <w:pStyle w:val="TableText"/>
            </w:pPr>
            <w:r>
              <w:t xml:space="preserve">ТЗ.Ф1 — ТЗ.Ф15</w:t>
            </w:r>
          </w:p>
        </w:tc>
        <w:tc>
          <w:tcPr>
            <w:tcW w:type="dxa" w:w="1604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type="dxa" w:w="1335"/>
          </w:tcPr>
          <w:p>
            <w:pPr>
              <w:pStyle w:val="TableText"/>
            </w:pPr>
            <w:r>
              <w:t xml:space="preserve"/>
            </w:r>
          </w:p>
        </w:tc>
      </w:tr>
      <w:tr>
        <w:trPr>
          <w:cantSplit/>
          <w:tblHeader w:val="false"/>
        </w:trPr>
        <w:tc>
          <w:tcPr>
            <w:tcW w:type="dxa" w:w="936"/>
          </w:tcPr>
          <w:p>
            <w:pPr>
              <w:pStyle w:val="TableText"/>
            </w:pPr>
            <w:r>
              <w:t xml:space="preserve">3</w:t>
            </w:r>
          </w:p>
        </w:tc>
        <w:tc>
          <w:tcPr>
            <w:tcW w:type="dxa" w:w="3475"/>
          </w:tcPr>
          <w:p>
            <w:pPr>
              <w:pStyle w:val="TableText"/>
            </w:pPr>
            <w:r>
              <w:t xml:space="preserve">Покрытие кода тестами (5.3)</w:t>
            </w:r>
          </w:p>
        </w:tc>
        <w:tc>
          <w:tcPr>
            <w:tcW w:type="dxa" w:w="2005"/>
          </w:tcPr>
          <w:p>
            <w:pPr>
              <w:pStyle w:val="TableText"/>
            </w:pPr>
            <w:r>
              <w:t xml:space="preserve">не менее 70 %</w:t>
            </w:r>
          </w:p>
        </w:tc>
        <w:tc>
          <w:tcPr>
            <w:tcW w:type="dxa" w:w="1604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type="dxa" w:w="1335"/>
          </w:tcPr>
          <w:p>
            <w:pPr>
              <w:pStyle w:val="TableText"/>
            </w:pPr>
            <w:r>
              <w:t xml:space="preserve"/>
            </w:r>
          </w:p>
        </w:tc>
      </w:tr>
      <w:tr>
        <w:trPr>
          <w:cantSplit/>
          <w:tblHeader w:val="false"/>
        </w:trPr>
        <w:tc>
          <w:tcPr>
            <w:tcW w:type="dxa" w:w="936"/>
          </w:tcPr>
          <w:p>
            <w:pPr>
              <w:pStyle w:val="TableText"/>
            </w:pPr>
            <w:r>
              <w:t xml:space="preserve">4</w:t>
            </w:r>
          </w:p>
        </w:tc>
        <w:tc>
          <w:tcPr>
            <w:tcW w:type="dxa" w:w="3475"/>
          </w:tcPr>
          <w:p>
            <w:pPr>
              <w:pStyle w:val="TableText"/>
            </w:pPr>
            <w:r>
              <w:t xml:space="preserve">recall@3 на проверочной выборке (5.4)</w:t>
            </w:r>
          </w:p>
        </w:tc>
        <w:tc>
          <w:tcPr>
            <w:tcW w:type="dxa" w:w="2005"/>
          </w:tcPr>
          <w:p>
            <w:pPr>
              <w:pStyle w:val="TableText"/>
            </w:pPr>
            <w:r>
              <w:t xml:space="preserve">не менее 0,80</w:t>
            </w:r>
          </w:p>
        </w:tc>
        <w:tc>
          <w:tcPr>
            <w:tcW w:type="dxa" w:w="1604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type="dxa" w:w="1335"/>
          </w:tcPr>
          <w:p>
            <w:pPr>
              <w:pStyle w:val="TableText"/>
            </w:pPr>
            <w:r>
              <w:t xml:space="preserve"/>
            </w:r>
          </w:p>
        </w:tc>
      </w:tr>
      <w:tr>
        <w:trPr>
          <w:cantSplit/>
          <w:tblHeader w:val="false"/>
        </w:trPr>
        <w:tc>
          <w:tcPr>
            <w:tcW w:type="dxa" w:w="936"/>
          </w:tcPr>
          <w:p>
            <w:pPr>
              <w:pStyle w:val="TableText"/>
            </w:pPr>
            <w:r>
              <w:t xml:space="preserve">5</w:t>
            </w:r>
          </w:p>
        </w:tc>
        <w:tc>
          <w:tcPr>
            <w:tcW w:type="dxa" w:w="3475"/>
          </w:tcPr>
          <w:p>
            <w:pPr>
              <w:pStyle w:val="TableText"/>
            </w:pPr>
            <w:r>
              <w:t xml:space="preserve">Контрольная сумма проверочной выборки (5.4)</w:t>
            </w:r>
          </w:p>
        </w:tc>
        <w:tc>
          <w:tcPr>
            <w:tcW w:type="dxa" w:w="2005"/>
          </w:tcPr>
          <w:p>
            <w:pPr>
              <w:pStyle w:val="TableText"/>
            </w:pPr>
            <w:r>
              <w:t xml:space="preserve">совпадает</w:t>
            </w:r>
          </w:p>
        </w:tc>
        <w:tc>
          <w:tcPr>
            <w:tcW w:type="dxa" w:w="1604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type="dxa" w:w="1335"/>
          </w:tcPr>
          <w:p>
            <w:pPr>
              <w:pStyle w:val="TableText"/>
            </w:pPr>
            <w:r>
              <w:t xml:space="preserve"/>
            </w:r>
          </w:p>
        </w:tc>
      </w:tr>
      <w:tr>
        <w:trPr>
          <w:cantSplit/>
          <w:tblHeader w:val="false"/>
        </w:trPr>
        <w:tc>
          <w:tcPr>
            <w:tcW w:type="dxa" w:w="936"/>
          </w:tcPr>
          <w:p>
            <w:pPr>
              <w:pStyle w:val="TableText"/>
            </w:pPr>
            <w:r>
              <w:t xml:space="preserve">6</w:t>
            </w:r>
          </w:p>
        </w:tc>
        <w:tc>
          <w:tcPr>
            <w:tcW w:type="dxa" w:w="3475"/>
          </w:tcPr>
          <w:p>
            <w:pPr>
              <w:pStyle w:val="TableText"/>
            </w:pPr>
            <w:r>
              <w:t xml:space="preserve">Версия модели и параметры сеанса поиска (5.2)</w:t>
            </w:r>
          </w:p>
        </w:tc>
        <w:tc>
          <w:tcPr>
            <w:tcW w:type="dxa" w:w="2005"/>
          </w:tcPr>
          <w:p>
            <w:pPr>
              <w:pStyle w:val="TableText"/>
            </w:pPr>
            <w:r>
              <w:t xml:space="preserve">наличие</w:t>
            </w:r>
          </w:p>
        </w:tc>
        <w:tc>
          <w:tcPr>
            <w:tcW w:type="dxa" w:w="1604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type="dxa" w:w="1335"/>
          </w:tcPr>
          <w:p>
            <w:pPr>
              <w:pStyle w:val="TableText"/>
            </w:pPr>
            <w:r>
              <w:t xml:space="preserve"/>
            </w:r>
          </w:p>
        </w:tc>
      </w:tr>
      <w:tr>
        <w:trPr>
          <w:cantSplit/>
          <w:tblHeader w:val="false"/>
        </w:trPr>
        <w:tc>
          <w:tcPr>
            <w:tcW w:type="dxa" w:w="936"/>
          </w:tcPr>
          <w:p>
            <w:pPr>
              <w:pStyle w:val="TableText"/>
            </w:pPr>
            <w:r>
              <w:t xml:space="preserve">7</w:t>
            </w:r>
          </w:p>
        </w:tc>
        <w:tc>
          <w:tcPr>
            <w:tcW w:type="dxa" w:w="3475"/>
          </w:tcPr>
          <w:p>
            <w:pPr>
              <w:pStyle w:val="TableText"/>
            </w:pPr>
            <w:r>
              <w:t xml:space="preserve">Время подбора кандидатов (5.5)</w:t>
            </w:r>
          </w:p>
        </w:tc>
        <w:tc>
          <w:tcPr>
            <w:tcW w:type="dxa" w:w="2005"/>
          </w:tcPr>
          <w:p>
            <w:pPr>
              <w:pStyle w:val="TableText"/>
            </w:pPr>
            <w:r>
              <w:t xml:space="preserve">не более 2,0 с</w:t>
            </w:r>
          </w:p>
        </w:tc>
        <w:tc>
          <w:tcPr>
            <w:tcW w:type="dxa" w:w="1604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type="dxa" w:w="1335"/>
          </w:tcPr>
          <w:p>
            <w:pPr>
              <w:pStyle w:val="TableText"/>
            </w:pPr>
            <w:r>
              <w:t xml:space="preserve"/>
            </w:r>
          </w:p>
        </w:tc>
      </w:tr>
      <w:tr>
        <w:trPr>
          <w:cantSplit/>
          <w:tblHeader w:val="false"/>
        </w:trPr>
        <w:tc>
          <w:tcPr>
            <w:tcW w:type="dxa" w:w="936"/>
          </w:tcPr>
          <w:p>
            <w:pPr>
              <w:pStyle w:val="TableText"/>
            </w:pPr>
            <w:r>
              <w:t xml:space="preserve">8</w:t>
            </w:r>
          </w:p>
        </w:tc>
        <w:tc>
          <w:tcPr>
            <w:tcW w:type="dxa" w:w="3475"/>
          </w:tcPr>
          <w:p>
            <w:pPr>
              <w:pStyle w:val="TableText"/>
            </w:pPr>
            <w:r>
              <w:t xml:space="preserve">Время отклика на обычные операции (5.5)</w:t>
            </w:r>
          </w:p>
        </w:tc>
        <w:tc>
          <w:tcPr>
            <w:tcW w:type="dxa" w:w="2005"/>
          </w:tcPr>
          <w:p>
            <w:pPr>
              <w:pStyle w:val="TableText"/>
            </w:pPr>
            <w:r>
              <w:t xml:space="preserve">не более 2,0 с</w:t>
            </w:r>
          </w:p>
        </w:tc>
        <w:tc>
          <w:tcPr>
            <w:tcW w:type="dxa" w:w="1604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type="dxa" w:w="1335"/>
          </w:tcPr>
          <w:p>
            <w:pPr>
              <w:pStyle w:val="TableText"/>
            </w:pPr>
            <w:r>
              <w:t xml:space="preserve"/>
            </w:r>
          </w:p>
        </w:tc>
      </w:tr>
      <w:tr>
        <w:trPr>
          <w:cantSplit/>
          <w:tblHeader w:val="false"/>
        </w:trPr>
        <w:tc>
          <w:tcPr>
            <w:tcW w:type="dxa" w:w="936"/>
          </w:tcPr>
          <w:p>
            <w:pPr>
              <w:pStyle w:val="TableText"/>
            </w:pPr>
            <w:r>
              <w:t xml:space="preserve">9</w:t>
            </w:r>
          </w:p>
        </w:tc>
        <w:tc>
          <w:tcPr>
            <w:tcW w:type="dxa" w:w="3475"/>
          </w:tcPr>
          <w:p>
            <w:pPr>
              <w:pStyle w:val="TableText"/>
            </w:pPr>
            <w:r>
              <w:t xml:space="preserve">Число одновременных пользователей (5.5)</w:t>
            </w:r>
          </w:p>
        </w:tc>
        <w:tc>
          <w:tcPr>
            <w:tcW w:type="dxa" w:w="2005"/>
          </w:tcPr>
          <w:p>
            <w:pPr>
              <w:pStyle w:val="TableText"/>
            </w:pPr>
            <w:r>
              <w:t xml:space="preserve">не менее 10</w:t>
            </w:r>
          </w:p>
        </w:tc>
        <w:tc>
          <w:tcPr>
            <w:tcW w:type="dxa" w:w="1604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type="dxa" w:w="1335"/>
          </w:tcPr>
          <w:p>
            <w:pPr>
              <w:pStyle w:val="TableText"/>
            </w:pPr>
            <w:r>
              <w:t xml:space="preserve"/>
            </w:r>
          </w:p>
        </w:tc>
      </w:tr>
      <w:tr>
        <w:trPr>
          <w:cantSplit/>
          <w:tblHeader w:val="false"/>
        </w:trPr>
        <w:tc>
          <w:tcPr>
            <w:tcW w:type="dxa" w:w="936"/>
          </w:tcPr>
          <w:p>
            <w:pPr>
              <w:pStyle w:val="TableText"/>
            </w:pPr>
            <w:r>
              <w:t xml:space="preserve">10</w:t>
            </w:r>
          </w:p>
        </w:tc>
        <w:tc>
          <w:tcPr>
            <w:tcW w:type="dxa" w:w="3475"/>
          </w:tcPr>
          <w:p>
            <w:pPr>
              <w:pStyle w:val="TableText"/>
            </w:pPr>
            <w:r>
              <w:t xml:space="preserve">Цикломатическая сложность (5.6)</w:t>
            </w:r>
          </w:p>
        </w:tc>
        <w:tc>
          <w:tcPr>
            <w:tcW w:type="dxa" w:w="2005"/>
          </w:tcPr>
          <w:p>
            <w:pPr>
              <w:pStyle w:val="TableText"/>
            </w:pPr>
            <w:r>
              <w:t xml:space="preserve">не более 15</w:t>
            </w:r>
          </w:p>
        </w:tc>
        <w:tc>
          <w:tcPr>
            <w:tcW w:type="dxa" w:w="1604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type="dxa" w:w="1335"/>
          </w:tcPr>
          <w:p>
            <w:pPr>
              <w:pStyle w:val="TableText"/>
            </w:pPr>
            <w:r>
              <w:t xml:space="preserve"/>
            </w:r>
          </w:p>
        </w:tc>
      </w:tr>
      <w:tr>
        <w:trPr>
          <w:cantSplit/>
          <w:tblHeader w:val="false"/>
        </w:trPr>
        <w:tc>
          <w:tcPr>
            <w:tcW w:type="dxa" w:w="936"/>
          </w:tcPr>
          <w:p>
            <w:pPr>
              <w:pStyle w:val="TableText"/>
            </w:pPr>
            <w:r>
              <w:t xml:space="preserve">11</w:t>
            </w:r>
          </w:p>
        </w:tc>
        <w:tc>
          <w:tcPr>
            <w:tcW w:type="dxa" w:w="3475"/>
          </w:tcPr>
          <w:p>
            <w:pPr>
              <w:pStyle w:val="TableText"/>
            </w:pPr>
            <w:r>
              <w:t xml:space="preserve">Индекс сопровождаемости (5.6)</w:t>
            </w:r>
          </w:p>
        </w:tc>
        <w:tc>
          <w:tcPr>
            <w:tcW w:type="dxa" w:w="2005"/>
          </w:tcPr>
          <w:p>
            <w:pPr>
              <w:pStyle w:val="TableText"/>
            </w:pPr>
            <w:r>
              <w:t xml:space="preserve">не менее 20</w:t>
            </w:r>
          </w:p>
        </w:tc>
        <w:tc>
          <w:tcPr>
            <w:tcW w:type="dxa" w:w="1604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type="dxa" w:w="1335"/>
          </w:tcPr>
          <w:p>
            <w:pPr>
              <w:pStyle w:val="TableText"/>
            </w:pPr>
            <w:r>
              <w:t xml:space="preserve"/>
            </w:r>
          </w:p>
        </w:tc>
      </w:tr>
      <w:tr>
        <w:trPr>
          <w:cantSplit/>
          <w:tblHeader w:val="false"/>
        </w:trPr>
        <w:tc>
          <w:tcPr>
            <w:tcW w:type="dxa" w:w="936"/>
          </w:tcPr>
          <w:p>
            <w:pPr>
              <w:pStyle w:val="TableText"/>
            </w:pPr>
            <w:r>
              <w:t xml:space="preserve">12</w:t>
            </w:r>
          </w:p>
        </w:tc>
        <w:tc>
          <w:tcPr>
            <w:tcW w:type="dxa" w:w="3475"/>
          </w:tcPr>
          <w:p>
            <w:pPr>
              <w:pStyle w:val="TableText"/>
            </w:pPr>
            <w:r>
              <w:t xml:space="preserve">Требования безопасности (5.7)</w:t>
            </w:r>
          </w:p>
        </w:tc>
        <w:tc>
          <w:tcPr>
            <w:tcW w:type="dxa" w:w="2005"/>
          </w:tcPr>
          <w:p>
            <w:pPr>
              <w:pStyle w:val="TableText"/>
            </w:pPr>
            <w:r>
              <w:t xml:space="preserve">по разделу 2</w:t>
            </w:r>
          </w:p>
        </w:tc>
        <w:tc>
          <w:tcPr>
            <w:tcW w:type="dxa" w:w="1604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type="dxa" w:w="1335"/>
          </w:tcPr>
          <w:p>
            <w:pPr>
              <w:pStyle w:val="TableText"/>
            </w:pPr>
            <w:r>
              <w:t xml:space="preserve"/>
            </w:r>
          </w:p>
        </w:tc>
      </w:tr>
      <w:tr>
        <w:trPr>
          <w:cantSplit/>
          <w:tblHeader w:val="false"/>
        </w:trPr>
        <w:tc>
          <w:tcPr>
            <w:tcW w:type="dxa" w:w="936"/>
          </w:tcPr>
          <w:p>
            <w:pPr>
              <w:pStyle w:val="TableText"/>
            </w:pPr>
            <w:r>
              <w:t xml:space="preserve">13</w:t>
            </w:r>
          </w:p>
        </w:tc>
        <w:tc>
          <w:tcPr>
            <w:tcW w:type="dxa" w:w="3475"/>
          </w:tcPr>
          <w:p>
            <w:pPr>
              <w:pStyle w:val="TableText"/>
            </w:pPr>
            <w:r>
              <w:t xml:space="preserve">Маркировка и упаковка (5.8)</w:t>
            </w:r>
          </w:p>
        </w:tc>
        <w:tc>
          <w:tcPr>
            <w:tcW w:type="dxa" w:w="2005"/>
          </w:tcPr>
          <w:p>
            <w:pPr>
              <w:pStyle w:val="TableText"/>
            </w:pPr>
            <w:r>
              <w:t xml:space="preserve">по 1.4, 1.5</w:t>
            </w:r>
          </w:p>
        </w:tc>
        <w:tc>
          <w:tcPr>
            <w:tcW w:type="dxa" w:w="1604"/>
          </w:tcPr>
          <w:p>
            <w:pPr>
              <w:pStyle w:val="TableText"/>
            </w:pPr>
            <w:r>
              <w:t xml:space="preserve"/>
            </w:r>
          </w:p>
        </w:tc>
        <w:tc>
          <w:tcPr>
            <w:tcW w:type="dxa" w:w="1335"/>
          </w:tcPr>
          <w:p>
            <w:pPr>
              <w:pStyle w:val="TableText"/>
            </w:pPr>
            <w:r>
              <w:t xml:space="preserve"/>
            </w:r>
          </w:p>
        </w:tc>
      </w:tr>
    </w:tbl>
    <w:p>
      <w:pPr>
        <w:pStyle w:val="AfterTable"/>
      </w:pPr>
    </w:p>
    <w:p>
      <w:r>
        <w:rPr>
          <w:b w:val="false"/>
          <w:bCs w:val="false"/>
          <w:i w:val="false"/>
          <w:iCs w:val="false"/>
        </w:rPr>
        <w:t xml:space="preserve">Выявленные несоответствия: ____________________________________________.</w:t>
      </w:r>
    </w:p>
    <w:p>
      <w:r>
        <w:rPr>
          <w:b w:val="false"/>
          <w:bCs w:val="false"/>
          <w:i w:val="false"/>
          <w:iCs w:val="false"/>
        </w:rPr>
        <w:t xml:space="preserve">Заключение: изделие соответствует (не соответствует) требованиям технических условий СПДО.001.ТУ.</w:t>
      </w:r>
    </w:p>
    <w:p>
      <w:pPr>
        <w:pStyle w:val="TitleCenter"/>
      </w:pPr>
    </w:p>
    <w:p>
      <w:pPr>
        <w:pStyle w:val="TitleLeft"/>
        <w:spacing w:before="120"/>
      </w:pPr>
      <w:r>
        <w:t xml:space="preserve">Испытания провёл                                     ______________   Д.С. Красавин</w:t>
      </w:r>
    </w:p>
    <w:p>
      <w:pPr>
        <w:pStyle w:val="TitleLeft"/>
        <w:spacing w:before="120"/>
      </w:pPr>
      <w:r>
        <w:t xml:space="preserve">От исполнителя                                          ______________   В.А. Елькин</w:t>
      </w:r>
    </w:p>
    <w:p>
      <w:pPr>
        <w:pStyle w:val="TitleLeft"/>
        <w:spacing w:before="120"/>
      </w:pPr>
      <w:r>
        <w:t xml:space="preserve">От заказчика                                              ______________   ______________</w:t>
      </w:r>
    </w:p>
    <w:sectPr>
      <w:footerReference w:type="default" r:id="rId8"/>
      <w:pgSz w:w="11906" w:h="16838" w:orient="portrait"/>
      <w:pgMar w:top="1133" w:right="850" w:bottom="1133" w:left="17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Style w:val="Footer"/>
    </w:pPr>
    <w:r>
      <w:t xml:space="preserve">Москва 2026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Style w:val="Footer"/>
    </w:pPr>
    <w:r>
      <w:rPr>
        <w:sz w:val="24"/>
        <w:szCs w:val="2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09" w:hanging="360"/>
      </w:pPr>
    </w:lvl>
    <w:lvl w:ilvl="1" w15:tentative="1">
      <w:start w:val="1"/>
      <w:numFmt w:val="bullet"/>
      <w:lvlText w:val="•"/>
      <w:lvlJc w:val="left"/>
      <w:pPr>
        <w:ind w:left="1134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)"/>
      <w:lvlJc w:val="left"/>
      <w:pPr>
        <w:ind w:left="1134" w:hanging="425"/>
      </w:pPr>
    </w:lvl>
  </w:abstractNum>
  <w:abstractNum w:abstractNumId="4" w15:restartNumberingAfterBreak="0">
    <w:multiLevelType w:val="hybridMultilevel"/>
    <w:lvl w:ilvl="0" w15:tentative="1">
      <w:start w:val="1"/>
      <w:numFmt w:val="russianLower"/>
      <w:lvlText w:val="%1)"/>
      <w:lvlJc w:val="left"/>
      <w:pPr>
        <w:ind w:left="1134" w:hanging="42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8"/>
        <w:szCs w:val="28"/>
        <w:lang w:val="ru-RU"/>
      </w:rPr>
    </w:rPrDefault>
    <w:pPrDefault>
      <w:pPr>
        <w:spacing w:after="0" w:before="0" w:line="360"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keepNext/>
      <w:keepLines/>
      <w:spacing w:after="240" w:before="240" w:line="360" w:lineRule="auto"/>
      <w:ind w:firstLine="0"/>
      <w:jc w:val="center"/>
    </w:pPr>
    <w:rPr>
      <w:rFonts w:ascii="Times New Roman" w:cs="Times New Roman" w:eastAsia="Times New Roman" w:hAnsi="Times New Roman"/>
      <w:b/>
      <w:bCs/>
      <w:caps/>
      <w:color w:val="000000"/>
      <w:sz w:val="28"/>
      <w:szCs w:val="28"/>
    </w:rPr>
  </w:style>
  <w:style w:type="paragraph" w:styleId="Heading2">
    <w:name w:val="Heading 2"/>
    <w:basedOn w:val="Normal"/>
    <w:next w:val="Normal"/>
    <w:qFormat/>
    <w:pPr>
      <w:keepNext/>
      <w:keepLines/>
      <w:spacing w:after="120" w:before="200" w:line="360" w:lineRule="auto"/>
      <w:ind w:firstLine="709"/>
      <w:jc w:val="left"/>
    </w:pPr>
    <w:rPr>
      <w:rFonts w:ascii="Times New Roman" w:cs="Times New Roman" w:eastAsia="Times New Roman" w:hAnsi="Times New Roman"/>
      <w:b/>
      <w:bCs/>
      <w:color w:val="000000"/>
      <w:sz w:val="28"/>
      <w:szCs w:val="28"/>
    </w:rPr>
  </w:style>
  <w:style w:type="paragraph" w:styleId="Heading3">
    <w:name w:val="Heading 3"/>
    <w:basedOn w:val="Normal"/>
    <w:next w:val="Normal"/>
    <w:qFormat/>
    <w:pPr>
      <w:keepNext/>
      <w:keepLines/>
      <w:spacing w:after="100" w:before="160" w:line="360" w:lineRule="auto"/>
      <w:ind w:firstLine="709"/>
      <w:jc w:val="left"/>
    </w:pPr>
    <w:rPr>
      <w:rFonts w:ascii="Times New Roman" w:cs="Times New Roman" w:eastAsia="Times New Roman" w:hAnsi="Times New Roman"/>
      <w:b/>
      <w:bCs/>
      <w:color w:val="000000"/>
      <w:sz w:val="28"/>
      <w:szCs w:val="28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  <w:pPr>
      <w:ind w:firstLine="0"/>
      <w:contextualSpacing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Normal">
    <w:name w:val="Normal"/>
    <w:pPr>
      <w:spacing w:after="0" w:before="0" w:line="360" w:lineRule="auto"/>
      <w:ind w:firstLine="709"/>
      <w:jc w:val="both"/>
    </w:pPr>
    <w:rPr>
      <w:rFonts w:ascii="Times New Roman" w:cs="Times New Roman" w:eastAsia="Times New Roman" w:hAnsi="Times New Roman"/>
      <w:sz w:val="28"/>
      <w:szCs w:val="28"/>
    </w:rPr>
  </w:style>
  <w:style w:type="paragraph" w:styleId="Caption">
    <w:name w:val="caption"/>
    <w:basedOn w:val="Normal"/>
    <w:next w:val="Normal"/>
    <w:qFormat/>
    <w:pPr>
      <w:keepNext/>
      <w:spacing w:after="120" w:before="200" w:line="240" w:lineRule="auto"/>
      <w:ind w:firstLine="0"/>
      <w:jc w:val="left"/>
    </w:pPr>
  </w:style>
  <w:style w:type="paragraph" w:styleId="TableText">
    <w:name w:val="Текст таблицы"/>
    <w:basedOn w:val="Normal"/>
    <w:qFormat/>
    <w:pPr>
      <w:spacing w:after="40" w:before="40" w:line="240" w:lineRule="auto"/>
      <w:ind w:firstLine="0"/>
      <w:jc w:val="left"/>
    </w:pPr>
    <w:rPr>
      <w:sz w:val="24"/>
      <w:szCs w:val="24"/>
    </w:rPr>
  </w:style>
  <w:style w:type="paragraph" w:styleId="TableHeader">
    <w:name w:val="Шапка таблицы"/>
    <w:basedOn w:val="TableText"/>
    <w:qFormat/>
    <w:pPr>
      <w:jc w:val="center"/>
    </w:pPr>
    <w:rPr>
      <w:b/>
      <w:bCs/>
    </w:rPr>
  </w:style>
  <w:style w:type="paragraph" w:styleId="AfterTable">
    <w:name w:val="Отбивка после таблицы"/>
    <w:basedOn w:val="Normal"/>
    <w:pPr>
      <w:spacing w:after="0" w:before="0" w:line="240" w:lineRule="auto"/>
    </w:pPr>
    <w:rPr>
      <w:sz w:val="16"/>
      <w:szCs w:val="16"/>
    </w:rPr>
  </w:style>
  <w:style w:type="paragraph" w:styleId="TitleCenter">
    <w:name w:val="Титул по центру"/>
    <w:basedOn w:val="Normal"/>
    <w:qFormat/>
    <w:pPr>
      <w:ind w:firstLine="0"/>
      <w:jc w:val="center"/>
    </w:pPr>
  </w:style>
  <w:style w:type="paragraph" w:styleId="TitleLeft">
    <w:name w:val="Титул слева"/>
    <w:basedOn w:val="Normal"/>
    <w:qFormat/>
    <w:pPr>
      <w:ind w:firstLine="0"/>
      <w:jc w:val="left"/>
    </w:pPr>
  </w:style>
  <w:style w:type="paragraph" w:styleId="Figure">
    <w:name w:val="Рисунок"/>
    <w:basedOn w:val="Normal"/>
    <w:pPr>
      <w:spacing w:after="60" w:before="120" w:line="240" w:lineRule="auto"/>
      <w:ind w:firstLine="0"/>
      <w:jc w:val="center"/>
    </w:pPr>
  </w:style>
  <w:style w:type="paragraph" w:styleId="FigCaption">
    <w:name w:val="Подпись рисунка"/>
    <w:basedOn w:val="Normal"/>
    <w:next w:val="Normal"/>
    <w:pPr>
      <w:spacing w:after="200" w:before="60" w:line="240" w:lineRule="auto"/>
      <w:ind w:firstLine="0"/>
      <w:jc w:val="center"/>
    </w:pPr>
  </w:style>
  <w:style w:type="paragraph" w:styleId="Footer">
    <w:name w:val="footer"/>
    <w:basedOn w:val="Normal"/>
    <w:pPr>
      <w:spacing w:line="240" w:lineRule="auto"/>
      <w:ind w:firstLine="0"/>
      <w:jc w:val="center"/>
    </w:pPr>
  </w:style>
  <w:style w:type="paragraph" w:styleId="Header">
    <w:name w:val="header"/>
    <w:basedOn w:val="Normal"/>
    <w:pPr>
      <w:spacing w:line="240" w:lineRule="auto"/>
      <w:ind w:firstLine="0"/>
      <w:jc w:val="center"/>
    </w:p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2026-09-22T13:28:47.032Z</dcterms:created>
  <dcterms:modified xsi:type="dcterms:W3CDTF">2026-09-22T13:28:47.032Z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