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F32C9" w:rsidRDefault="003F32C9">
      <w:pPr>
        <w:widowControl w:val="0"/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color w:val="000000"/>
        </w:rPr>
      </w:pPr>
    </w:p>
    <w:tbl>
      <w:tblPr>
        <w:tblStyle w:val="aa"/>
        <w:tblW w:w="9836" w:type="dxa"/>
        <w:tblInd w:w="-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2323"/>
        <w:gridCol w:w="4395"/>
        <w:gridCol w:w="1701"/>
        <w:gridCol w:w="1417"/>
      </w:tblGrid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Name:</w:t>
            </w:r>
          </w:p>
          <w:p w:rsidR="00A83BE3" w:rsidRDefault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Course Code: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A83BE3" w:rsidP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Basic</w:t>
            </w:r>
            <w:r w:rsidR="009176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of Electrical Engineering </w:t>
            </w:r>
            <w:r w:rsidR="009F16A1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Laboratory</w:t>
            </w:r>
          </w:p>
          <w:p w:rsidR="00A83BE3" w:rsidRDefault="00A83BE3" w:rsidP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C00000"/>
                <w:sz w:val="24"/>
                <w:szCs w:val="24"/>
              </w:rPr>
              <w:t>316U06L102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Semester:</w:t>
            </w:r>
          </w:p>
        </w:tc>
        <w:tc>
          <w:tcPr>
            <w:tcW w:w="1417" w:type="dxa"/>
            <w:vAlign w:val="center"/>
          </w:tcPr>
          <w:p w:rsidR="003F32C9" w:rsidRDefault="00A83BE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</w:t>
            </w:r>
            <w:r w:rsidR="00917625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>I</w:t>
            </w:r>
          </w:p>
        </w:tc>
      </w:tr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Date of Performance: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</w:t>
            </w:r>
            <w:r w:rsidR="00537A07"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/      /20--</w:t>
            </w: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Batch No:</w:t>
            </w:r>
          </w:p>
        </w:tc>
        <w:tc>
          <w:tcPr>
            <w:tcW w:w="1417" w:type="dxa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826453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Student</w:t>
            </w:r>
            <w:r w:rsidR="00917625"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 xml:space="preserve"> Name: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Roll No:</w:t>
            </w:r>
          </w:p>
        </w:tc>
        <w:tc>
          <w:tcPr>
            <w:tcW w:w="1417" w:type="dxa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  <w:tr w:rsidR="003F32C9">
        <w:tc>
          <w:tcPr>
            <w:tcW w:w="2323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Faculty Sign &amp; Date:</w:t>
            </w:r>
          </w:p>
        </w:tc>
        <w:tc>
          <w:tcPr>
            <w:tcW w:w="4395" w:type="dxa"/>
            <w:shd w:val="clear" w:color="auto" w:fill="auto"/>
            <w:vAlign w:val="center"/>
          </w:tcPr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  <w:tc>
          <w:tcPr>
            <w:tcW w:w="1701" w:type="dxa"/>
            <w:shd w:val="clear" w:color="auto" w:fill="auto"/>
            <w:vAlign w:val="center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Grade/Marks:</w:t>
            </w:r>
          </w:p>
        </w:tc>
        <w:tc>
          <w:tcPr>
            <w:tcW w:w="1417" w:type="dxa"/>
            <w:vAlign w:val="center"/>
          </w:tcPr>
          <w:p w:rsidR="003F32C9" w:rsidRDefault="00651D36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     / 20</w:t>
            </w:r>
          </w:p>
        </w:tc>
      </w:tr>
    </w:tbl>
    <w:p w:rsidR="003F32C9" w:rsidRDefault="003F32C9">
      <w:pPr>
        <w:rPr>
          <w:rFonts w:ascii="Times New Roman" w:eastAsia="Times New Roman" w:hAnsi="Times New Roman" w:cs="Times New Roman"/>
          <w:b/>
          <w:sz w:val="28"/>
          <w:szCs w:val="28"/>
        </w:rPr>
      </w:pPr>
      <w:bookmarkStart w:id="0" w:name="_heading=h.1fob9te" w:colFirst="0" w:colLast="0"/>
      <w:bookmarkEnd w:id="0"/>
    </w:p>
    <w:p w:rsidR="003F32C9" w:rsidRDefault="006D5131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 xml:space="preserve">Experiment No: </w:t>
      </w:r>
      <w:r w:rsidR="00926FEA"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3</w:t>
      </w:r>
    </w:p>
    <w:p w:rsidR="003F32C9" w:rsidRDefault="003F32C9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</w:p>
    <w:p w:rsidR="003F32C9" w:rsidRDefault="00917625">
      <w:pPr>
        <w:shd w:val="clear" w:color="auto" w:fill="FFFFFF"/>
        <w:spacing w:after="0" w:line="240" w:lineRule="auto"/>
        <w:ind w:left="-709"/>
        <w:jc w:val="center"/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BC202E"/>
          <w:sz w:val="28"/>
          <w:szCs w:val="28"/>
        </w:rPr>
        <w:t>Title: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Norton’s Theorem</w:t>
      </w:r>
    </w:p>
    <w:p w:rsidR="003F32C9" w:rsidRDefault="003F32C9">
      <w:pPr>
        <w:pBdr>
          <w:top w:val="nil"/>
          <w:left w:val="nil"/>
          <w:bottom w:val="nil"/>
          <w:right w:val="nil"/>
          <w:between w:val="nil"/>
        </w:pBdr>
        <w:spacing w:after="0" w:line="240" w:lineRule="auto"/>
        <w:ind w:left="284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</w:p>
    <w:tbl>
      <w:tblPr>
        <w:tblStyle w:val="ab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shd w:val="clear" w:color="auto" w:fill="FFFFFF"/>
              <w:ind w:left="-709" w:firstLine="709"/>
              <w:rPr>
                <w:rFonts w:ascii="Arial" w:eastAsia="Arial" w:hAnsi="Arial" w:cs="Arial"/>
                <w:b/>
                <w:color w:val="222222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Aim and Objective of the Experiment:</w:t>
            </w:r>
          </w:p>
        </w:tc>
      </w:tr>
      <w:tr w:rsidR="003F32C9">
        <w:tc>
          <w:tcPr>
            <w:tcW w:w="9914" w:type="dxa"/>
          </w:tcPr>
          <w:p w:rsidR="003F32C9" w:rsidRDefault="00917625">
            <w:pPr>
              <w:widowControl w:val="0"/>
              <w:numPr>
                <w:ilvl w:val="0"/>
                <w:numId w:val="1"/>
              </w:numP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To Verify Norton Theorem for the Circuit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.</w:t>
            </w:r>
            <w:r w:rsidR="00201C02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</w:rPr>
              <w:t>(Using VLAB)</w:t>
            </w:r>
          </w:p>
        </w:tc>
      </w:tr>
    </w:tbl>
    <w:p w:rsidR="003F32C9" w:rsidRDefault="003F32C9">
      <w:pPr>
        <w:shd w:val="clear" w:color="auto" w:fill="FFFFFF"/>
        <w:spacing w:after="0" w:line="240" w:lineRule="auto"/>
        <w:ind w:left="-709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c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COs to be achieved:</w:t>
            </w:r>
          </w:p>
        </w:tc>
      </w:tr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CO1: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 w:rsidR="00201C02">
              <w:rPr>
                <w:rFonts w:ascii="Times New Roman" w:eastAsia="Times New Roman" w:hAnsi="Times New Roman" w:cs="Times New Roman"/>
                <w:color w:val="000000"/>
              </w:rPr>
              <w:t>Analyze resistive DC networks using various network theorems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</w:tbl>
    <w:p w:rsidR="003F32C9" w:rsidRDefault="003F32C9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d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Circuit Diagram:</w:t>
            </w:r>
          </w:p>
        </w:tc>
      </w:tr>
      <w:tr w:rsidR="003F32C9">
        <w:tc>
          <w:tcPr>
            <w:tcW w:w="9914" w:type="dxa"/>
          </w:tcPr>
          <w:p w:rsidR="00BA736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  <w:r>
              <w:rPr>
                <w:rFonts w:ascii="Times New Roman" w:eastAsia="Times New Roman" w:hAnsi="Times New Roman" w:cs="Times New Roman"/>
                <w:b/>
              </w:rPr>
              <w:t xml:space="preserve">Circuit Diagram: </w:t>
            </w: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9D03B6" w:rsidRDefault="009D03B6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</w:rPr>
            </w:pPr>
          </w:p>
          <w:p w:rsidR="003F32C9" w:rsidRDefault="009176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1: Circuit Diagram to measure R</w:t>
            </w:r>
            <w:r w:rsidR="00926FEA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N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:</w:t>
            </w: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917625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Task 3: Circuit Diagram to measure</w:t>
            </w:r>
            <w:r w:rsidR="009D03B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I</w:t>
            </w:r>
            <w:r w:rsidR="009D03B6" w:rsidRPr="009D03B6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N</w:t>
            </w:r>
            <w:r w:rsidR="009D03B6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(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I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SC</w:t>
            </w:r>
            <w:r w:rsidR="009D03B6"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)</w:t>
            </w: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  <w:t>:</w:t>
            </w: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3F32C9" w:rsidRDefault="003F32C9">
            <w:pPr>
              <w:widowControl w:val="0"/>
              <w:spacing w:line="281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  <w:vertAlign w:val="subscript"/>
              </w:rPr>
            </w:pPr>
          </w:p>
          <w:p w:rsidR="008A4CAE" w:rsidRDefault="008A4CAE">
            <w:pPr>
              <w:widowControl w:val="0"/>
              <w:spacing w:line="264" w:lineRule="auto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</w:tc>
      </w:tr>
    </w:tbl>
    <w:p w:rsidR="003F32C9" w:rsidRDefault="003F32C9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e"/>
        <w:tblW w:w="9782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3F32C9">
        <w:trPr>
          <w:trHeight w:val="467"/>
        </w:trPr>
        <w:tc>
          <w:tcPr>
            <w:tcW w:w="9782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Stepwise-Procedure:</w:t>
            </w:r>
          </w:p>
        </w:tc>
      </w:tr>
      <w:tr w:rsidR="003F32C9" w:rsidTr="00386D7D">
        <w:trPr>
          <w:trHeight w:val="4585"/>
        </w:trPr>
        <w:tc>
          <w:tcPr>
            <w:tcW w:w="9782" w:type="dxa"/>
          </w:tcPr>
          <w:p w:rsidR="003F32C9" w:rsidRDefault="009176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Norton’s Theorem:</w:t>
            </w:r>
            <w:r w:rsidR="00386D7D"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 (Using VLAB)</w:t>
            </w:r>
          </w:p>
          <w:p w:rsidR="00386D7D" w:rsidRDefault="00386D7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Using following link open VLAB experiment for Norton’s Theorem Verification.</w:t>
            </w:r>
          </w:p>
          <w:p w:rsidR="003F32C9" w:rsidRDefault="001825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hyperlink r:id="rId9" w:history="1">
              <w:r w:rsidRPr="001A5CC2">
                <w:rPr>
                  <w:rStyle w:val="Hyperlink"/>
                  <w:rFonts w:ascii="Times New Roman" w:eastAsia="Times New Roman" w:hAnsi="Times New Roman" w:cs="Times New Roman"/>
                  <w:sz w:val="24"/>
                  <w:szCs w:val="24"/>
                </w:rPr>
                <w:t>http://vlabs.iitkgp.ernet.in/asnm/exp2/index.html#</w:t>
              </w:r>
            </w:hyperlink>
          </w:p>
          <w:p w:rsidR="0018254A" w:rsidRDefault="0018254A">
            <w:pPr>
              <w:widowControl w:val="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bookmarkStart w:id="1" w:name="_GoBack"/>
            <w:bookmarkEnd w:id="1"/>
          </w:p>
          <w:p w:rsidR="003F32C9" w:rsidRPr="00386D7D" w:rsidRDefault="00386D7D" w:rsidP="00386D7D">
            <w:pPr>
              <w:pStyle w:val="ListParagraph"/>
              <w:widowControl w:val="0"/>
              <w:numPr>
                <w:ilvl w:val="0"/>
                <w:numId w:val="2"/>
              </w:numPr>
              <w:spacing w:line="23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D7D">
              <w:rPr>
                <w:rFonts w:ascii="Times New Roman" w:eastAsia="Times New Roman" w:hAnsi="Times New Roman" w:cs="Times New Roman"/>
                <w:sz w:val="24"/>
                <w:szCs w:val="24"/>
              </w:rPr>
              <w:t>Verify Norton’s Theorem using VLAB.</w:t>
            </w:r>
          </w:p>
          <w:p w:rsidR="00386D7D" w:rsidRDefault="00386D7D" w:rsidP="00386D7D">
            <w:pPr>
              <w:pStyle w:val="ListParagraph"/>
              <w:widowControl w:val="0"/>
              <w:numPr>
                <w:ilvl w:val="0"/>
                <w:numId w:val="2"/>
              </w:numPr>
              <w:spacing w:line="23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D7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Follow the procedure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as mentioned in VLAB.</w:t>
            </w:r>
          </w:p>
          <w:p w:rsidR="00386D7D" w:rsidRDefault="00386D7D" w:rsidP="00386D7D">
            <w:pPr>
              <w:pStyle w:val="ListParagraph"/>
              <w:widowControl w:val="0"/>
              <w:numPr>
                <w:ilvl w:val="0"/>
                <w:numId w:val="2"/>
              </w:numPr>
              <w:spacing w:line="23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D7D">
              <w:rPr>
                <w:rFonts w:ascii="Times New Roman" w:eastAsia="Times New Roman" w:hAnsi="Times New Roman" w:cs="Times New Roman"/>
                <w:sz w:val="24"/>
                <w:szCs w:val="24"/>
              </w:rPr>
              <w:t>Draw Norton’s equivalent circuit and determine the value of load current.</w:t>
            </w:r>
          </w:p>
          <w:p w:rsidR="003F32C9" w:rsidRDefault="00386D7D" w:rsidP="00386D7D">
            <w:pPr>
              <w:pStyle w:val="ListParagraph"/>
              <w:widowControl w:val="0"/>
              <w:numPr>
                <w:ilvl w:val="0"/>
                <w:numId w:val="2"/>
              </w:numPr>
              <w:spacing w:line="23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386D7D">
              <w:rPr>
                <w:rFonts w:ascii="Times New Roman" w:eastAsia="Times New Roman" w:hAnsi="Times New Roman" w:cs="Times New Roman"/>
                <w:sz w:val="24"/>
                <w:szCs w:val="24"/>
              </w:rPr>
              <w:t>Verify the results theoretically</w:t>
            </w:r>
          </w:p>
          <w:p w:rsidR="00386D7D" w:rsidRPr="00386D7D" w:rsidRDefault="00386D7D" w:rsidP="00386D7D">
            <w:pPr>
              <w:pStyle w:val="ListParagraph"/>
              <w:widowControl w:val="0"/>
              <w:numPr>
                <w:ilvl w:val="0"/>
                <w:numId w:val="2"/>
              </w:numPr>
              <w:spacing w:line="23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Attach the screenshots of the circuit,</w:t>
            </w:r>
            <w:r w:rsidR="00A6235E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results</w:t>
            </w:r>
          </w:p>
        </w:tc>
      </w:tr>
      <w:tr w:rsidR="003F32C9">
        <w:trPr>
          <w:trHeight w:val="4940"/>
        </w:trPr>
        <w:tc>
          <w:tcPr>
            <w:tcW w:w="9782" w:type="dxa"/>
          </w:tcPr>
          <w:p w:rsidR="003F32C9" w:rsidRDefault="00917625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lastRenderedPageBreak/>
              <w:t>Calculations:</w:t>
            </w: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8A4CAE" w:rsidRDefault="008A4CAE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86D7D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 xml:space="preserve">Screenshots of Norton’s Theorem using VLAB </w:t>
            </w: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666914" w:rsidRDefault="00666914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  <w:p w:rsidR="003F32C9" w:rsidRDefault="003F32C9">
            <w:pPr>
              <w:widowControl w:val="0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</w:tr>
    </w:tbl>
    <w:p w:rsidR="003F32C9" w:rsidRDefault="003F32C9">
      <w:pPr>
        <w:widowControl w:val="0"/>
        <w:spacing w:after="0" w:line="264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"/>
        <w:tblW w:w="9782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782"/>
      </w:tblGrid>
      <w:tr w:rsidR="003F32C9">
        <w:tc>
          <w:tcPr>
            <w:tcW w:w="9782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lastRenderedPageBreak/>
              <w:t>Observation Table:</w:t>
            </w:r>
          </w:p>
        </w:tc>
      </w:tr>
      <w:tr w:rsidR="003F32C9">
        <w:trPr>
          <w:trHeight w:val="2162"/>
        </w:trPr>
        <w:tc>
          <w:tcPr>
            <w:tcW w:w="9782" w:type="dxa"/>
          </w:tcPr>
          <w:p w:rsidR="003F32C9" w:rsidRDefault="003F32C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tbl>
            <w:tblPr>
              <w:tblStyle w:val="af0"/>
              <w:tblW w:w="6712" w:type="dxa"/>
              <w:tblBorders>
                <w:top w:val="single" w:sz="4" w:space="0" w:color="000000"/>
                <w:left w:val="single" w:sz="4" w:space="0" w:color="000000"/>
                <w:bottom w:val="single" w:sz="4" w:space="0" w:color="000000"/>
                <w:right w:val="single" w:sz="4" w:space="0" w:color="000000"/>
                <w:insideH w:val="single" w:sz="4" w:space="0" w:color="000000"/>
                <w:insideV w:val="single" w:sz="4" w:space="0" w:color="000000"/>
              </w:tblBorders>
              <w:tblLayout w:type="fixed"/>
              <w:tblLook w:val="0400" w:firstRow="0" w:lastRow="0" w:firstColumn="0" w:lastColumn="0" w:noHBand="0" w:noVBand="1"/>
            </w:tblPr>
            <w:tblGrid>
              <w:gridCol w:w="2212"/>
              <w:gridCol w:w="1530"/>
              <w:gridCol w:w="1440"/>
              <w:gridCol w:w="1530"/>
            </w:tblGrid>
            <w:tr w:rsidR="008A4CAE" w:rsidTr="008A4CAE">
              <w:trPr>
                <w:trHeight w:val="461"/>
              </w:trPr>
              <w:tc>
                <w:tcPr>
                  <w:tcW w:w="2212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R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 xml:space="preserve">TH 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/ R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 xml:space="preserve">N </w:t>
                  </w:r>
                </w:p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(Ω)</w:t>
                  </w:r>
                </w:p>
              </w:tc>
              <w:tc>
                <w:tcPr>
                  <w:tcW w:w="1440" w:type="dxa"/>
                </w:tcPr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 xml:space="preserve">N 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(mA)</w:t>
                  </w:r>
                </w:p>
              </w:tc>
              <w:tc>
                <w:tcPr>
                  <w:tcW w:w="1530" w:type="dxa"/>
                </w:tcPr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I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  <w:vertAlign w:val="subscript"/>
                    </w:rPr>
                    <w:t>L</w:t>
                  </w: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 xml:space="preserve"> (mA)</w:t>
                  </w:r>
                </w:p>
              </w:tc>
            </w:tr>
            <w:tr w:rsidR="008A4CAE" w:rsidTr="008A4CAE">
              <w:trPr>
                <w:trHeight w:val="207"/>
              </w:trPr>
              <w:tc>
                <w:tcPr>
                  <w:tcW w:w="2212" w:type="dxa"/>
                </w:tcPr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Theoretical value</w:t>
                  </w:r>
                </w:p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440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</w:tr>
            <w:tr w:rsidR="008A4CAE" w:rsidTr="008A4CAE">
              <w:trPr>
                <w:trHeight w:val="207"/>
              </w:trPr>
              <w:tc>
                <w:tcPr>
                  <w:tcW w:w="2212" w:type="dxa"/>
                </w:tcPr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  <w:r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  <w:t>Practical value</w:t>
                  </w:r>
                </w:p>
                <w:p w:rsidR="008A4CAE" w:rsidRDefault="008A4CAE">
                  <w:pPr>
                    <w:widowControl w:val="0"/>
                    <w:spacing w:line="200" w:lineRule="auto"/>
                    <w:rPr>
                      <w:rFonts w:ascii="Times New Roman" w:eastAsia="Times New Roman" w:hAnsi="Times New Roman" w:cs="Times New Roman"/>
                      <w:b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440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  <w:tc>
                <w:tcPr>
                  <w:tcW w:w="1530" w:type="dxa"/>
                </w:tcPr>
                <w:p w:rsidR="008A4CAE" w:rsidRDefault="008A4CAE">
                  <w:pPr>
                    <w:jc w:val="both"/>
                    <w:rPr>
                      <w:rFonts w:ascii="Times New Roman" w:eastAsia="Times New Roman" w:hAnsi="Times New Roman" w:cs="Times New Roman"/>
                      <w:b/>
                      <w:color w:val="BC202E"/>
                      <w:sz w:val="24"/>
                      <w:szCs w:val="24"/>
                    </w:rPr>
                  </w:pPr>
                </w:p>
              </w:tc>
            </w:tr>
          </w:tbl>
          <w:p w:rsidR="003F32C9" w:rsidRDefault="003F32C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</w:tc>
      </w:tr>
      <w:tr w:rsidR="003F32C9">
        <w:trPr>
          <w:trHeight w:val="260"/>
        </w:trPr>
        <w:tc>
          <w:tcPr>
            <w:tcW w:w="9782" w:type="dxa"/>
          </w:tcPr>
          <w:p w:rsidR="003F32C9" w:rsidRDefault="0091762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  <w:t xml:space="preserve">Draw Norton’s Equivalent circuit </w:t>
            </w: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  <w:p w:rsidR="003F32C9" w:rsidRDefault="003F32C9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both"/>
              <w:rPr>
                <w:rFonts w:ascii="Times New Roman" w:eastAsia="Times New Roman" w:hAnsi="Times New Roman" w:cs="Times New Roman"/>
                <w:b/>
                <w:color w:val="000000"/>
                <w:sz w:val="24"/>
                <w:szCs w:val="24"/>
              </w:rPr>
            </w:pPr>
          </w:p>
        </w:tc>
      </w:tr>
    </w:tbl>
    <w:p w:rsidR="003F32C9" w:rsidRDefault="003F32C9">
      <w:pPr>
        <w:widowControl w:val="0"/>
        <w:spacing w:after="0" w:line="264" w:lineRule="auto"/>
        <w:ind w:hanging="851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1"/>
        <w:tblW w:w="9914" w:type="dxa"/>
        <w:tblInd w:w="-23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914"/>
      </w:tblGrid>
      <w:tr w:rsidR="003F32C9">
        <w:tc>
          <w:tcPr>
            <w:tcW w:w="9914" w:type="dxa"/>
          </w:tcPr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Conclusion:</w:t>
            </w:r>
          </w:p>
        </w:tc>
      </w:tr>
      <w:tr w:rsidR="003F32C9">
        <w:tc>
          <w:tcPr>
            <w:tcW w:w="9914" w:type="dxa"/>
          </w:tcPr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3F32C9" w:rsidRDefault="003F32C9">
            <w:pPr>
              <w:jc w:val="both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:rsidR="003F32C9" w:rsidRDefault="003F32C9">
      <w:pPr>
        <w:spacing w:after="0" w:line="240" w:lineRule="auto"/>
        <w:jc w:val="both"/>
        <w:rPr>
          <w:rFonts w:ascii="Times New Roman" w:eastAsia="Times New Roman" w:hAnsi="Times New Roman" w:cs="Times New Roman"/>
          <w:b/>
          <w:sz w:val="24"/>
          <w:szCs w:val="24"/>
        </w:rPr>
      </w:pPr>
    </w:p>
    <w:tbl>
      <w:tblPr>
        <w:tblStyle w:val="af2"/>
        <w:tblW w:w="4758" w:type="dxa"/>
        <w:tblInd w:w="501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758"/>
      </w:tblGrid>
      <w:tr w:rsidR="003F32C9">
        <w:tc>
          <w:tcPr>
            <w:tcW w:w="4758" w:type="dxa"/>
          </w:tcPr>
          <w:p w:rsidR="003F32C9" w:rsidRDefault="003F32C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3F32C9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</w:p>
          <w:p w:rsidR="003F32C9" w:rsidRDefault="00917625">
            <w:pPr>
              <w:widowControl w:val="0"/>
              <w:spacing w:line="264" w:lineRule="auto"/>
              <w:jc w:val="both"/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BC202E"/>
                <w:sz w:val="24"/>
                <w:szCs w:val="24"/>
              </w:rPr>
              <w:t>Signature of faculty in-charge with Date:</w:t>
            </w:r>
          </w:p>
        </w:tc>
      </w:tr>
    </w:tbl>
    <w:p w:rsidR="003F32C9" w:rsidRDefault="003F32C9">
      <w:bookmarkStart w:id="2" w:name="_heading=h.gjdgxs" w:colFirst="0" w:colLast="0"/>
      <w:bookmarkEnd w:id="2"/>
    </w:p>
    <w:sectPr w:rsidR="003F32C9">
      <w:headerReference w:type="default" r:id="rId10"/>
      <w:footerReference w:type="default" r:id="rId11"/>
      <w:pgSz w:w="12240" w:h="15840"/>
      <w:pgMar w:top="1530" w:right="90" w:bottom="1440" w:left="1440" w:header="9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1A5799" w:rsidRDefault="001A5799">
      <w:pPr>
        <w:spacing w:after="0" w:line="240" w:lineRule="auto"/>
      </w:pPr>
      <w:r>
        <w:separator/>
      </w:r>
    </w:p>
  </w:endnote>
  <w:endnote w:type="continuationSeparator" w:id="0">
    <w:p w:rsidR="001A5799" w:rsidRDefault="001A57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2C9" w:rsidRDefault="003F32C9"/>
  <w:tbl>
    <w:tblPr>
      <w:tblStyle w:val="af4"/>
      <w:tblW w:w="10916" w:type="dxa"/>
      <w:tblInd w:w="-798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44"/>
      <w:gridCol w:w="3969"/>
      <w:gridCol w:w="3403"/>
    </w:tblGrid>
    <w:tr w:rsidR="003F32C9">
      <w:tc>
        <w:tcPr>
          <w:tcW w:w="3544" w:type="dxa"/>
        </w:tcPr>
        <w:p w:rsidR="003F32C9" w:rsidRDefault="00386D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B</w:t>
          </w:r>
          <w:r w:rsidR="00917625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EE</w:t>
          </w:r>
          <w:r w:rsidR="00537A07"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L</w:t>
          </w:r>
        </w:p>
      </w:tc>
      <w:tc>
        <w:tcPr>
          <w:tcW w:w="3969" w:type="dxa"/>
        </w:tcPr>
        <w:p w:rsidR="003F32C9" w:rsidRDefault="009176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Semester: I</w:t>
          </w:r>
        </w:p>
      </w:tc>
      <w:tc>
        <w:tcPr>
          <w:tcW w:w="3403" w:type="dxa"/>
        </w:tcPr>
        <w:p w:rsidR="003F32C9" w:rsidRDefault="00386D7D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>Academic Year: 2025-26</w:t>
          </w:r>
        </w:p>
      </w:tc>
    </w:tr>
    <w:tr w:rsidR="003F32C9">
      <w:tc>
        <w:tcPr>
          <w:tcW w:w="3544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969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jc w:val="center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</w:p>
      </w:tc>
      <w:tc>
        <w:tcPr>
          <w:tcW w:w="3403" w:type="dxa"/>
        </w:tcPr>
        <w:p w:rsidR="003F32C9" w:rsidRDefault="00917625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right="1310"/>
            <w:jc w:val="right"/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</w:pPr>
          <w:r>
            <w:rPr>
              <w:rFonts w:ascii="Times New Roman" w:eastAsia="Times New Roman" w:hAnsi="Times New Roman" w:cs="Times New Roman"/>
              <w:color w:val="000000"/>
              <w:sz w:val="20"/>
              <w:szCs w:val="20"/>
            </w:rPr>
            <w:t xml:space="preserve">                     </w:t>
          </w:r>
        </w:p>
      </w:tc>
    </w:tr>
  </w:tbl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ind w:left="-1440"/>
      <w:jc w:val="center"/>
      <w:rPr>
        <w:color w:val="000000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1A5799" w:rsidRDefault="001A5799">
      <w:pPr>
        <w:spacing w:after="0" w:line="240" w:lineRule="auto"/>
      </w:pPr>
      <w:r>
        <w:separator/>
      </w:r>
    </w:p>
  </w:footnote>
  <w:footnote w:type="continuationSeparator" w:id="0">
    <w:p w:rsidR="001A5799" w:rsidRDefault="001A579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  <w:tbl>
    <w:tblPr>
      <w:tblStyle w:val="af3"/>
      <w:tblW w:w="11925" w:type="dxa"/>
      <w:tblInd w:w="-1450" w:type="dxa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Look w:val="0400" w:firstRow="0" w:lastRow="0" w:firstColumn="0" w:lastColumn="0" w:noHBand="0" w:noVBand="1"/>
    </w:tblPr>
    <w:tblGrid>
      <w:gridCol w:w="3572"/>
      <w:gridCol w:w="6154"/>
      <w:gridCol w:w="2199"/>
    </w:tblGrid>
    <w:tr w:rsidR="003F32C9">
      <w:trPr>
        <w:trHeight w:val="907"/>
      </w:trPr>
      <w:tc>
        <w:tcPr>
          <w:tcW w:w="3572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</w:tabs>
            <w:ind w:firstLine="258"/>
            <w:rPr>
              <w:color w:val="000000"/>
            </w:rPr>
          </w:pPr>
          <w:bookmarkStart w:id="3" w:name="_heading=h.30j0zll" w:colFirst="0" w:colLast="0"/>
          <w:bookmarkEnd w:id="3"/>
        </w:p>
      </w:tc>
      <w:tc>
        <w:tcPr>
          <w:tcW w:w="6154" w:type="dxa"/>
          <w:vAlign w:val="center"/>
        </w:tcPr>
        <w:p w:rsidR="001A73E9" w:rsidRPr="001A73E9" w:rsidRDefault="001A73E9" w:rsidP="001A73E9">
          <w:pPr>
            <w:tabs>
              <w:tab w:val="center" w:pos="4513"/>
              <w:tab w:val="right" w:pos="9026"/>
            </w:tabs>
            <w:jc w:val="center"/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</w:pPr>
          <w:r w:rsidRPr="001A73E9">
            <w:rPr>
              <w:rFonts w:ascii="Times New Roman" w:eastAsia="Times New Roman" w:hAnsi="Times New Roman" w:cs="Times New Roman"/>
              <w:b/>
              <w:color w:val="000000"/>
              <w:sz w:val="24"/>
              <w:szCs w:val="24"/>
            </w:rPr>
            <w:t>K. J. Somaiya School of Engineering, Mumbai-77</w:t>
          </w:r>
        </w:p>
        <w:p w:rsidR="003F32C9" w:rsidRDefault="001A73E9" w:rsidP="001A73E9">
          <w:pPr>
            <w:tabs>
              <w:tab w:val="center" w:pos="4513"/>
              <w:tab w:val="right" w:pos="9026"/>
            </w:tabs>
            <w:jc w:val="center"/>
            <w:rPr>
              <w:color w:val="BC202E"/>
              <w:sz w:val="24"/>
              <w:szCs w:val="24"/>
            </w:rPr>
          </w:pPr>
          <w:r w:rsidRPr="00DC3BBC">
            <w:rPr>
              <w:rFonts w:ascii="Times New Roman" w:eastAsia="Times New Roman" w:hAnsi="Times New Roman" w:cs="Times New Roman"/>
              <w:b/>
              <w:color w:val="C00000"/>
              <w:sz w:val="24"/>
              <w:szCs w:val="24"/>
            </w:rPr>
            <w:t>Department of Sciences and Humanities</w:t>
          </w:r>
        </w:p>
      </w:tc>
      <w:tc>
        <w:tcPr>
          <w:tcW w:w="2199" w:type="dxa"/>
        </w:tcPr>
        <w:p w:rsidR="003F32C9" w:rsidRDefault="003F32C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680"/>
              <w:tab w:val="right" w:pos="9360"/>
              <w:tab w:val="left" w:pos="735"/>
              <w:tab w:val="right" w:pos="2664"/>
            </w:tabs>
            <w:rPr>
              <w:color w:val="000000"/>
            </w:rPr>
          </w:pPr>
        </w:p>
      </w:tc>
    </w:tr>
  </w:tbl>
  <w:p w:rsidR="003F32C9" w:rsidRDefault="003F32C9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7AE40CA"/>
    <w:multiLevelType w:val="hybridMultilevel"/>
    <w:tmpl w:val="BC0ED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B2C640D"/>
    <w:multiLevelType w:val="multilevel"/>
    <w:tmpl w:val="0A3CFAE4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">
    <w:nsid w:val="42B85BA1"/>
    <w:multiLevelType w:val="hybridMultilevel"/>
    <w:tmpl w:val="BC0ED73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3F32C9"/>
    <w:rsid w:val="00054774"/>
    <w:rsid w:val="0018254A"/>
    <w:rsid w:val="00197084"/>
    <w:rsid w:val="001A5799"/>
    <w:rsid w:val="001A73E9"/>
    <w:rsid w:val="001B6CE2"/>
    <w:rsid w:val="00201C02"/>
    <w:rsid w:val="00223030"/>
    <w:rsid w:val="00331FEE"/>
    <w:rsid w:val="003608A6"/>
    <w:rsid w:val="00386D7D"/>
    <w:rsid w:val="003F048C"/>
    <w:rsid w:val="003F32C9"/>
    <w:rsid w:val="00537A07"/>
    <w:rsid w:val="00651D36"/>
    <w:rsid w:val="00656913"/>
    <w:rsid w:val="00666914"/>
    <w:rsid w:val="006B4E13"/>
    <w:rsid w:val="006D5131"/>
    <w:rsid w:val="00826453"/>
    <w:rsid w:val="008A4CAE"/>
    <w:rsid w:val="008E4D9D"/>
    <w:rsid w:val="00917625"/>
    <w:rsid w:val="00926FEA"/>
    <w:rsid w:val="009920DF"/>
    <w:rsid w:val="009D03B6"/>
    <w:rsid w:val="009F16A1"/>
    <w:rsid w:val="00A514F7"/>
    <w:rsid w:val="00A6235E"/>
    <w:rsid w:val="00A83BE3"/>
    <w:rsid w:val="00BA7366"/>
    <w:rsid w:val="00CA73E5"/>
    <w:rsid w:val="00DC3BBC"/>
    <w:rsid w:val="00EA5C67"/>
    <w:rsid w:val="00ED6512"/>
    <w:rsid w:val="00EF51CA"/>
    <w:rsid w:val="00F30131"/>
    <w:rsid w:val="00FE3F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Hyperlink">
    <w:name w:val="Hyperlink"/>
    <w:basedOn w:val="DefaultParagraphFont"/>
    <w:uiPriority w:val="99"/>
    <w:unhideWhenUsed/>
    <w:rsid w:val="0018254A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675C8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75C8"/>
  </w:style>
  <w:style w:type="paragraph" w:styleId="Footer">
    <w:name w:val="footer"/>
    <w:basedOn w:val="Normal"/>
    <w:link w:val="FooterChar"/>
    <w:uiPriority w:val="99"/>
    <w:unhideWhenUsed/>
    <w:rsid w:val="00E675C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75C8"/>
  </w:style>
  <w:style w:type="table" w:styleId="TableGrid">
    <w:name w:val="Table Grid"/>
    <w:basedOn w:val="TableNormal"/>
    <w:uiPriority w:val="59"/>
    <w:rsid w:val="00E675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qFormat/>
    <w:rsid w:val="00E675C8"/>
    <w:pPr>
      <w:suppressAutoHyphens/>
      <w:spacing w:after="0" w:line="240" w:lineRule="auto"/>
    </w:pPr>
    <w:rPr>
      <w:rFonts w:eastAsia="Times New Roman"/>
      <w:lang w:eastAsia="zh-CN"/>
    </w:rPr>
  </w:style>
  <w:style w:type="paragraph" w:customStyle="1" w:styleId="TableContents">
    <w:name w:val="Table Contents"/>
    <w:basedOn w:val="Normal"/>
    <w:rsid w:val="00E675C8"/>
    <w:pPr>
      <w:suppressLineNumbers/>
      <w:suppressAutoHyphens/>
    </w:pPr>
    <w:rPr>
      <w:lang w:val="en-IN" w:eastAsia="zh-CN"/>
    </w:rPr>
  </w:style>
  <w:style w:type="paragraph" w:styleId="ListParagraph">
    <w:name w:val="List Paragraph"/>
    <w:basedOn w:val="Normal"/>
    <w:uiPriority w:val="34"/>
    <w:qFormat/>
    <w:rsid w:val="00E675C8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E675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675C8"/>
    <w:rPr>
      <w:rFonts w:ascii="Tahoma" w:hAnsi="Tahoma" w:cs="Tahoma"/>
      <w:sz w:val="16"/>
      <w:szCs w:val="16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5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6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7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8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9">
    <w:basedOn w:val="TableNormal"/>
    <w:pPr>
      <w:spacing w:after="0" w:line="240" w:lineRule="auto"/>
    </w:pPr>
    <w:tblPr>
      <w:tblStyleRowBandSize w:val="1"/>
      <w:tblStyleColBandSize w:val="1"/>
    </w:tblPr>
  </w:style>
  <w:style w:type="paragraph" w:styleId="NormalWeb">
    <w:name w:val="Normal (Web)"/>
    <w:basedOn w:val="Normal"/>
    <w:uiPriority w:val="99"/>
    <w:unhideWhenUsed/>
    <w:rsid w:val="00FC559F"/>
    <w:pPr>
      <w:spacing w:before="100" w:beforeAutospacing="1" w:after="115"/>
    </w:pPr>
    <w:rPr>
      <w:rFonts w:ascii="Times New Roman" w:eastAsia="Times New Roman" w:hAnsi="Times New Roman" w:cs="Times New Roman"/>
      <w:color w:val="000000"/>
      <w:sz w:val="24"/>
      <w:szCs w:val="24"/>
      <w:lang w:eastAsia="en-US"/>
    </w:rPr>
  </w:style>
  <w:style w:type="character" w:customStyle="1" w:styleId="ez-toc-section">
    <w:name w:val="ez-toc-section"/>
    <w:rsid w:val="00FC559F"/>
  </w:style>
  <w:style w:type="table" w:customStyle="1" w:styleId="aa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b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c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d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e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0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1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2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3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table" w:customStyle="1" w:styleId="af4">
    <w:basedOn w:val="TableNormal"/>
    <w:pPr>
      <w:spacing w:after="0" w:line="240" w:lineRule="auto"/>
    </w:pPr>
    <w:tblPr>
      <w:tblStyleRowBandSize w:val="1"/>
      <w:tblStyleColBandSize w:val="1"/>
      <w:tblCellMar>
        <w:top w:w="55" w:type="dxa"/>
        <w:left w:w="55" w:type="dxa"/>
        <w:bottom w:w="55" w:type="dxa"/>
        <w:right w:w="55" w:type="dxa"/>
      </w:tblCellMar>
    </w:tblPr>
  </w:style>
  <w:style w:type="character" w:styleId="Hyperlink">
    <w:name w:val="Hyperlink"/>
    <w:basedOn w:val="DefaultParagraphFont"/>
    <w:uiPriority w:val="99"/>
    <w:unhideWhenUsed/>
    <w:rsid w:val="0018254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microsoft.com/office/2007/relationships/stylesWithEffects" Target="stylesWithEffects.xml"/><Relationship Id="rId9" Type="http://schemas.openxmlformats.org/officeDocument/2006/relationships/hyperlink" Target="http://vlabs.iitkgp.ernet.in/asnm/exp2/index.html#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/2eSu8BjA2Q4EwqFdl7YjwlPyAw==">CgMxLjAyCWguMWZvYjl0ZTIIaC5namRneHMyCWguMzBqMHpsbDgAciExbVJ0dGxPalZON05tTG8xRnVMT1FwVmktNDdrMS04WVE=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 Inc.</Company>
  <LinksUpToDate>false</LinksUpToDate>
  <CharactersWithSpaces>1394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MGK</dc:creator>
  <cp:lastModifiedBy>Admin</cp:lastModifiedBy>
  <cp:revision>10</cp:revision>
  <dcterms:created xsi:type="dcterms:W3CDTF">2025-09-19T07:43:00Z</dcterms:created>
  <dcterms:modified xsi:type="dcterms:W3CDTF">2025-09-19T08:35:00Z</dcterms:modified>
</cp:coreProperties>
</file>