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B720" w14:textId="58ABE5BE" w:rsidR="00F8135A" w:rsidRPr="00F8135A" w:rsidRDefault="00F8135A" w:rsidP="00F8135A">
      <w:pPr>
        <w:rPr>
          <w:rFonts w:ascii="Calibri Light" w:hAnsi="Calibri Light" w:cs="Calibri Light"/>
          <w:b/>
          <w:bCs/>
          <w:sz w:val="48"/>
          <w:szCs w:val="48"/>
        </w:rPr>
      </w:pPr>
      <w:r w:rsidRPr="00F8135A">
        <w:rPr>
          <w:rFonts w:ascii="Calibri Light" w:hAnsi="Calibri Light" w:cs="Calibri Light"/>
          <w:b/>
          <w:bCs/>
          <w:color w:val="000000" w:themeColor="text1"/>
          <w:sz w:val="48"/>
          <w:szCs w:val="48"/>
        </w:rPr>
        <w:t>Marketing Campaign Performance Insights</w:t>
      </w:r>
      <w:r w:rsidRPr="00F8135A">
        <w:br/>
      </w:r>
      <w:r w:rsidRPr="00F8135A">
        <w:rPr>
          <w:i/>
          <w:iCs/>
        </w:rPr>
        <w:t>One-Page Deep-Dive Summary | Python EDA on Marketing Campaign Dataset (22,029 rows, 16 columns)</w:t>
      </w:r>
    </w:p>
    <w:p w14:paraId="15AAC109" w14:textId="77777777" w:rsidR="00F8135A" w:rsidRPr="00F8135A" w:rsidRDefault="00F8135A" w:rsidP="00F8135A">
      <w:pPr>
        <w:rPr>
          <w:color w:val="4472C4" w:themeColor="accent1"/>
        </w:rPr>
      </w:pPr>
      <w:r w:rsidRPr="00F8135A">
        <w:rPr>
          <w:b/>
          <w:bCs/>
          <w:color w:val="4472C4" w:themeColor="accent1"/>
        </w:rPr>
        <w:t>Key Findings</w:t>
      </w:r>
    </w:p>
    <w:p w14:paraId="52BC3C2E" w14:textId="77777777" w:rsidR="00F8135A" w:rsidRPr="00F8135A" w:rsidRDefault="00F8135A" w:rsidP="00F8135A">
      <w:pPr>
        <w:rPr>
          <w:color w:val="4472C4" w:themeColor="accent1"/>
        </w:rPr>
      </w:pPr>
      <w:r w:rsidRPr="00F8135A">
        <w:rPr>
          <w:b/>
          <w:bCs/>
          <w:color w:val="4472C4" w:themeColor="accent1"/>
        </w:rPr>
        <w:t>1. Campaign &amp; Channel Performance</w:t>
      </w:r>
    </w:p>
    <w:p w14:paraId="1A5D8D40" w14:textId="77777777" w:rsidR="00F8135A" w:rsidRPr="00F8135A" w:rsidRDefault="00F8135A" w:rsidP="00F8135A">
      <w:pPr>
        <w:numPr>
          <w:ilvl w:val="0"/>
          <w:numId w:val="1"/>
        </w:numPr>
      </w:pPr>
      <w:r w:rsidRPr="00F8135A">
        <w:rPr>
          <w:b/>
          <w:bCs/>
        </w:rPr>
        <w:t>Top company by avg. ROI:</w:t>
      </w:r>
      <w:r w:rsidRPr="00F8135A">
        <w:t xml:space="preserve"> Alpha Innovations — 187.8% (vs. dataset </w:t>
      </w:r>
      <w:proofErr w:type="spellStart"/>
      <w:r w:rsidRPr="00F8135A">
        <w:t>avg</w:t>
      </w:r>
      <w:proofErr w:type="spellEnd"/>
      <w:r w:rsidRPr="00F8135A">
        <w:t xml:space="preserve"> 182.9%)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Alpha Innovations and NexGen Systems (187.2%) lead narrowly; all five companies sit within a tight 9-point ROI band (178–188%), so no single company dominates. → </w:t>
      </w:r>
      <w:r w:rsidRPr="00F8135A">
        <w:rPr>
          <w:i/>
          <w:iCs/>
        </w:rPr>
        <w:t>Action:</w:t>
      </w:r>
      <w:r w:rsidRPr="00F8135A">
        <w:t xml:space="preserve"> Differences are marginal — focus optimization on channel and cost efficiency rather than company-level reallocation.</w:t>
      </w:r>
    </w:p>
    <w:p w14:paraId="1200903E" w14:textId="77777777" w:rsidR="00F8135A" w:rsidRPr="00F8135A" w:rsidRDefault="00F8135A" w:rsidP="00F8135A">
      <w:pPr>
        <w:numPr>
          <w:ilvl w:val="0"/>
          <w:numId w:val="1"/>
        </w:numPr>
      </w:pPr>
      <w:r w:rsidRPr="00F8135A">
        <w:rPr>
          <w:b/>
          <w:bCs/>
        </w:rPr>
        <w:t>Top channel by conversion rate:</w:t>
      </w:r>
      <w:r w:rsidRPr="00F8135A">
        <w:t xml:space="preserve"> Facebook — 4.78% (Website close second at 4.77%)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All six channels cluster within 0.05% of each other (4.73%–4.78%), meaning channel choice alone isn't driving conversion — Email is lowest at 4.73%. → </w:t>
      </w:r>
      <w:r w:rsidRPr="00F8135A">
        <w:rPr>
          <w:i/>
          <w:iCs/>
        </w:rPr>
        <w:t>Action:</w:t>
      </w:r>
      <w:r w:rsidRPr="00F8135A">
        <w:t xml:space="preserve"> Treat channels as roughly interchangeable for conversion; prioritize based on cost per channel instead.</w:t>
      </w:r>
    </w:p>
    <w:p w14:paraId="3AAA52A5" w14:textId="77777777" w:rsidR="00F8135A" w:rsidRPr="00F8135A" w:rsidRDefault="00F8135A" w:rsidP="00F8135A">
      <w:pPr>
        <w:numPr>
          <w:ilvl w:val="0"/>
          <w:numId w:val="1"/>
        </w:numPr>
      </w:pPr>
      <w:r w:rsidRPr="00F8135A">
        <w:rPr>
          <w:b/>
          <w:bCs/>
        </w:rPr>
        <w:t>Acquisition cost vs. ROI correlation:</w:t>
      </w:r>
      <w:r w:rsidRPr="00F8135A">
        <w:t xml:space="preserve"> r = −0.57 (moderate negative)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Higher acquisition cost is associated with lower ROI — spending more does not buy better returns in this dataset. → </w:t>
      </w:r>
      <w:r w:rsidRPr="00F8135A">
        <w:rPr>
          <w:i/>
          <w:iCs/>
        </w:rPr>
        <w:t>Action:</w:t>
      </w:r>
      <w:r w:rsidRPr="00F8135A">
        <w:t xml:space="preserve"> Audit high-cost campaigns for efficiency; cap acquisition </w:t>
      </w:r>
      <w:proofErr w:type="gramStart"/>
      <w:r w:rsidRPr="00F8135A">
        <w:t>spend</w:t>
      </w:r>
      <w:proofErr w:type="gramEnd"/>
      <w:r w:rsidRPr="00F8135A">
        <w:t xml:space="preserve"> rather than scaling it.</w:t>
      </w:r>
    </w:p>
    <w:p w14:paraId="33315FA8" w14:textId="77777777" w:rsidR="00F8135A" w:rsidRPr="00F8135A" w:rsidRDefault="00F8135A" w:rsidP="00F8135A">
      <w:pPr>
        <w:rPr>
          <w:color w:val="4472C4" w:themeColor="accent1"/>
        </w:rPr>
      </w:pPr>
      <w:r w:rsidRPr="00F8135A">
        <w:rPr>
          <w:b/>
          <w:bCs/>
          <w:color w:val="4472C4" w:themeColor="accent1"/>
        </w:rPr>
        <w:t>2. Time-Based Trends</w:t>
      </w:r>
    </w:p>
    <w:p w14:paraId="082F7019" w14:textId="77777777" w:rsidR="00F8135A" w:rsidRPr="00F8135A" w:rsidRDefault="00F8135A" w:rsidP="00F8135A">
      <w:pPr>
        <w:numPr>
          <w:ilvl w:val="0"/>
          <w:numId w:val="2"/>
        </w:numPr>
      </w:pPr>
      <w:r w:rsidRPr="00F8135A">
        <w:rPr>
          <w:b/>
          <w:bCs/>
        </w:rPr>
        <w:t>Most common campaign duration:</w:t>
      </w:r>
      <w:r w:rsidRPr="00F8135A">
        <w:t xml:space="preserve"> 30 days (9,960 campaigns — the dominant format, followed by 15-day at 5,487)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The 30-day format is used more than all other durations combined. → </w:t>
      </w:r>
      <w:r w:rsidRPr="00F8135A">
        <w:rPr>
          <w:i/>
          <w:iCs/>
        </w:rPr>
        <w:t>Action:</w:t>
      </w:r>
      <w:r w:rsidRPr="00F8135A">
        <w:t xml:space="preserve"> Standardize future campaigns around 30 days unless a specific test justifies otherwise.</w:t>
      </w:r>
    </w:p>
    <w:p w14:paraId="1EEC2E2D" w14:textId="77777777" w:rsidR="00F8135A" w:rsidRPr="00F8135A" w:rsidRDefault="00F8135A" w:rsidP="00F8135A">
      <w:pPr>
        <w:numPr>
          <w:ilvl w:val="0"/>
          <w:numId w:val="2"/>
        </w:numPr>
      </w:pPr>
      <w:r w:rsidRPr="00F8135A">
        <w:rPr>
          <w:b/>
          <w:bCs/>
        </w:rPr>
        <w:t>Conversion rate trend over time:</w:t>
      </w:r>
      <w:r w:rsidRPr="00F8135A">
        <w:t xml:space="preserve"> Flat — 4.77% (Jan) → 4.77% (Dec), fluctuating narrowly all year (4.71%–4.84%)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No company or month shows meaningful conversion growth or decline — conversion rate appears structurally stable rather than campaign-driven. → </w:t>
      </w:r>
      <w:r w:rsidRPr="00F8135A">
        <w:rPr>
          <w:i/>
          <w:iCs/>
        </w:rPr>
        <w:t>Action:</w:t>
      </w:r>
      <w:r w:rsidRPr="00F8135A">
        <w:t xml:space="preserve"> Don't expect conversion gains from timing alone; pair timing with creative/audience changes.</w:t>
      </w:r>
    </w:p>
    <w:p w14:paraId="65B42593" w14:textId="77777777" w:rsidR="00F8135A" w:rsidRPr="00F8135A" w:rsidRDefault="00F8135A" w:rsidP="00F8135A">
      <w:pPr>
        <w:numPr>
          <w:ilvl w:val="0"/>
          <w:numId w:val="2"/>
        </w:numPr>
      </w:pPr>
      <w:r w:rsidRPr="00F8135A">
        <w:rPr>
          <w:b/>
          <w:bCs/>
        </w:rPr>
        <w:t>Engagement score trend:</w:t>
      </w:r>
      <w:r w:rsidRPr="00F8135A">
        <w:t xml:space="preserve"> Strong upward trend — 5.05 (Jan) → 8.50 (Dec), nearly 70% increase across the year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Engagement rises steadily and sharply from mid-year onward (6.49 in June to 8.50 by Nov/Dec) — the clearest trend in the dataset. → </w:t>
      </w:r>
      <w:r w:rsidRPr="00F8135A">
        <w:rPr>
          <w:i/>
          <w:iCs/>
        </w:rPr>
        <w:t>Action:</w:t>
      </w:r>
      <w:r w:rsidRPr="00F8135A">
        <w:t xml:space="preserve"> Investigate what changed operationally in H2 (content, targeting, seasonality) and replicate it going into next year.</w:t>
      </w:r>
    </w:p>
    <w:p w14:paraId="4B125F34" w14:textId="77777777" w:rsidR="00F8135A" w:rsidRPr="00F8135A" w:rsidRDefault="00F8135A" w:rsidP="00F8135A">
      <w:pPr>
        <w:rPr>
          <w:color w:val="4472C4" w:themeColor="accent1"/>
        </w:rPr>
      </w:pPr>
      <w:r w:rsidRPr="00F8135A">
        <w:rPr>
          <w:b/>
          <w:bCs/>
          <w:color w:val="4472C4" w:themeColor="accent1"/>
        </w:rPr>
        <w:t>3. Geographic Insights</w:t>
      </w:r>
    </w:p>
    <w:p w14:paraId="1ADB2FD3" w14:textId="77777777" w:rsidR="00F8135A" w:rsidRPr="00F8135A" w:rsidRDefault="00F8135A" w:rsidP="00F8135A">
      <w:pPr>
        <w:numPr>
          <w:ilvl w:val="0"/>
          <w:numId w:val="3"/>
        </w:numPr>
      </w:pPr>
      <w:r w:rsidRPr="00F8135A">
        <w:rPr>
          <w:b/>
          <w:bCs/>
        </w:rPr>
        <w:t>Highest acquisition cost location:</w:t>
      </w:r>
      <w:r w:rsidRPr="00F8135A">
        <w:t xml:space="preserve"> New York — $5,650.63 (Dallas lowest at $5,459.54)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Cost varies only ~3.5% across all 10 locations — geography is not a major cost driver. → </w:t>
      </w:r>
      <w:r w:rsidRPr="00F8135A">
        <w:rPr>
          <w:i/>
          <w:iCs/>
        </w:rPr>
        <w:t>Action:</w:t>
      </w:r>
      <w:r w:rsidRPr="00F8135A">
        <w:t xml:space="preserve"> Deprioritize location-based cost-cutting; the spread is too narrow to matter much.</w:t>
      </w:r>
    </w:p>
    <w:p w14:paraId="65C674A3" w14:textId="55999AA4" w:rsidR="00F8135A" w:rsidRPr="00F8135A" w:rsidRDefault="00F8135A" w:rsidP="00F8135A">
      <w:pPr>
        <w:numPr>
          <w:ilvl w:val="0"/>
          <w:numId w:val="3"/>
        </w:numPr>
      </w:pPr>
      <w:r w:rsidRPr="00F8135A">
        <w:rPr>
          <w:b/>
          <w:bCs/>
        </w:rPr>
        <w:t>Strongest location + audience combo:</w:t>
      </w:r>
      <w:r w:rsidRPr="00F8135A">
        <w:t xml:space="preserve"> San Francisco, Men 18–24 — 4.85% conversion (Dallas, All Ages close behind at 4.85%)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Top combos cluster around Men 18–24 and "All Ages" segments across </w:t>
      </w:r>
      <w:proofErr w:type="spellStart"/>
      <w:r w:rsidRPr="00F8135A">
        <w:t>SanFrancisco</w:t>
      </w:r>
      <w:proofErr w:type="spellEnd"/>
      <w:r w:rsidRPr="00F8135A">
        <w:t xml:space="preserve">, </w:t>
      </w:r>
      <w:r w:rsidRPr="00F8135A">
        <w:lastRenderedPageBreak/>
        <w:t xml:space="preserve">Dallas, and Los Angeles. → </w:t>
      </w:r>
      <w:r w:rsidRPr="00F8135A">
        <w:rPr>
          <w:i/>
          <w:iCs/>
        </w:rPr>
        <w:t>Action:</w:t>
      </w:r>
      <w:r w:rsidRPr="00F8135A">
        <w:t xml:space="preserve"> Prioritize Men 18–24 targeting in top-performing metro markets.</w:t>
      </w:r>
    </w:p>
    <w:p w14:paraId="097579E5" w14:textId="77777777" w:rsidR="00F8135A" w:rsidRPr="00F8135A" w:rsidRDefault="00F8135A" w:rsidP="00F8135A">
      <w:pPr>
        <w:numPr>
          <w:ilvl w:val="0"/>
          <w:numId w:val="3"/>
        </w:numPr>
      </w:pPr>
      <w:r w:rsidRPr="00F8135A">
        <w:rPr>
          <w:b/>
          <w:bCs/>
        </w:rPr>
        <w:t>Largest share of total ROI:</w:t>
      </w:r>
      <w:r w:rsidRPr="00F8135A">
        <w:t xml:space="preserve"> Chicago — 10.7% of total ROI (San Francisco lowest at 9.3%)</w:t>
      </w:r>
      <w:r w:rsidRPr="00F8135A">
        <w:br/>
      </w:r>
      <w:r w:rsidRPr="00F8135A">
        <w:rPr>
          <w:i/>
          <w:iCs/>
        </w:rPr>
        <w:t>Insight:</w:t>
      </w:r>
      <w:r w:rsidRPr="00F8135A">
        <w:t xml:space="preserve"> ROI share is well-distributed across all 10 locations (9.3%–10.7% range) — no single location dominates or drags down performance. → </w:t>
      </w:r>
      <w:r w:rsidRPr="00F8135A">
        <w:rPr>
          <w:i/>
          <w:iCs/>
        </w:rPr>
        <w:t>Action:</w:t>
      </w:r>
      <w:r w:rsidRPr="00F8135A">
        <w:t xml:space="preserve"> No urgent geographic rebalancing needed; treat all locations as comparably productive.</w:t>
      </w:r>
    </w:p>
    <w:p w14:paraId="7AD1F026" w14:textId="77777777" w:rsidR="00F8135A" w:rsidRPr="00F8135A" w:rsidRDefault="00F8135A" w:rsidP="00F8135A">
      <w:r w:rsidRPr="00F8135A">
        <w:rPr>
          <w:b/>
          <w:bCs/>
          <w:color w:val="4472C4" w:themeColor="accent1"/>
        </w:rPr>
        <w:t>Recommendations</w:t>
      </w:r>
    </w:p>
    <w:p w14:paraId="62F6D737" w14:textId="77777777" w:rsidR="00F8135A" w:rsidRPr="00F8135A" w:rsidRDefault="00F8135A" w:rsidP="00F8135A">
      <w:pPr>
        <w:numPr>
          <w:ilvl w:val="0"/>
          <w:numId w:val="4"/>
        </w:numPr>
      </w:pPr>
      <w:r w:rsidRPr="00F8135A">
        <w:t>Focus optimization on acquisition cost control rather than company or channel selection — both show narrow variance, but cost has the strongest (negative) relationship with ROI.</w:t>
      </w:r>
    </w:p>
    <w:p w14:paraId="32AB4B19" w14:textId="77777777" w:rsidR="00F8135A" w:rsidRPr="00F8135A" w:rsidRDefault="00F8135A" w:rsidP="00F8135A">
      <w:pPr>
        <w:numPr>
          <w:ilvl w:val="0"/>
          <w:numId w:val="4"/>
        </w:numPr>
      </w:pPr>
      <w:r w:rsidRPr="00F8135A">
        <w:t>Standardize campaign length near 30 days, the dominant and best-tested format.</w:t>
      </w:r>
    </w:p>
    <w:p w14:paraId="18908256" w14:textId="77777777" w:rsidR="00F8135A" w:rsidRPr="00F8135A" w:rsidRDefault="00F8135A" w:rsidP="00F8135A">
      <w:pPr>
        <w:numPr>
          <w:ilvl w:val="0"/>
          <w:numId w:val="4"/>
        </w:numPr>
      </w:pPr>
      <w:r w:rsidRPr="00F8135A">
        <w:t>Prioritize Men 18–24 and All-Ages segments in San Francisco, Dallas, and Los Angeles, the strongest-converting location-audience pairs.</w:t>
      </w:r>
    </w:p>
    <w:p w14:paraId="499CE9CC" w14:textId="77777777" w:rsidR="00113A61" w:rsidRPr="00F8135A" w:rsidRDefault="00113A61" w:rsidP="00F8135A">
      <w:pPr>
        <w:rPr>
          <w:lang w:val="en-US"/>
        </w:rPr>
      </w:pPr>
    </w:p>
    <w:sectPr w:rsidR="00113A61" w:rsidRPr="00F81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53D"/>
    <w:multiLevelType w:val="multilevel"/>
    <w:tmpl w:val="24D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7A82"/>
    <w:multiLevelType w:val="multilevel"/>
    <w:tmpl w:val="1FE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70C62"/>
    <w:multiLevelType w:val="multilevel"/>
    <w:tmpl w:val="59D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273AC"/>
    <w:multiLevelType w:val="multilevel"/>
    <w:tmpl w:val="A05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80224">
    <w:abstractNumId w:val="2"/>
  </w:num>
  <w:num w:numId="2" w16cid:durableId="1517379183">
    <w:abstractNumId w:val="1"/>
  </w:num>
  <w:num w:numId="3" w16cid:durableId="1731268303">
    <w:abstractNumId w:val="0"/>
  </w:num>
  <w:num w:numId="4" w16cid:durableId="1715037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5A"/>
    <w:rsid w:val="00113A61"/>
    <w:rsid w:val="00AB14A6"/>
    <w:rsid w:val="00BE68CE"/>
    <w:rsid w:val="00F8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4816"/>
  <w15:chartTrackingRefBased/>
  <w15:docId w15:val="{F0279A9B-B4E3-418F-BA14-F332B078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Dhanapal</dc:creator>
  <cp:keywords/>
  <dc:description/>
  <cp:lastModifiedBy>Dharani Dhanapal</cp:lastModifiedBy>
  <cp:revision>1</cp:revision>
  <dcterms:created xsi:type="dcterms:W3CDTF">2026-09-03T12:08:00Z</dcterms:created>
  <dcterms:modified xsi:type="dcterms:W3CDTF">2026-09-03T12:16:00Z</dcterms:modified>
</cp:coreProperties>
</file>