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Supporting Appendices</w:t>
      </w:r>
    </w:p>
    <w:p>
      <w:r>
        <w:rPr>
          <w:color w:val="000000"/>
        </w:rPr>
        <w:t>Development of a Sales Analytics System Based on Data and Speech-to-Text Technology</w:t>
      </w:r>
    </w:p>
    <w:p>
      <w:r>
        <w:rPr>
          <w:color w:val="000000"/>
        </w:rPr>
        <w:t>Companion to the main checkpoint report  |  22 October 2026</w:t>
      </w:r>
    </w:p>
    <w:p>
      <w:r>
        <w:rPr>
          <w:color w:val="000000"/>
        </w:rPr>
        <w:t>These appendices retain the detailed evidence and specifications behind the shorter report. The article and requirement IDs are the same in both documents. Interview and supervisor forms are blank because those activities remain pending.</w:t>
      </w:r>
    </w:p>
    <w:p>
      <w:pPr>
        <w:pStyle w:val="Heading1"/>
      </w:pPr>
      <w:r>
        <w:rPr>
          <w:color w:val="000000"/>
        </w:rPr>
        <w:t>A Full source analysis</w:t>
      </w:r>
    </w:p>
    <w:p>
      <w:r>
        <w:rPr>
          <w:color w:val="000000"/>
        </w:rPr>
        <w:t>Fifteen scientific publications are included. L12 and L13 remain abstract/preview reviews. Other records retain their stated full-text scope. Sources were first checked on 21–22 October and rechecked on 23 October 2026 using accessible primary records and text; no experiments were replicated. Direct publisher-access failures and fallback manuscripts are documented in research/source_verification.json.</w:t>
      </w:r>
    </w:p>
    <w:p>
      <w:pPr>
        <w:keepNext/>
        <w:keepLines/>
        <w:spacing w:after="140"/>
      </w:pPr>
      <w:r>
        <w:rPr>
          <w:sz w:val="20"/>
          <w:color w:val="000000"/>
        </w:rPr>
      </w:r>
      <w:r>
        <w:rPr>
          <w:b/>
          <w:sz w:val="20"/>
          <w:color w:val="000000"/>
        </w:rPr>
        <w:t xml:space="preserve">L01  </w:t>
      </w:r>
      <w:r>
        <w:rPr>
          <w:sz w:val="20"/>
          <w:color w:val="000000"/>
        </w:rPr>
        <w:t xml:space="preserve">Alec Radford; Jong Wook Kim; Tao Xu; Greg Brockman; Christine McLeavey; Ilya Sutskever (2023). </w:t>
      </w:r>
      <w:hyperlink r:id="rId11">
        <w:r>
          <w:rPr>
            <w:color w:val="000000"/>
            <w:u w:val="single"/>
            <w:sz w:val="20"/>
          </w:rPr>
          <w:t>Robust Speech Recognition via Large-Scale Weak Supervision</w:t>
        </w:r>
      </w:hyperlink>
      <w:r>
        <w:rPr>
          <w:sz w:val="20"/>
          <w:color w:val="000000"/>
        </w:rPr>
        <w:t>. Proceedings of the 40th International Conference on Machine Learning, PMLR 202, 28492–28518.</w:t>
      </w:r>
    </w:p>
    <w:p>
      <w:pPr>
        <w:keepNext/>
      </w:pPr>
      <w:r>
        <w:rPr>
          <w:color w:val="000000"/>
        </w:rPr>
      </w:r>
      <w:hyperlink r:id="rId12">
        <w:r>
          <w:rPr>
            <w:color w:val="000000"/>
            <w:u w:val="single"/>
          </w:rPr>
          <w:t>Full text</w:t>
        </w:r>
      </w:hyperlink>
    </w:p>
    <w:p>
      <w:pPr>
        <w:keepNext/>
      </w:pPr>
      <w:r>
        <w:rPr>
          <w:color w:val="000000"/>
        </w:rPr>
      </w:r>
      <w:r>
        <w:rPr>
          <w:b/>
          <w:color w:val="000000"/>
        </w:rPr>
        <w:t>Approach</w:t>
      </w:r>
      <w:r>
        <w:rPr>
          <w:color w:val="000000"/>
        </w:rPr>
        <w:t xml:space="preserve">  Encoder–decoder Transformer trained with large-scale multilingual weak supervision; zero-shot benchmark evaluation. </w:t>
      </w:r>
      <w:r>
        <w:rPr>
          <w:b/>
          <w:color w:val="000000"/>
        </w:rPr>
        <w:t>Finding</w:t>
      </w:r>
      <w:r>
        <w:rPr>
          <w:color w:val="000000"/>
        </w:rPr>
        <w:t xml:space="preserve">  680,000 training hours support broad zero-shot transfer; multilingual accuracy varies with language resources.</w:t>
      </w:r>
    </w:p>
    <w:p>
      <w:pPr>
        <w:keepNext/>
      </w:pPr>
      <w:r>
        <w:rPr>
          <w:color w:val="000000"/>
        </w:rPr>
      </w:r>
      <w:r>
        <w:rPr>
          <w:b/>
          <w:color w:val="000000"/>
        </w:rPr>
        <w:t>Limit and design use</w:t>
      </w:r>
      <w:r>
        <w:rPr>
          <w:color w:val="000000"/>
        </w:rPr>
        <w:t xml:space="preserve">  Web-data and language imbalance; benchmarks do not validate Kazakhstan sales calls or business-entity accuracy. Reproducible ASR baseline; measure Kazakh, Russian, and mixed-language performance separately.</w:t>
      </w:r>
    </w:p>
    <w:p>
      <w:pPr>
        <w:keepLines/>
      </w:pPr>
      <w:r>
        <w:rPr>
          <w:color w:val="000000"/>
        </w:rPr>
      </w:r>
      <w:r>
        <w:rPr>
          <w:b/>
          <w:color w:val="000000"/>
        </w:rPr>
        <w:t>Evidence checked</w:t>
      </w:r>
      <w:r>
        <w:rPr>
          <w:color w:val="000000"/>
        </w:rPr>
        <w:t xml:space="preserve">  Publisher full text; relevant methods, multilingual evaluation, and training statistics inspected. No replication. </w:t>
      </w:r>
      <w:r>
        <w:rPr>
          <w:b/>
          <w:color w:val="000000"/>
        </w:rPr>
        <w:t>Location</w:t>
      </w:r>
      <w:r>
        <w:rPr>
          <w:color w:val="000000"/>
        </w:rPr>
        <w:t xml:space="preserve">  §§2.1–2.3; §3.4 and Figure 3; Appendix G/Figure 10; bibliography year follows ICML 2023, not preprint 2022.</w:t>
      </w:r>
    </w:p>
    <w:p>
      <w:pPr>
        <w:keepNext/>
        <w:keepLines/>
        <w:spacing w:after="140"/>
      </w:pPr>
      <w:r>
        <w:rPr>
          <w:sz w:val="20"/>
          <w:color w:val="000000"/>
        </w:rPr>
      </w:r>
      <w:r>
        <w:rPr>
          <w:b/>
          <w:sz w:val="20"/>
          <w:color w:val="000000"/>
        </w:rPr>
        <w:t xml:space="preserve">L02  </w:t>
      </w:r>
      <w:r>
        <w:rPr>
          <w:sz w:val="20"/>
          <w:color w:val="000000"/>
        </w:rPr>
        <w:t xml:space="preserve">Max Bain; Jaesung Huh; Tengda Han; Andrew Zisserman (2023). </w:t>
      </w:r>
      <w:hyperlink r:id="rId13">
        <w:r>
          <w:rPr>
            <w:color w:val="000000"/>
            <w:u w:val="single"/>
            <w:sz w:val="20"/>
          </w:rPr>
          <w:t>WhisperX: Time-Accurate Speech Transcription of Long-Form Audio</w:t>
        </w:r>
      </w:hyperlink>
      <w:r>
        <w:rPr>
          <w:sz w:val="20"/>
          <w:color w:val="000000"/>
        </w:rPr>
        <w:t>. Interspeech 2023, 4489–4493.</w:t>
      </w:r>
    </w:p>
    <w:p>
      <w:pPr>
        <w:keepNext/>
      </w:pPr>
      <w:r>
        <w:rPr>
          <w:color w:val="000000"/>
        </w:rPr>
      </w:r>
      <w:r>
        <w:rPr>
          <w:color w:val="000000"/>
        </w:rPr>
        <w:t xml:space="preserve">DOI 10.21437/Interspeech.2023-78  |  </w:t>
      </w:r>
      <w:hyperlink r:id="rId14">
        <w:r>
          <w:rPr>
            <w:color w:val="000000"/>
            <w:u w:val="single"/>
          </w:rPr>
          <w:t>Full text</w:t>
        </w:r>
      </w:hyperlink>
    </w:p>
    <w:p>
      <w:pPr>
        <w:keepNext/>
      </w:pPr>
      <w:r>
        <w:rPr>
          <w:color w:val="000000"/>
        </w:rPr>
      </w:r>
      <w:r>
        <w:rPr>
          <w:b/>
          <w:color w:val="000000"/>
        </w:rPr>
        <w:t>Approach</w:t>
      </w:r>
      <w:r>
        <w:rPr>
          <w:color w:val="000000"/>
        </w:rPr>
        <w:t xml:space="preserve">  Voice activity detection, cut-and-merge segmentation, batched Whisper, and forced phoneme alignment. </w:t>
      </w:r>
      <w:r>
        <w:rPr>
          <w:b/>
          <w:color w:val="000000"/>
        </w:rPr>
        <w:t>Finding</w:t>
      </w:r>
      <w:r>
        <w:rPr>
          <w:color w:val="000000"/>
        </w:rPr>
        <w:t xml:space="preserve">  Improves benchmark word timing and long-form transcription; batching accelerates the tested configuration.</w:t>
      </w:r>
    </w:p>
    <w:p>
      <w:pPr>
        <w:keepNext/>
      </w:pPr>
      <w:r>
        <w:rPr>
          <w:color w:val="000000"/>
        </w:rPr>
      </w:r>
      <w:r>
        <w:rPr>
          <w:b/>
          <w:color w:val="000000"/>
        </w:rPr>
        <w:t>Limit and design use</w:t>
      </w:r>
      <w:r>
        <w:rPr>
          <w:color w:val="000000"/>
        </w:rPr>
        <w:t xml:space="preserve">  Alignment needs suitable language models; non-English word segmentation lacked quantitative evaluation. Timestamp evidence spans for sales facts; validate multilingual timing and local throughput.</w:t>
      </w:r>
    </w:p>
    <w:p>
      <w:pPr>
        <w:keepLines/>
      </w:pPr>
      <w:r>
        <w:rPr>
          <w:color w:val="000000"/>
        </w:rPr>
      </w:r>
      <w:r>
        <w:rPr>
          <w:b/>
          <w:color w:val="000000"/>
        </w:rPr>
        <w:t>Evidence checked</w:t>
      </w:r>
      <w:r>
        <w:rPr>
          <w:color w:val="000000"/>
        </w:rPr>
        <w:t xml:space="preserve">  Publisher full text; pipeline, benchmarks, ablations, and multilingual caveat inspected. No replication. </w:t>
      </w:r>
      <w:r>
        <w:rPr>
          <w:b/>
          <w:color w:val="000000"/>
        </w:rPr>
        <w:t>Location</w:t>
      </w:r>
      <w:r>
        <w:rPr>
          <w:color w:val="000000"/>
        </w:rPr>
        <w:t xml:space="preserve">  Figure 1; §2.5 and footnote 2; §3.4; Tables 2–3. Reported speedups are experimental, not deployment guarantees.</w:t>
      </w:r>
    </w:p>
    <w:p>
      <w:pPr>
        <w:keepNext/>
        <w:keepLines/>
        <w:spacing w:after="140"/>
      </w:pPr>
      <w:r>
        <w:rPr>
          <w:sz w:val="20"/>
          <w:color w:val="000000"/>
        </w:rPr>
      </w:r>
      <w:r>
        <w:rPr>
          <w:b/>
          <w:sz w:val="20"/>
          <w:color w:val="000000"/>
        </w:rPr>
        <w:t xml:space="preserve">L03  </w:t>
      </w:r>
      <w:r>
        <w:rPr>
          <w:sz w:val="20"/>
          <w:color w:val="000000"/>
        </w:rPr>
        <w:t xml:space="preserve">Hervé Bredin (2023). </w:t>
      </w:r>
      <w:hyperlink r:id="rId15">
        <w:r>
          <w:rPr>
            <w:color w:val="000000"/>
            <w:u w:val="single"/>
            <w:sz w:val="20"/>
          </w:rPr>
          <w:t>pyannote.audio 2.1 speaker diarization pipeline: principle, benchmark, and recipe</w:t>
        </w:r>
      </w:hyperlink>
      <w:r>
        <w:rPr>
          <w:sz w:val="20"/>
          <w:color w:val="000000"/>
        </w:rPr>
        <w:t>. Interspeech 2023, 1983–1987.</w:t>
      </w:r>
    </w:p>
    <w:p>
      <w:pPr>
        <w:keepNext/>
      </w:pPr>
      <w:r>
        <w:rPr>
          <w:color w:val="000000"/>
        </w:rPr>
      </w:r>
      <w:r>
        <w:rPr>
          <w:color w:val="000000"/>
        </w:rPr>
        <w:t xml:space="preserve">DOI 10.21437/Interspeech.2023-105  |  </w:t>
      </w:r>
      <w:hyperlink r:id="rId16">
        <w:r>
          <w:rPr>
            <w:color w:val="000000"/>
            <w:u w:val="single"/>
          </w:rPr>
          <w:t>Full text</w:t>
        </w:r>
      </w:hyperlink>
    </w:p>
    <w:p>
      <w:pPr>
        <w:keepNext/>
      </w:pPr>
      <w:r>
        <w:rPr>
          <w:color w:val="000000"/>
        </w:rPr>
      </w:r>
      <w:r>
        <w:rPr>
          <w:b/>
          <w:color w:val="000000"/>
        </w:rPr>
        <w:t>Approach</w:t>
      </w:r>
      <w:r>
        <w:rPr>
          <w:color w:val="000000"/>
        </w:rPr>
        <w:t xml:space="preserve">  Local speaker segmentation, embeddings, and global clustering; domain adaptation experiments. </w:t>
      </w:r>
      <w:r>
        <w:rPr>
          <w:b/>
          <w:color w:val="000000"/>
        </w:rPr>
        <w:t>Finding</w:t>
      </w:r>
      <w:r>
        <w:rPr>
          <w:color w:val="000000"/>
        </w:rPr>
        <w:t xml:space="preserve">  Diarization quality varies across domains; segmentation fine-tuning often improves out-of-domain results.</w:t>
      </w:r>
    </w:p>
    <w:p>
      <w:pPr>
        <w:keepNext/>
      </w:pPr>
      <w:r>
        <w:rPr>
          <w:color w:val="000000"/>
        </w:rPr>
      </w:r>
      <w:r>
        <w:rPr>
          <w:b/>
          <w:color w:val="000000"/>
        </w:rPr>
        <w:t>Limit and design use</w:t>
      </w:r>
      <w:r>
        <w:rPr>
          <w:color w:val="000000"/>
        </w:rPr>
        <w:t xml:space="preserve">  Telephone and difficult acoustic domains retain substantial errors; benchmark scoring conventions affect comparisons. Separate salesperson/customer turns; require DER evaluation and role-label confirmation.</w:t>
      </w:r>
    </w:p>
    <w:p>
      <w:pPr>
        <w:keepLines/>
      </w:pPr>
      <w:r>
        <w:rPr>
          <w:color w:val="000000"/>
        </w:rPr>
      </w:r>
      <w:r>
        <w:rPr>
          <w:b/>
          <w:color w:val="000000"/>
        </w:rPr>
        <w:t>Evidence checked</w:t>
      </w:r>
      <w:r>
        <w:rPr>
          <w:color w:val="000000"/>
        </w:rPr>
        <w:t xml:space="preserve">  Publisher full text; pipeline, 11-benchmark table, and adaptation recipe inspected. No replication. </w:t>
      </w:r>
      <w:r>
        <w:rPr>
          <w:b/>
          <w:color w:val="000000"/>
        </w:rPr>
        <w:t>Location</w:t>
      </w:r>
      <w:r>
        <w:rPr>
          <w:color w:val="000000"/>
        </w:rPr>
        <w:t xml:space="preserve">  §§2–4; Table 1; no-collar, overlap-inclusive scoring in §3; CALLHOME results in Table 1.</w:t>
      </w:r>
    </w:p>
    <w:p>
      <w:pPr>
        <w:keepNext/>
        <w:keepLines/>
        <w:spacing w:after="140"/>
      </w:pPr>
      <w:r>
        <w:rPr>
          <w:sz w:val="20"/>
          <w:color w:val="000000"/>
        </w:rPr>
      </w:r>
      <w:r>
        <w:rPr>
          <w:b/>
          <w:sz w:val="20"/>
          <w:color w:val="000000"/>
        </w:rPr>
        <w:t xml:space="preserve">L04  </w:t>
      </w:r>
      <w:r>
        <w:rPr>
          <w:sz w:val="20"/>
          <w:color w:val="000000"/>
        </w:rPr>
        <w:t xml:space="preserve">Saida Mussakhojayeva; Yerbolat Khassanov; Huseyin Atakan Varol (2022). </w:t>
      </w:r>
      <w:hyperlink r:id="rId17">
        <w:r>
          <w:rPr>
            <w:color w:val="000000"/>
            <w:u w:val="single"/>
            <w:sz w:val="20"/>
          </w:rPr>
          <w:t>KSC2: An Industrial-Scale Open-Source Kazakh Speech Corpus</w:t>
        </w:r>
      </w:hyperlink>
      <w:r>
        <w:rPr>
          <w:sz w:val="20"/>
          <w:color w:val="000000"/>
        </w:rPr>
        <w:t>. Interspeech 2022, 1367–1371.</w:t>
      </w:r>
    </w:p>
    <w:p>
      <w:pPr>
        <w:keepNext/>
      </w:pPr>
      <w:r>
        <w:rPr>
          <w:color w:val="000000"/>
        </w:rPr>
      </w:r>
      <w:r>
        <w:rPr>
          <w:color w:val="000000"/>
        </w:rPr>
        <w:t xml:space="preserve">DOI 10.21437/Interspeech.2022-421  |  </w:t>
      </w:r>
      <w:hyperlink r:id="rId18">
        <w:r>
          <w:rPr>
            <w:color w:val="000000"/>
            <w:u w:val="single"/>
          </w:rPr>
          <w:t>Full text</w:t>
        </w:r>
      </w:hyperlink>
    </w:p>
    <w:p>
      <w:pPr>
        <w:keepNext/>
      </w:pPr>
      <w:r>
        <w:rPr>
          <w:color w:val="000000"/>
        </w:rPr>
      </w:r>
      <w:r>
        <w:rPr>
          <w:b/>
          <w:color w:val="000000"/>
        </w:rPr>
        <w:t>Approach</w:t>
      </w:r>
      <w:r>
        <w:rPr>
          <w:color w:val="000000"/>
        </w:rPr>
        <w:t xml:space="preserve">  Multi-source Kazakh corpus with Russian code-switching; Transformer streaming-ASR validation. </w:t>
      </w:r>
      <w:r>
        <w:rPr>
          <w:b/>
          <w:color w:val="000000"/>
        </w:rPr>
        <w:t>Finding</w:t>
      </w:r>
      <w:r>
        <w:rPr>
          <w:color w:val="000000"/>
        </w:rPr>
        <w:t xml:space="preserve">  Overall test WER is 15.6%; reported spontaneous subsets range from 27.0% to 36.8%, exposing domain sensitivity.</w:t>
      </w:r>
    </w:p>
    <w:p>
      <w:pPr>
        <w:keepNext/>
      </w:pPr>
      <w:r>
        <w:rPr>
          <w:color w:val="000000"/>
        </w:rPr>
      </w:r>
      <w:r>
        <w:rPr>
          <w:b/>
          <w:color w:val="000000"/>
        </w:rPr>
        <w:t>Limit and design use</w:t>
      </w:r>
      <w:r>
        <w:rPr>
          <w:color w:val="000000"/>
        </w:rPr>
        <w:t xml:space="preserve">  Not a sales-call corpus; speaker overlap between splits is not fully excluded. Kazakh comparison baseline and code-switching rationale; create separate business-call evaluation.</w:t>
      </w:r>
    </w:p>
    <w:p>
      <w:pPr>
        <w:keepLines/>
      </w:pPr>
      <w:r>
        <w:rPr>
          <w:color w:val="000000"/>
        </w:rPr>
      </w:r>
      <w:r>
        <w:rPr>
          <w:b/>
          <w:color w:val="000000"/>
        </w:rPr>
        <w:t>Evidence checked</w:t>
      </w:r>
      <w:r>
        <w:rPr>
          <w:color w:val="000000"/>
        </w:rPr>
        <w:t xml:space="preserve">  Publisher full text; corpus composition, splitting, ASR setup, and results inspected. No replication. </w:t>
      </w:r>
      <w:r>
        <w:rPr>
          <w:b/>
          <w:color w:val="000000"/>
        </w:rPr>
        <w:t>Location</w:t>
      </w:r>
      <w:r>
        <w:rPr>
          <w:color w:val="000000"/>
        </w:rPr>
        <w:t xml:space="preserve">  §3.2/Table 1; §4.2/Tables 2–3; speaker-overlap caveat in §3.2.</w:t>
      </w:r>
    </w:p>
    <w:p>
      <w:pPr>
        <w:keepNext/>
        <w:keepLines/>
        <w:spacing w:after="140"/>
      </w:pPr>
      <w:r>
        <w:rPr>
          <w:sz w:val="20"/>
          <w:color w:val="000000"/>
        </w:rPr>
      </w:r>
      <w:r>
        <w:rPr>
          <w:b/>
          <w:sz w:val="20"/>
          <w:color w:val="000000"/>
        </w:rPr>
        <w:t xml:space="preserve">L05  </w:t>
      </w:r>
      <w:r>
        <w:rPr>
          <w:sz w:val="20"/>
          <w:color w:val="000000"/>
        </w:rPr>
        <w:t xml:space="preserve">Abedelkadir Asi; Song Wang; Roy Eisenstadt; Dean Geckt; Yarin Kuper; Yi Mao; Royi Ronen (2022). </w:t>
      </w:r>
      <w:hyperlink r:id="rId19">
        <w:r>
          <w:rPr>
            <w:color w:val="000000"/>
            <w:u w:val="single"/>
            <w:sz w:val="20"/>
          </w:rPr>
          <w:t>An End-to-End Dialogue Summarization System for Sales Calls</w:t>
        </w:r>
      </w:hyperlink>
      <w:r>
        <w:rPr>
          <w:sz w:val="20"/>
          <w:color w:val="000000"/>
        </w:rPr>
        <w:t>. Proceedings of the 2022 Conference of the North American Chapter of the Association for Computational Linguistics: Human Language Technologies: Industry Track, 45–53.</w:t>
      </w:r>
    </w:p>
    <w:p>
      <w:pPr>
        <w:keepNext/>
      </w:pPr>
      <w:r>
        <w:rPr>
          <w:color w:val="000000"/>
        </w:rPr>
      </w:r>
      <w:r>
        <w:rPr>
          <w:color w:val="000000"/>
        </w:rPr>
        <w:t xml:space="preserve">DOI 10.18653/v1/2022.naacl-industry.6  |  </w:t>
      </w:r>
      <w:hyperlink r:id="rId20">
        <w:r>
          <w:rPr>
            <w:color w:val="000000"/>
            <w:u w:val="single"/>
          </w:rPr>
          <w:t>Full text</w:t>
        </w:r>
      </w:hyperlink>
    </w:p>
    <w:p>
      <w:pPr>
        <w:keepNext/>
      </w:pPr>
      <w:r>
        <w:rPr>
          <w:color w:val="000000"/>
        </w:rPr>
        <w:t>Approach  Segment sales-call transcripts; summarize with speaker/turn-aware DialogBART; filter grammatical acceptability; permit human editing. GPT-3 supplies offline pseudo-labels. Finding  Human-plus-pseudo-label training improves tested ROUGE scores. In the DialogSum comparison, pseudo-only training scores higher on ROUGE but lower on automatic FactCC than human-only training.</w:t>
      </w:r>
    </w:p>
    <w:p>
      <w:pPr>
        <w:keepNext/>
      </w:pPr>
      <w:r>
        <w:rPr>
          <w:color w:val="000000"/>
        </w:rPr>
      </w:r>
      <w:r>
        <w:rPr>
          <w:b/>
          <w:color w:val="000000"/>
        </w:rPr>
        <w:t>Limit and design use</w:t>
      </w:r>
      <w:r>
        <w:rPr>
          <w:color w:val="000000"/>
        </w:rPr>
        <w:t xml:space="preserve">  Only 100 proprietary test examples; no demonstrated Russian/Kazakh transfer or causal productivity lift. Grammatical acceptability filtering does not establish faithfulness to audio. Justify editable, speaker-aware call highlights and human review; evaluate factual grounding separately from fluency and lexical overlap.</w:t>
      </w:r>
    </w:p>
    <w:p>
      <w:pPr>
        <w:keepLines/>
      </w:pPr>
      <w:r>
        <w:rPr>
          <w:color w:val="000000"/>
        </w:rPr>
        <w:t>Evidence checked  Publisher landing page and published full text inspected on 22 October 2026, including architecture, experiments, metric disagreement, and conclusions. No replication. Location  §3 architecture/DialogBART/acceptability; §6.1/Table 2 (500 DialogSum, 819 SAMSum, 100 proprietary test samples); §6.3/Figure 6 (DialogSum ROUGE versus automatic FactCC); proceedings pp.45–53.</w:t>
      </w:r>
    </w:p>
    <w:p>
      <w:pPr>
        <w:keepNext/>
        <w:keepLines/>
        <w:spacing w:after="140"/>
      </w:pPr>
      <w:r>
        <w:rPr>
          <w:sz w:val="20"/>
          <w:color w:val="000000"/>
        </w:rPr>
      </w:r>
      <w:r>
        <w:rPr>
          <w:b/>
          <w:sz w:val="20"/>
          <w:color w:val="000000"/>
        </w:rPr>
        <w:t xml:space="preserve">L06  </w:t>
      </w:r>
      <w:r>
        <w:rPr>
          <w:sz w:val="20"/>
          <w:color w:val="000000"/>
        </w:rPr>
        <w:t xml:space="preserve">Ming Zhong; Da Yin; Tao Yu; Ahmad Zaidi; Mutethia Mutuma; Rahul Jha; Ahmed Hassan Awadallah; Asli Celikyilmaz; Yang Liu; Xipeng Qiu; Dragomir Radev (2021). </w:t>
      </w:r>
      <w:hyperlink r:id="rId21">
        <w:r>
          <w:rPr>
            <w:color w:val="000000"/>
            <w:u w:val="single"/>
            <w:sz w:val="20"/>
          </w:rPr>
          <w:t>QMSum: A New Benchmark for Query-based Multi-domain Meeting Summarization</w:t>
        </w:r>
      </w:hyperlink>
      <w:r>
        <w:rPr>
          <w:sz w:val="20"/>
          <w:color w:val="000000"/>
        </w:rPr>
        <w:t>. NAACL-HLT 2021, 5905–5921.</w:t>
      </w:r>
    </w:p>
    <w:p>
      <w:pPr>
        <w:keepNext/>
      </w:pPr>
      <w:r>
        <w:rPr>
          <w:color w:val="000000"/>
        </w:rPr>
      </w:r>
      <w:r>
        <w:rPr>
          <w:color w:val="000000"/>
        </w:rPr>
        <w:t xml:space="preserve">DOI 10.18653/v1/2021.naacl-main.472  |  </w:t>
      </w:r>
      <w:hyperlink r:id="rId22">
        <w:r>
          <w:rPr>
            <w:color w:val="000000"/>
            <w:u w:val="single"/>
          </w:rPr>
          <w:t>Full text</w:t>
        </w:r>
      </w:hyperlink>
    </w:p>
    <w:p>
      <w:pPr>
        <w:keepNext/>
      </w:pPr>
      <w:r>
        <w:rPr>
          <w:color w:val="000000"/>
        </w:rPr>
      </w:r>
      <w:r>
        <w:rPr>
          <w:b/>
          <w:color w:val="000000"/>
        </w:rPr>
        <w:t>Approach</w:t>
      </w:r>
      <w:r>
        <w:rPr>
          <w:color w:val="000000"/>
        </w:rPr>
        <w:t xml:space="preserve">  1,808 query-summary pairs over 232 meetings; relevant-span retrieval followed by summarization. </w:t>
      </w:r>
      <w:r>
        <w:rPr>
          <w:b/>
          <w:color w:val="000000"/>
        </w:rPr>
        <w:t>Finding</w:t>
      </w:r>
      <w:r>
        <w:rPr>
          <w:color w:val="000000"/>
        </w:rPr>
        <w:t xml:space="preserve">  Locating relevant spans improves selected baselines; long-context retrieval and synthesis remain challenging.</w:t>
      </w:r>
    </w:p>
    <w:p>
      <w:pPr>
        <w:keepNext/>
      </w:pPr>
      <w:r>
        <w:rPr>
          <w:color w:val="000000"/>
        </w:rPr>
      </w:r>
      <w:r>
        <w:rPr>
          <w:b/>
          <w:color w:val="000000"/>
        </w:rPr>
        <w:t>Limit and design use</w:t>
      </w:r>
      <w:r>
        <w:rPr>
          <w:color w:val="000000"/>
        </w:rPr>
        <w:t xml:space="preserve">  Meeting domains differ from sales; benchmark ROUGE does not establish financial-fact correctness. Retrieve evidence for objections, commitments, and next actions before generating summaries.</w:t>
      </w:r>
    </w:p>
    <w:p>
      <w:pPr>
        <w:keepLines/>
      </w:pPr>
      <w:r>
        <w:rPr>
          <w:color w:val="000000"/>
        </w:rPr>
      </w:r>
      <w:r>
        <w:rPr>
          <w:b/>
          <w:color w:val="000000"/>
        </w:rPr>
        <w:t>Evidence checked</w:t>
      </w:r>
      <w:r>
        <w:rPr>
          <w:color w:val="000000"/>
        </w:rPr>
        <w:t xml:space="preserve">  Publisher full text; query annotations, locate-then-summarize method, and evaluation inspected. No replication. </w:t>
      </w:r>
      <w:r>
        <w:rPr>
          <w:b/>
          <w:color w:val="000000"/>
        </w:rPr>
        <w:t>Location</w:t>
      </w:r>
      <w:r>
        <w:rPr>
          <w:color w:val="000000"/>
        </w:rPr>
        <w:t xml:space="preserve">  §3 dataset; §4 locate-then-summarize; §5.3/Table 3; §6 manual analysis.</w:t>
      </w:r>
    </w:p>
    <w:p>
      <w:pPr>
        <w:keepNext/>
        <w:keepLines/>
        <w:spacing w:after="140"/>
      </w:pPr>
      <w:r>
        <w:rPr>
          <w:sz w:val="20"/>
          <w:color w:val="000000"/>
        </w:rPr>
      </w:r>
      <w:r>
        <w:rPr>
          <w:b/>
          <w:sz w:val="20"/>
          <w:color w:val="000000"/>
        </w:rPr>
        <w:t xml:space="preserve">L07  </w:t>
      </w:r>
      <w:r>
        <w:rPr>
          <w:sz w:val="20"/>
          <w:color w:val="000000"/>
        </w:rPr>
        <w:t xml:space="preserve">Xiangru Tang; Arjun Nair; Borui Wang; Bingyao Wang; Jai Desai; Aaron Wade; Haoran Li; Asli Celikyilmaz; Yashar Mehdad; Dragomir Radev (2022). </w:t>
      </w:r>
      <w:hyperlink r:id="rId23">
        <w:r>
          <w:rPr>
            <w:color w:val="000000"/>
            <w:u w:val="single"/>
            <w:sz w:val="20"/>
          </w:rPr>
          <w:t>CONFIT: Toward Faithful Dialogue Summarization with Linguistically-Informed Contrastive Fine-tuning</w:t>
        </w:r>
      </w:hyperlink>
      <w:r>
        <w:rPr>
          <w:sz w:val="20"/>
          <w:color w:val="000000"/>
        </w:rPr>
        <w:t>. NAACL-HLT 2022, 5657–5668.</w:t>
      </w:r>
    </w:p>
    <w:p>
      <w:pPr>
        <w:keepNext/>
      </w:pPr>
      <w:r>
        <w:rPr>
          <w:color w:val="000000"/>
        </w:rPr>
      </w:r>
      <w:r>
        <w:rPr>
          <w:color w:val="000000"/>
        </w:rPr>
        <w:t xml:space="preserve">DOI 10.18653/v1/2022.naacl-main.415  |  </w:t>
      </w:r>
      <w:hyperlink r:id="rId24">
        <w:r>
          <w:rPr>
            <w:color w:val="000000"/>
            <w:u w:val="single"/>
          </w:rPr>
          <w:t>Full text</w:t>
        </w:r>
      </w:hyperlink>
    </w:p>
    <w:p>
      <w:pPr>
        <w:keepNext/>
      </w:pPr>
      <w:r>
        <w:rPr>
          <w:color w:val="000000"/>
        </w:rPr>
      </w:r>
      <w:r>
        <w:rPr>
          <w:b/>
          <w:color w:val="000000"/>
        </w:rPr>
        <w:t>Approach</w:t>
      </w:r>
      <w:r>
        <w:rPr>
          <w:color w:val="000000"/>
        </w:rPr>
        <w:t xml:space="preserve">  Contrastive fine-tuning with factual-error negatives and dialogue-specific self-supervised loss. </w:t>
      </w:r>
      <w:r>
        <w:rPr>
          <w:b/>
          <w:color w:val="000000"/>
        </w:rPr>
        <w:t>Finding</w:t>
      </w:r>
      <w:r>
        <w:rPr>
          <w:color w:val="000000"/>
        </w:rPr>
        <w:t xml:space="preserve">  Human faithfulness scores improve; individual AMI error-type reductions are less consistent.</w:t>
      </w:r>
    </w:p>
    <w:p>
      <w:pPr>
        <w:keepNext/>
      </w:pPr>
      <w:r>
        <w:rPr>
          <w:color w:val="000000"/>
        </w:rPr>
      </w:r>
      <w:r>
        <w:rPr>
          <w:b/>
          <w:color w:val="000000"/>
        </w:rPr>
        <w:t>Limit and design use</w:t>
      </w:r>
      <w:r>
        <w:rPr>
          <w:color w:val="000000"/>
        </w:rPr>
        <w:t xml:space="preserve">  Human evaluation includes only 20 AMI dialogues; English datasets and model-specific results. Audit negation, entities, references, tense, and modality; preserve tentative versus confirmed purchases.</w:t>
      </w:r>
    </w:p>
    <w:p>
      <w:pPr>
        <w:keepLines/>
      </w:pPr>
      <w:r>
        <w:rPr>
          <w:color w:val="000000"/>
        </w:rPr>
        <w:t>Evidence checked  Publisher full text; error taxonomy, training method, and human-evaluation tables inspected. No replication. Location  §2 taxonomy; §3 objectives; §4.3 evaluation metrics; §5 results and §5.1 error analysis; Tables 3–6, especially Table 5 and the discussion following Table 6 on pp.5662–5663.</w:t>
      </w:r>
    </w:p>
    <w:p>
      <w:pPr>
        <w:keepNext/>
        <w:keepLines/>
        <w:spacing w:after="140"/>
      </w:pPr>
      <w:r>
        <w:rPr>
          <w:sz w:val="20"/>
          <w:color w:val="000000"/>
        </w:rPr>
      </w:r>
      <w:r>
        <w:rPr>
          <w:b/>
          <w:sz w:val="20"/>
          <w:color w:val="000000"/>
        </w:rPr>
        <w:t xml:space="preserve">L08  </w:t>
      </w:r>
      <w:r>
        <w:rPr>
          <w:sz w:val="20"/>
          <w:color w:val="000000"/>
        </w:rPr>
        <w:t xml:space="preserve">Allison Koenecke; Anna Seo Gyeong Choi; Katelyn X. Mei; Hilke Schellmann; Mona Sloane (2024). </w:t>
      </w:r>
      <w:hyperlink r:id="rId25">
        <w:r>
          <w:rPr>
            <w:color w:val="000000"/>
            <w:u w:val="single"/>
            <w:sz w:val="20"/>
          </w:rPr>
          <w:t>Careless Whisper: Speech-to-Text Hallucination Harms</w:t>
        </w:r>
      </w:hyperlink>
      <w:r>
        <w:rPr>
          <w:sz w:val="20"/>
          <w:color w:val="000000"/>
        </w:rPr>
        <w:t>. Proceedings of the 2024 ACM Conference on Fairness, Accountability, and Transparency, 1672–1681.</w:t>
      </w:r>
    </w:p>
    <w:p>
      <w:pPr>
        <w:keepNext/>
      </w:pPr>
      <w:r>
        <w:rPr>
          <w:color w:val="000000"/>
        </w:rPr>
      </w:r>
      <w:r>
        <w:rPr>
          <w:color w:val="000000"/>
        </w:rPr>
        <w:t xml:space="preserve">DOI 10.1145/3630106.3658996  |  </w:t>
      </w:r>
      <w:hyperlink r:id="rId26">
        <w:r>
          <w:rPr>
            <w:color w:val="000000"/>
            <w:u w:val="single"/>
          </w:rPr>
          <w:t>Full text</w:t>
        </w:r>
      </w:hyperlink>
    </w:p>
    <w:p>
      <w:pPr>
        <w:keepNext/>
      </w:pPr>
      <w:r>
        <w:rPr>
          <w:color w:val="000000"/>
        </w:rPr>
      </w:r>
      <w:r>
        <w:rPr>
          <w:b/>
          <w:color w:val="000000"/>
        </w:rPr>
        <w:t>Approach</w:t>
      </w:r>
      <w:r>
        <w:rPr>
          <w:color w:val="000000"/>
        </w:rPr>
        <w:t xml:space="preserve">  Repeated 2023 API transcription of AphasiaBank audio; manual hallucination verification and thematic coding. </w:t>
      </w:r>
      <w:r>
        <w:rPr>
          <w:b/>
          <w:color w:val="000000"/>
        </w:rPr>
        <w:t>Finding</w:t>
      </w:r>
      <w:r>
        <w:rPr>
          <w:color w:val="000000"/>
        </w:rPr>
        <w:t xml:space="preserve">  Historical experiments found invented phrases; silence patterns and speaker characteristics are associated with risk.</w:t>
      </w:r>
    </w:p>
    <w:p>
      <w:pPr>
        <w:keepNext/>
      </w:pPr>
      <w:r>
        <w:rPr>
          <w:color w:val="000000"/>
        </w:rPr>
      </w:r>
      <w:r>
        <w:rPr>
          <w:b/>
          <w:color w:val="000000"/>
        </w:rPr>
        <w:t>Limit and design use</w:t>
      </w:r>
      <w:r>
        <w:rPr>
          <w:color w:val="000000"/>
        </w:rPr>
        <w:t xml:space="preserve">  Specialized English sample and changing 2023 API; reported rates are not current sales-call estimates. Detection can miss hallucinations repeated identically across runs. Audit silence and unsupported text; retain audio evidence and review consequential extracted claims.</w:t>
      </w:r>
    </w:p>
    <w:p>
      <w:pPr>
        <w:keepLines/>
      </w:pPr>
      <w:r>
        <w:rPr>
          <w:color w:val="000000"/>
        </w:rPr>
        <w:t>Evidence checked  Author-deposited full text rechecked on 23 October 2026, including methods, temporal retest, results and limitations. ACM/DOI publisher pages returned HTTP 403 during this recheck; publication identity and DOI also appear in the manuscript front matter. No replication. Location  §§2.1–2.5; §3 including December retest; §3.1 limitations. Do not generalize the 1.4% historical rate.</w:t>
      </w:r>
    </w:p>
    <w:p>
      <w:pPr>
        <w:keepNext/>
        <w:keepLines/>
        <w:spacing w:after="140"/>
      </w:pPr>
      <w:r>
        <w:rPr>
          <w:sz w:val="20"/>
          <w:color w:val="000000"/>
        </w:rPr>
      </w:r>
      <w:r>
        <w:rPr>
          <w:b/>
          <w:sz w:val="20"/>
          <w:color w:val="000000"/>
        </w:rPr>
        <w:t xml:space="preserve">L09  </w:t>
      </w:r>
      <w:r>
        <w:rPr>
          <w:sz w:val="20"/>
          <w:color w:val="000000"/>
        </w:rPr>
        <w:t xml:space="preserve">Joona Mäntyvaara; Paavo Nevalainen; Kirill Glavatskiy; Jukka Heikkonen (2026). </w:t>
      </w:r>
      <w:hyperlink r:id="rId27">
        <w:r>
          <w:rPr>
            <w:color w:val="000000"/>
            <w:u w:val="single"/>
            <w:sz w:val="20"/>
          </w:rPr>
          <w:t>AI-assisted sales coaching framework: Empirically-derived models for B2B communication analysis</w:t>
        </w:r>
      </w:hyperlink>
      <w:r>
        <w:rPr>
          <w:sz w:val="20"/>
          <w:color w:val="000000"/>
        </w:rPr>
        <w:t>. Array, 30, Article 100755.</w:t>
      </w:r>
    </w:p>
    <w:p>
      <w:pPr>
        <w:keepNext/>
      </w:pPr>
      <w:r>
        <w:rPr>
          <w:color w:val="000000"/>
        </w:rPr>
      </w:r>
      <w:r>
        <w:rPr>
          <w:color w:val="000000"/>
        </w:rPr>
        <w:t xml:space="preserve">DOI 10.1016/j.array.2026.100755  |  </w:t>
      </w:r>
      <w:hyperlink r:id="rId28">
        <w:r>
          <w:rPr>
            <w:color w:val="000000"/>
            <w:u w:val="single"/>
          </w:rPr>
          <w:t>Full text</w:t>
        </w:r>
      </w:hyperlink>
    </w:p>
    <w:p>
      <w:pPr>
        <w:keepNext/>
      </w:pPr>
      <w:r>
        <w:rPr>
          <w:color w:val="000000"/>
        </w:rPr>
      </w:r>
      <w:r>
        <w:rPr>
          <w:b/>
          <w:color w:val="000000"/>
        </w:rPr>
        <w:t>Approach</w:t>
      </w:r>
      <w:r>
        <w:rPr>
          <w:color w:val="000000"/>
        </w:rPr>
        <w:t xml:space="preserve">  Design-science framework using 5,183 Finnish B2B calls; combines acoustic, semantic, and linguistic features, conversation graphs, temporal classifiers, and SHAP explanations. </w:t>
      </w:r>
      <w:r>
        <w:rPr>
          <w:b/>
          <w:color w:val="000000"/>
        </w:rPr>
        <w:t>Finding</w:t>
      </w:r>
      <w:r>
        <w:rPr>
          <w:color w:val="000000"/>
        </w:rPr>
        <w:t xml:space="preserve">  Reports temporal prediction AUC 0.784 with a broad WON definition. Its 0.957 rejection analysis classifies an engineered risk category among unsuccessful calls, not actual sales outcomes.</w:t>
      </w:r>
    </w:p>
    <w:p>
      <w:pPr>
        <w:keepNext/>
      </w:pPr>
      <w:r>
        <w:rPr>
          <w:color w:val="000000"/>
        </w:rPr>
      </w:r>
      <w:r>
        <w:rPr>
          <w:b/>
          <w:color w:val="000000"/>
        </w:rPr>
        <w:t>Limit and design use</w:t>
      </w:r>
      <w:r>
        <w:rPr>
          <w:color w:val="000000"/>
        </w:rPr>
        <w:t xml:space="preserve">  Finnish organization and broad WON label; engineered rejection target overlaps risk input features, raising circularity concerns. Progression efficiency formula and Table 1 scale need reconciliation. No controlled deployment-effect evidence. Use as an architectural precedent; independently define outcomes and leakage controls. Do not copy the rejection AUC as a sales-performance target.</w:t>
      </w:r>
    </w:p>
    <w:p>
      <w:pPr>
        <w:keepLines/>
      </w:pPr>
      <w:r>
        <w:rPr>
          <w:color w:val="000000"/>
        </w:rPr>
      </w:r>
      <w:r>
        <w:rPr>
          <w:b/>
          <w:color w:val="000000"/>
        </w:rPr>
        <w:t>Evidence checked</w:t>
      </w:r>
      <w:r>
        <w:rPr>
          <w:color w:val="000000"/>
        </w:rPr>
        <w:t xml:space="preserve">  Open-access published PDF available in University of Turku repository; inspected methods, results, and limitations. Available online 23 March 2026. </w:t>
      </w:r>
      <w:r>
        <w:rPr>
          <w:b/>
          <w:color w:val="000000"/>
        </w:rPr>
        <w:t>Location</w:t>
      </w:r>
      <w:r>
        <w:rPr>
          <w:color w:val="000000"/>
        </w:rPr>
        <w:t xml:space="preserve">  Sections 3.1 and 3.4; Table 1; Sections 4.3 and 4.4. Rejection subset includes 4929 unsuccessful calls; composite target differs from an independently observed sale.</w:t>
      </w:r>
    </w:p>
    <w:p>
      <w:pPr>
        <w:keepNext/>
        <w:keepLines/>
        <w:spacing w:after="140"/>
      </w:pPr>
      <w:r>
        <w:rPr>
          <w:sz w:val="20"/>
          <w:color w:val="000000"/>
        </w:rPr>
      </w:r>
      <w:r>
        <w:rPr>
          <w:b/>
          <w:sz w:val="20"/>
          <w:color w:val="000000"/>
        </w:rPr>
        <w:t xml:space="preserve">L10  </w:t>
      </w:r>
      <w:r>
        <w:rPr>
          <w:sz w:val="20"/>
          <w:color w:val="000000"/>
        </w:rPr>
        <w:t xml:space="preserve">Jutta Stock; Dietrich Klakow; Volha Petukhova (2024). </w:t>
      </w:r>
      <w:hyperlink r:id="rId29">
        <w:r>
          <w:rPr>
            <w:color w:val="000000"/>
            <w:u w:val="single"/>
            <w:sz w:val="20"/>
          </w:rPr>
          <w:t>Annotating Customer-Oriented Behaviour in Call Centre Sales Dialogues</w:t>
        </w:r>
      </w:hyperlink>
      <w:r>
        <w:rPr>
          <w:sz w:val="20"/>
          <w:color w:val="000000"/>
        </w:rPr>
        <w:t>. Proceedings of LREC-COLING 2024, 1197–1208.</w:t>
      </w:r>
    </w:p>
    <w:p>
      <w:pPr>
        <w:keepNext/>
      </w:pPr>
      <w:r>
        <w:rPr>
          <w:color w:val="000000"/>
        </w:rPr>
      </w:r>
      <w:hyperlink r:id="rId30">
        <w:r>
          <w:rPr>
            <w:color w:val="000000"/>
            <w:u w:val="single"/>
          </w:rPr>
          <w:t>Full text</w:t>
        </w:r>
      </w:hyperlink>
    </w:p>
    <w:p>
      <w:pPr>
        <w:keepNext/>
      </w:pPr>
      <w:r>
        <w:rPr>
          <w:color w:val="000000"/>
        </w:rPr>
      </w:r>
      <w:r>
        <w:rPr>
          <w:b/>
          <w:color w:val="000000"/>
        </w:rPr>
        <w:t>Approach</w:t>
      </w:r>
      <w:r>
        <w:rPr>
          <w:color w:val="000000"/>
        </w:rPr>
        <w:t xml:space="preserve">  ISO 24617-2 dialogue-act annotation with relationship-building extensions and DIT++ feedback analysis on 67 German service/sales calls (4.3 hours). </w:t>
      </w:r>
      <w:r>
        <w:rPr>
          <w:b/>
          <w:color w:val="000000"/>
        </w:rPr>
        <w:t>Finding</w:t>
      </w:r>
      <w:r>
        <w:rPr>
          <w:color w:val="000000"/>
        </w:rPr>
        <w:t xml:space="preserve">  Relationship-building annotations associate with customer ratings; feedback acts provide contextual evidence for analysing sales negotiation.</w:t>
      </w:r>
    </w:p>
    <w:p>
      <w:pPr>
        <w:keepNext/>
      </w:pPr>
      <w:r>
        <w:rPr>
          <w:color w:val="000000"/>
        </w:rPr>
      </w:r>
      <w:r>
        <w:rPr>
          <w:b/>
          <w:color w:val="000000"/>
        </w:rPr>
        <w:t>Limit and design use</w:t>
      </w:r>
      <w:r>
        <w:rPr>
          <w:color w:val="000000"/>
        </w:rPr>
        <w:t xml:space="preserve">  Small deliberately selected German corpus with experienced agents and favourable rating bias; correlations with satisfaction do not prove conversion improvement. Create auditable labels for needs discovery, offers, commitments, feedback, and relationship-building, with timestamps and annotated evidence.</w:t>
      </w:r>
    </w:p>
    <w:p>
      <w:pPr>
        <w:keepLines/>
      </w:pPr>
      <w:r>
        <w:rPr>
          <w:color w:val="000000"/>
        </w:rPr>
      </w:r>
      <w:r>
        <w:rPr>
          <w:b/>
          <w:color w:val="000000"/>
        </w:rPr>
        <w:t>Evidence checked</w:t>
      </w:r>
      <w:r>
        <w:rPr>
          <w:color w:val="000000"/>
        </w:rPr>
        <w:t xml:space="preserve">  Open full text; inspected corpus, annotation experiments, ratings analysis, and limitations. Author order here follows authoritative PDF; ACL landing-page order is Stock, Petukhova, Klakow. </w:t>
      </w:r>
      <w:r>
        <w:rPr>
          <w:b/>
          <w:color w:val="000000"/>
        </w:rPr>
        <w:t>Location</w:t>
      </w:r>
      <w:r>
        <w:rPr>
          <w:color w:val="000000"/>
        </w:rPr>
        <w:t xml:space="preserve">  PDF p.1 author order; Sections 4.1–4.3 corpus, rating-selection bias and annotation; Section 5 German/inbound-context limitations. No DOI listed in ACL record.</w:t>
      </w:r>
    </w:p>
    <w:p>
      <w:pPr>
        <w:keepNext/>
        <w:keepLines/>
        <w:spacing w:after="140"/>
      </w:pPr>
      <w:r>
        <w:rPr>
          <w:sz w:val="20"/>
          <w:color w:val="000000"/>
        </w:rPr>
      </w:r>
      <w:r>
        <w:rPr>
          <w:b/>
          <w:sz w:val="20"/>
          <w:color w:val="000000"/>
        </w:rPr>
        <w:t xml:space="preserve">L11  </w:t>
      </w:r>
      <w:r>
        <w:rPr>
          <w:sz w:val="20"/>
          <w:color w:val="000000"/>
        </w:rPr>
        <w:t xml:space="preserve">Xue-Yong Fu; Cheng Chen; Md Tahmid Rahman Laskar; Shayna Gardiner; Pooja Hiranandani; Shashi Bhushan TN (2022). </w:t>
      </w:r>
      <w:hyperlink r:id="rId31">
        <w:r>
          <w:rPr>
            <w:color w:val="000000"/>
            <w:u w:val="single"/>
            <w:sz w:val="20"/>
          </w:rPr>
          <w:t>Entity-level Sentiment Analysis in Contact Center Telephone Conversations</w:t>
        </w:r>
      </w:hyperlink>
      <w:r>
        <w:rPr>
          <w:sz w:val="20"/>
          <w:color w:val="000000"/>
        </w:rPr>
        <w:t>. Proceedings of EMNLP 2022 Industry Track.</w:t>
      </w:r>
    </w:p>
    <w:p>
      <w:pPr>
        <w:keepNext/>
      </w:pPr>
      <w:r>
        <w:rPr>
          <w:color w:val="000000"/>
        </w:rPr>
      </w:r>
      <w:r>
        <w:rPr>
          <w:color w:val="000000"/>
        </w:rPr>
        <w:t xml:space="preserve">DOI 10.18653/v1/2022.emnlp-industry.49  |  </w:t>
      </w:r>
      <w:hyperlink r:id="rId32">
        <w:r>
          <w:rPr>
            <w:color w:val="000000"/>
            <w:u w:val="single"/>
          </w:rPr>
          <w:t>Full text</w:t>
        </w:r>
      </w:hyperlink>
    </w:p>
    <w:p>
      <w:pPr>
        <w:keepNext/>
      </w:pPr>
      <w:r>
        <w:rPr>
          <w:color w:val="000000"/>
        </w:rPr>
      </w:r>
      <w:r>
        <w:rPr>
          <w:b/>
          <w:color w:val="000000"/>
        </w:rPr>
        <w:t>Approach</w:t>
      </w:r>
      <w:r>
        <w:rPr>
          <w:color w:val="000000"/>
        </w:rPr>
        <w:t xml:space="preserve">  English contact-centre entity sentiment and opinion-word extraction using DistilBERT variants versus CNN plus linguistic heuristics. </w:t>
      </w:r>
      <w:r>
        <w:rPr>
          <w:b/>
          <w:color w:val="000000"/>
        </w:rPr>
        <w:t>Finding</w:t>
      </w:r>
      <w:r>
        <w:rPr>
          <w:color w:val="000000"/>
        </w:rPr>
        <w:t xml:space="preserve">  Table 3 reports weighted entity-sentiment F1 74.72 and opinion-word F1 65.48 for DistilBERT + SST, evaluated on 175 annotated utterances.</w:t>
      </w:r>
    </w:p>
    <w:p>
      <w:pPr>
        <w:keepNext/>
      </w:pPr>
      <w:r>
        <w:rPr>
          <w:color w:val="000000"/>
        </w:rPr>
      </w:r>
      <w:r>
        <w:rPr>
          <w:b/>
          <w:color w:val="000000"/>
        </w:rPr>
        <w:t>Limit and design use</w:t>
      </w:r>
      <w:r>
        <w:rPr>
          <w:color w:val="000000"/>
        </w:rPr>
        <w:t xml:space="preserve">  Small proprietary English evaluation; entity sentiment is not purchase intent, agent quality, or demonstrated revenue impact. Associate sentiment with named products or companies and show supporting opinion spans; validate separately on local languages and ASR transcripts.</w:t>
      </w:r>
    </w:p>
    <w:p>
      <w:pPr>
        <w:keepLines/>
      </w:pPr>
      <w:r>
        <w:rPr>
          <w:color w:val="000000"/>
        </w:rPr>
      </w:r>
      <w:r>
        <w:rPr>
          <w:b/>
          <w:color w:val="000000"/>
        </w:rPr>
        <w:t>Evidence checked</w:t>
      </w:r>
      <w:r>
        <w:rPr>
          <w:color w:val="000000"/>
        </w:rPr>
        <w:t xml:space="preserve">  Open published PDF; inspected methods and experimental results. Metadata pagination is 484–491 while PDF prints 494–501; avoid silently treating these as identical. </w:t>
      </w:r>
      <w:r>
        <w:rPr>
          <w:b/>
          <w:color w:val="000000"/>
        </w:rPr>
        <w:t>Location</w:t>
      </w:r>
      <w:r>
        <w:rPr>
          <w:color w:val="000000"/>
        </w:rPr>
        <w:t xml:space="preserve">  PDF Sections 5–6, Table 3, especially Section 6.2 evaluation sample and weighted metrics; publisher landing page verifies DOI and proceedings.</w:t>
      </w:r>
    </w:p>
    <w:p>
      <w:pPr>
        <w:keepNext/>
        <w:keepLines/>
        <w:spacing w:after="140"/>
      </w:pPr>
      <w:r>
        <w:rPr>
          <w:sz w:val="20"/>
          <w:color w:val="000000"/>
        </w:rPr>
      </w:r>
      <w:r>
        <w:rPr>
          <w:b/>
          <w:sz w:val="20"/>
          <w:color w:val="000000"/>
        </w:rPr>
        <w:t xml:space="preserve">L12  </w:t>
      </w:r>
      <w:r>
        <w:rPr>
          <w:sz w:val="20"/>
          <w:color w:val="000000"/>
        </w:rPr>
        <w:t xml:space="preserve">Valerie Good; Abhi Bhattacharya; Bryan W. Hochstein; Clay M. Voorhees (2026). </w:t>
      </w:r>
      <w:hyperlink r:id="rId33">
        <w:r>
          <w:rPr>
            <w:color w:val="000000"/>
            <w:u w:val="single"/>
            <w:sz w:val="20"/>
          </w:rPr>
          <w:t>Determining the quality of B2C sales leads from online chats</w:t>
        </w:r>
      </w:hyperlink>
      <w:r>
        <w:rPr>
          <w:sz w:val="20"/>
          <w:color w:val="000000"/>
        </w:rPr>
        <w:t>. International Journal of Research in Marketing, 43(2), 383–403.</w:t>
      </w:r>
    </w:p>
    <w:p>
      <w:pPr>
        <w:keepNext/>
      </w:pPr>
      <w:r>
        <w:rPr>
          <w:color w:val="000000"/>
        </w:rPr>
      </w:r>
      <w:r>
        <w:rPr>
          <w:color w:val="000000"/>
        </w:rPr>
        <w:t>DOI 10.1016/j.ijresmar.2025.07.001</w:t>
      </w:r>
    </w:p>
    <w:p>
      <w:pPr>
        <w:keepNext/>
      </w:pPr>
      <w:r>
        <w:rPr>
          <w:color w:val="000000"/>
        </w:rPr>
        <w:t>Approach  Sales-manager qualitative research, automotive chat topic/predictive analysis, and replication in furniture; links conversation text with downstream purchase and profit. Finding  Proposes MINITS: Mode of contact, Immediacy, Need, Interest, Time spent chatting and Specificity; conversational signals help qualify leads.</w:t>
      </w:r>
    </w:p>
    <w:p>
      <w:pPr>
        <w:keepNext/>
      </w:pPr>
      <w:r>
        <w:rPr>
          <w:color w:val="000000"/>
        </w:rPr>
      </w:r>
      <w:r>
        <w:rPr>
          <w:b/>
          <w:color w:val="000000"/>
        </w:rPr>
        <w:t>Limit and design use</w:t>
      </w:r>
      <w:r>
        <w:rPr>
          <w:color w:val="000000"/>
        </w:rPr>
        <w:t xml:space="preserve">  Written high-involvement B2C chats; transfer to noisy speech or other sectors is untested here. Full-text evaluation details were inaccessible. Specify interpretable lead features and connect transcript-derived signals to CRM purchase/profit outcomes rather than using sentiment as the sole target.</w:t>
      </w:r>
    </w:p>
    <w:p>
      <w:pPr>
        <w:keepLines/>
      </w:pPr>
      <w:r>
        <w:rPr>
          <w:color w:val="000000"/>
        </w:rPr>
      </w:r>
      <w:r>
        <w:rPr>
          <w:b/>
          <w:color w:val="000000"/>
        </w:rPr>
        <w:t>Evidence checked</w:t>
      </w:r>
      <w:r>
        <w:rPr>
          <w:color w:val="000000"/>
        </w:rPr>
        <w:t xml:space="preserve">  Publisher abstract, highlights, and study/data section snippets inspected; full text requires subscription and was not read. Cite 2026 issue year; DOI reflects 2025 online publication. </w:t>
      </w:r>
      <w:r>
        <w:rPr>
          <w:b/>
          <w:color w:val="000000"/>
        </w:rPr>
        <w:t>Location</w:t>
      </w:r>
      <w:r>
        <w:rPr>
          <w:color w:val="000000"/>
        </w:rPr>
        <w:t xml:space="preserve">  Publisher abstract/highlights; Overview of studies; Data/sample snippets for automotive and furniture. Publisher issue metadata: June 2026, volume 43(2), pages 383–403.</w:t>
      </w:r>
    </w:p>
    <w:p>
      <w:pPr>
        <w:keepNext/>
        <w:keepLines/>
        <w:spacing w:after="140"/>
      </w:pPr>
      <w:r>
        <w:rPr>
          <w:sz w:val="20"/>
          <w:color w:val="000000"/>
        </w:rPr>
      </w:r>
      <w:r>
        <w:rPr>
          <w:b/>
          <w:sz w:val="20"/>
          <w:color w:val="000000"/>
        </w:rPr>
        <w:t xml:space="preserve">L13  </w:t>
      </w:r>
      <w:r>
        <w:rPr>
          <w:sz w:val="20"/>
          <w:color w:val="000000"/>
        </w:rPr>
        <w:t xml:space="preserve">Valter Afonso Vieira; Juliano Domingues da Silva; Valter da Silva Faia; Colin Gabler (2024). </w:t>
      </w:r>
      <w:hyperlink r:id="rId34">
        <w:r>
          <w:rPr>
            <w:color w:val="000000"/>
            <w:u w:val="single"/>
            <w:sz w:val="20"/>
          </w:rPr>
          <w:t>Drivers of industrial sales performance in the agent-buyer chat channel: The role of social and functional content, message valence, and synchronicity</w:t>
        </w:r>
      </w:hyperlink>
      <w:r>
        <w:rPr>
          <w:sz w:val="20"/>
          <w:color w:val="000000"/>
        </w:rPr>
        <w:t>. Journal of Retailing and Consumer Services, 78, Article 103774.</w:t>
      </w:r>
    </w:p>
    <w:p>
      <w:pPr>
        <w:keepNext/>
      </w:pPr>
      <w:r>
        <w:rPr>
          <w:color w:val="000000"/>
        </w:rPr>
      </w:r>
      <w:r>
        <w:rPr>
          <w:color w:val="000000"/>
        </w:rPr>
        <w:t>DOI 10.1016/j.jretconser.2024.103774</w:t>
      </w:r>
    </w:p>
    <w:p>
      <w:pPr>
        <w:keepNext/>
      </w:pPr>
      <w:r>
        <w:rPr>
          <w:color w:val="000000"/>
        </w:rPr>
      </w:r>
      <w:r>
        <w:rPr>
          <w:b/>
          <w:color w:val="000000"/>
        </w:rPr>
        <w:t>Approach</w:t>
      </w:r>
      <w:r>
        <w:rPr>
          <w:color w:val="000000"/>
        </w:rPr>
        <w:t xml:space="preserve">  Observational regression analysis of message content, valence, response time, and word proportions in Brazilian automotive-parts B2B chats; 19,817 conversations over 714 days. </w:t>
      </w:r>
      <w:r>
        <w:rPr>
          <w:b/>
          <w:color w:val="000000"/>
        </w:rPr>
        <w:t>Finding</w:t>
      </w:r>
      <w:r>
        <w:rPr>
          <w:color w:val="000000"/>
        </w:rPr>
        <w:t xml:space="preserve">  Associations differ across revenue, frequency, and conversion; negative valence can coexist with higher conversion. Publisher reports 3,433 resulting sales.</w:t>
      </w:r>
    </w:p>
    <w:p>
      <w:pPr>
        <w:keepNext/>
      </w:pPr>
      <w:r>
        <w:rPr>
          <w:color w:val="000000"/>
        </w:rPr>
      </w:r>
      <w:r>
        <w:rPr>
          <w:b/>
          <w:color w:val="000000"/>
        </w:rPr>
        <w:t>Limit and design use</w:t>
      </w:r>
      <w:r>
        <w:rPr>
          <w:color w:val="000000"/>
        </w:rPr>
        <w:t xml:space="preserve">  Single-firm written chat context; observational associations cannot establish that changing a linguistic feature causes additional sales. Full model specifications inaccessible. Define separate business KPIs and investigate conversation timing/content jointly; do not interpret negative sentiment as automatic failure.</w:t>
      </w:r>
    </w:p>
    <w:p>
      <w:pPr>
        <w:keepLines/>
      </w:pPr>
      <w:r>
        <w:rPr>
          <w:color w:val="000000"/>
        </w:rPr>
      </w:r>
      <w:r>
        <w:rPr>
          <w:b/>
          <w:color w:val="000000"/>
        </w:rPr>
        <w:t>Evidence checked</w:t>
      </w:r>
      <w:r>
        <w:rPr>
          <w:color w:val="000000"/>
        </w:rPr>
        <w:t xml:space="preserve">  Publisher abstract, introduction, methods/results snippets, and CRediT author names inspected; full text not accessed. </w:t>
      </w:r>
      <w:r>
        <w:rPr>
          <w:b/>
          <w:color w:val="000000"/>
        </w:rPr>
        <w:t>Location</w:t>
      </w:r>
      <w:r>
        <w:rPr>
          <w:color w:val="000000"/>
        </w:rPr>
        <w:t xml:space="preserve">  Publisher Abstract and Introduction; Data and Results section snippets; CRediT authorship statement verifies names and order; May 2024 issue metadata.</w:t>
      </w:r>
    </w:p>
    <w:p>
      <w:pPr>
        <w:keepNext/>
        <w:keepLines/>
        <w:spacing w:after="140"/>
      </w:pPr>
      <w:r>
        <w:rPr>
          <w:sz w:val="20"/>
          <w:color w:val="000000"/>
        </w:rPr>
      </w:r>
      <w:r>
        <w:rPr>
          <w:b/>
          <w:sz w:val="20"/>
          <w:color w:val="000000"/>
        </w:rPr>
        <w:t xml:space="preserve">L14  </w:t>
      </w:r>
      <w:r>
        <w:rPr>
          <w:sz w:val="20"/>
          <w:color w:val="000000"/>
        </w:rPr>
        <w:t xml:space="preserve">Bogdana Humă; Elizabeth Stokoe (2023). </w:t>
      </w:r>
      <w:hyperlink r:id="rId35">
        <w:r>
          <w:rPr>
            <w:color w:val="000000"/>
            <w:u w:val="single"/>
            <w:sz w:val="20"/>
          </w:rPr>
          <w:t>Resistance in Business-to-Business “Cold” Sales Calls</w:t>
        </w:r>
      </w:hyperlink>
      <w:r>
        <w:rPr>
          <w:sz w:val="20"/>
          <w:color w:val="000000"/>
        </w:rPr>
        <w:t>. Journal of Language and Social Psychology, 42(5–6), 630–652.</w:t>
      </w:r>
    </w:p>
    <w:p>
      <w:pPr>
        <w:keepNext/>
      </w:pPr>
      <w:r>
        <w:rPr>
          <w:color w:val="000000"/>
        </w:rPr>
      </w:r>
      <w:r>
        <w:rPr>
          <w:color w:val="000000"/>
        </w:rPr>
        <w:t xml:space="preserve">DOI 10.1177/0261927X231185520  |  </w:t>
      </w:r>
      <w:hyperlink r:id="rId36">
        <w:r>
          <w:rPr>
            <w:color w:val="000000"/>
            <w:u w:val="single"/>
          </w:rPr>
          <w:t>Full text</w:t>
        </w:r>
      </w:hyperlink>
    </w:p>
    <w:p>
      <w:pPr>
        <w:keepNext/>
      </w:pPr>
      <w:r>
        <w:rPr>
          <w:color w:val="000000"/>
        </w:rPr>
      </w:r>
      <w:r>
        <w:rPr>
          <w:b/>
          <w:color w:val="000000"/>
        </w:rPr>
        <w:t>Approach</w:t>
      </w:r>
      <w:r>
        <w:rPr>
          <w:color w:val="000000"/>
        </w:rPr>
        <w:t xml:space="preserve">  Discursive psychology and conversation analysis of 159 authentic British B2B cold calls from four companies; detailed analysis of 12 blocks and 14 stalls. </w:t>
      </w:r>
      <w:r>
        <w:rPr>
          <w:b/>
          <w:color w:val="000000"/>
        </w:rPr>
        <w:t>Finding</w:t>
      </w:r>
      <w:r>
        <w:rPr>
          <w:color w:val="000000"/>
        </w:rPr>
        <w:t xml:space="preserve">  Distinguishes resistance that attempts to terminate selling (blocks) from resistance that delays progress (stalls), using conversational sequence and context.</w:t>
      </w:r>
    </w:p>
    <w:p>
      <w:pPr>
        <w:keepNext/>
      </w:pPr>
      <w:r>
        <w:rPr>
          <w:color w:val="000000"/>
        </w:rPr>
      </w:r>
      <w:r>
        <w:rPr>
          <w:b/>
          <w:color w:val="000000"/>
        </w:rPr>
        <w:t>Limit and design use</w:t>
      </w:r>
      <w:r>
        <w:rPr>
          <w:color w:val="000000"/>
        </w:rPr>
        <w:t xml:space="preserve">  Qualitative findings concern appointment seeking, not automated classifier accuracy or completed-sale prediction; calls recorded in 2014–2016. Design objection labels that distinguish rejection from postponement and retain adjacent turns, timing, and uncertainty for human review.</w:t>
      </w:r>
    </w:p>
    <w:p>
      <w:pPr>
        <w:keepLines/>
      </w:pPr>
      <w:r>
        <w:rPr>
          <w:color w:val="000000"/>
        </w:rPr>
      </w:r>
      <w:r>
        <w:rPr>
          <w:b/>
          <w:color w:val="000000"/>
        </w:rPr>
        <w:t>Evidence checked</w:t>
      </w:r>
      <w:r>
        <w:rPr>
          <w:color w:val="000000"/>
        </w:rPr>
        <w:t xml:space="preserve">  Open publisher full text; inspected Data and Method, examples, and discussion; publisher PDF verifies final pagination. </w:t>
      </w:r>
      <w:r>
        <w:rPr>
          <w:b/>
          <w:color w:val="000000"/>
        </w:rPr>
        <w:t>Location</w:t>
      </w:r>
      <w:r>
        <w:rPr>
          <w:color w:val="000000"/>
        </w:rPr>
        <w:t xml:space="preserve">  Publisher Abstract; Data and Method; Results sections on blocks and stalls; final issue metadata 42(5–6), 630–652.</w:t>
      </w:r>
    </w:p>
    <w:p>
      <w:pPr>
        <w:keepNext/>
        <w:keepLines/>
        <w:spacing w:after="140"/>
      </w:pPr>
      <w:r>
        <w:rPr>
          <w:sz w:val="20"/>
          <w:color w:val="000000"/>
        </w:rPr>
      </w:r>
      <w:r>
        <w:rPr>
          <w:b/>
          <w:sz w:val="20"/>
          <w:color w:val="000000"/>
        </w:rPr>
        <w:t xml:space="preserve">L15  </w:t>
      </w:r>
      <w:r>
        <w:rPr>
          <w:sz w:val="20"/>
          <w:color w:val="000000"/>
        </w:rPr>
        <w:t xml:space="preserve">Yuanfeng Song; Xuefang Zhao; Di Jiang; Xiaoling Huang; Weiwei Zhao; Qian Xu; Raymond Chi-Wing Wong; Qiang Yang (2021). </w:t>
      </w:r>
      <w:hyperlink r:id="rId37">
        <w:r>
          <w:rPr>
            <w:color w:val="000000"/>
            <w:u w:val="single"/>
            <w:sz w:val="20"/>
          </w:rPr>
          <w:t>SmartSales: An AI-Powered Telemarketing Coaching System in FinTech</w:t>
        </w:r>
      </w:hyperlink>
      <w:r>
        <w:rPr>
          <w:sz w:val="20"/>
          <w:color w:val="000000"/>
        </w:rPr>
        <w:t>. Proceedings of the 29th ACM International Conference on Multimedia (MM ’21), 2774–2776.</w:t>
      </w:r>
    </w:p>
    <w:p>
      <w:pPr>
        <w:keepNext/>
      </w:pPr>
      <w:r>
        <w:rPr>
          <w:color w:val="000000"/>
        </w:rPr>
      </w:r>
      <w:r>
        <w:rPr>
          <w:color w:val="000000"/>
        </w:rPr>
        <w:t xml:space="preserve">DOI 10.1145/3474085.3478555  |  </w:t>
      </w:r>
      <w:hyperlink r:id="rId38">
        <w:r>
          <w:rPr>
            <w:color w:val="000000"/>
            <w:u w:val="single"/>
          </w:rPr>
          <w:t>Full text</w:t>
        </w:r>
      </w:hyperlink>
    </w:p>
    <w:p>
      <w:pPr>
        <w:keepNext/>
      </w:pPr>
      <w:r>
        <w:rPr>
          <w:color w:val="000000"/>
        </w:rPr>
      </w:r>
      <w:r>
        <w:rPr>
          <w:b/>
          <w:color w:val="000000"/>
        </w:rPr>
        <w:t>Approach</w:t>
      </w:r>
      <w:r>
        <w:rPr>
          <w:color w:val="000000"/>
        </w:rPr>
        <w:t xml:space="preserve">  Chinese FinTech telemarketing demo integrating ASR, dialogue parsing, intent mining, knowledge-base QA, response recommendation, sentiment, and call evaluation. </w:t>
      </w:r>
      <w:r>
        <w:rPr>
          <w:b/>
          <w:color w:val="000000"/>
        </w:rPr>
        <w:t>Finding</w:t>
      </w:r>
      <w:r>
        <w:rPr>
          <w:color w:val="000000"/>
        </w:rPr>
        <w:t xml:space="preserve">  Reports deployment at WeBank; demonstrates component evaluation and an operational workflow joining speech recognition to managerial call reports.</w:t>
      </w:r>
    </w:p>
    <w:p>
      <w:pPr>
        <w:keepNext/>
      </w:pPr>
      <w:r>
        <w:rPr>
          <w:color w:val="000000"/>
        </w:rPr>
      </w:r>
      <w:r>
        <w:rPr>
          <w:b/>
          <w:color w:val="000000"/>
        </w:rPr>
        <w:t>Limit and design use</w:t>
      </w:r>
      <w:r>
        <w:rPr>
          <w:color w:val="000000"/>
        </w:rPr>
        <w:t xml:space="preserve">  Three-page demonstration with proprietary domain data; deployment statement and component metrics do not establish causal sales improvement or multilingual portability. Reference system decomposition, offline knowledge maintenance, online call processing, and role-based reporting; keep recommendation optional and human-reviewed.</w:t>
      </w:r>
    </w:p>
    <w:p>
      <w:pPr>
        <w:keepLines/>
      </w:pPr>
      <w:r>
        <w:rPr>
          <w:color w:val="000000"/>
        </w:rPr>
        <w:t>Evidence checked  Open author-hosted conference PDF and ACM SIGMM proceedings listing; inspected all three pages. This differs from Liang et al.'s 2022 SmartSales chatlog preprint. Rechecked 23 October 2026 using the accessible author ust.hk PDF and official proceedings; the earlier hkust.edu.hk host timed out. Location  PDF p.1 abstract/Figure 1; Section 2 architecture and component experiments; Section 3 demonstrations; ACM SIGMM official MM2021 table of contents confirms publication.</w:t>
      </w:r>
    </w:p>
    <w:p>
      <w:pPr>
        <w:pStyle w:val="Heading1"/>
        <w:pageBreakBefore/>
      </w:pPr>
      <w:r>
        <w:rPr>
          <w:color w:val="000000"/>
        </w:rPr>
        <w:t>B Full requirements and tests</w:t>
      </w:r>
    </w:p>
    <w:p>
      <w:r>
        <w:rPr>
          <w:color w:val="000000"/>
        </w:rPr>
        <w:t>The register preserves the complete acceptance criteria behind the summaries in the main report. Priorities are Must, Should and Could. These are initial requirements pending stakeholder confirmation; test IDs identify planned verification rather than completed passes.</w:t>
      </w:r>
    </w:p>
    <w:p>
      <w:pPr>
        <w:pStyle w:val="Heading2"/>
      </w:pPr>
      <w:r>
        <w:rPr>
          <w:color w:val="000000"/>
        </w:rPr>
        <w:t>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Authenticate users and enforce the documented four role permission matrix</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Unauthenticated requests return 401; test UI and direct API for all role and action combinations including cross team denial; administrator gets no call content merely by holding the admin role.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sales data from CSV using a documented schema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fixture of 100 valid rows imports once; repeating its import creates no duplicates; invalid rows return row numbers and reasons without partial unreported writes.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Associate call audio with a sales record through explicit identifiers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accepted call has unique call_id and an existing deal_id; ambiguous or missing joins are rejected for correction; no guessed joins.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Accept consented WAV and MP3 recordings for asynchronous processing</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upload and validation complete a valid 10 minute file returns job_id and status within 2 seconds on the agreed host; measure upload duration separately; files above 50 MB or 30 minutes and unsupported types are rejected.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FR05</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Expose processing status and recoverable failures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job follows queued processing completed or failed states; repeated requests do not duplicate results; a transient error retries at most twice; a permanent error displays a useful message.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Produce editable timestamped transcripts with language metadata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completed job stores segment start end text model version and declared language; every segment satisfies 0 &lt;= start &lt; end &lt;= call duration; unsupported language produces an explicit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FR07</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Distinguish anonymous speakers and permit correction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two speaker test call displays speaker A and B; reviewer can correct a speaker label; identity and role are never inferred as fact without confirmation.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Extract sales objections and next actions with evidence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displayed objection or next action links to an existing transcript segment and timestamp; unsupported or uncertain items are flagged; missing evidence prevents publication as confirmed.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FR09</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Let an authorized reviewer correct and approve extracted items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correction creates a new revision with actor time old value and new value; the UI distinguishes draft reviewed and corrected items.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Display reproducible sales and call analytics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a fixed 20 deal fixture count won lost eligible closed deals and won divided by won plus lost exactly match hand calculation; filters by date representative and outcome update all charts consistently.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Search permitted transcripts and filter the call list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known keyword returns all matching authorized fixture calls; date language status and outcome filters compose; a salesperson never receives unauthorized results.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Export permitted analytics with provenance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CSV export matches the active filters and contains metric definition time window and data version; spreadsheet formula prefixes in untrusted text are safely neutralized.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Support retention and deletion of a call and its derivatives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deletion removes audio all transcript versions extracted items revision old and new text search indexes and application export caches within 24 hours; retain content free audit only; backup expiry &lt;=30 days. Previously downloaded exports require an owner policy.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CRM outcomes distinct from conversation inferences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The source outcome field cannot be overwritten by model output; the UI labels extraction as a draft inference and reports absent outcome as unknown rather than lost.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Measure model performance by language and call conditions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evaluation run exports per-language WER and entity accuracy, six-label objection macro F1, next-action event F1 and processing time, with fixed scoring rules, dataset groups, model configuration and unsupported strata shown explicitly.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FR16</w:t>
              <w:br/>
              <w:t>Could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from a live CRM connector</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future read only connector uses scoped credentials and idempotent synchronization; CSV remains the mandatory initial path.</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T16</w:t>
            </w:r>
          </w:p>
        </w:tc>
      </w:tr>
    </w:tbl>
    <w:p>
      <w:pPr>
        <w:spacing w:line="60" w:lineRule="exact" w:after="80" w:before="0"/>
      </w:pPr>
      <w:r>
        <w:rPr>
          <w:color w:val="000000"/>
        </w:rPr>
      </w:r>
    </w:p>
    <w:p>
      <w:pPr>
        <w:pStyle w:val="Heading2"/>
      </w:pPr>
      <w:r>
        <w:rPr>
          <w:color w:val="000000"/>
        </w:rPr>
        <w:t>Non 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Privacy and data minimization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recordings with a recorded authorization basis enter the pilot; raw customer contacts are excluded from source control and evaluation exports; retention settings and deletion are demonstrable.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Transport storage and secret protection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Deployed endpoints require TLS; object storage is private; no secrets in tracked example files; runtime credentials have minimum permissions. Local mockup contains synthetic data only.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Auditability and reproducibility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inference stores model name version configuration hash input checksum transcript revision and processing time; each reported metric names its denominator and dataset version.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NFR04</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Dashboard response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10000 synthetic deal rows and 1000 call records on a documented 4 vCPU 8 GB RAM reference machine, p95 dashboard API response &lt;=2 seconds across 100 requests at concurrency 5; inference runs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Transcription processing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the separately recorded inference host, median real time factor &lt;=1 for 10 minute pilot recordings and p95 &lt;=2; model size hardware audio length and warm up are reported. This is a proposed target, not a measured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Failure isolation and consistency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interrupted worker can restart without duplicate transcript versions becoming current; failed jobs do not appear as completed; database and blob cleanup are reconciled.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NFR07</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Usability and accessibility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At least 4 of 5 users finish the three fixed tasks in the evaluation plan without help within 10 minutes total; use preprocessed 2 minute synthetic or authorized calls and exclude ASR waiting; keyboard interactions and field errors are usable.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Maintainability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Documented module interfaces configuration examples schema migrations lint checks and tests exist before integration; a teammate can reproduce the demo from README instructions.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NFR09</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 quality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Pilot targets WER &lt;=25% for Russian and &lt;=30% for Kazakh; report each language separately with uncertainty and test size. Failure triggers transcript correction scope or a narrower supported language claim.</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Factual reliability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held-out annotated calls, &gt;=95% of raw extracted items have evidence supporting every asserted field in source audio or adjudicated gold; report counts and empty output as unavailable, with recall separately. Human-reviewed release outputs contain zero fabricated numeric commitments; publish raw-model numeric errors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bl>
    <w:p>
      <w:pPr>
        <w:spacing w:line="60" w:lineRule="exact" w:after="80" w:before="0"/>
      </w:pPr>
      <w:r>
        <w:rPr>
          <w:color w:val="000000"/>
        </w:rPr>
      </w:r>
    </w:p>
    <w:p>
      <w:pPr>
        <w:pStyle w:val="Heading2"/>
      </w:pPr>
      <w:r>
        <w:rPr>
          <w:color w:val="000000"/>
        </w:rPr>
        <w:t>Test catalogue</w:t>
      </w:r>
    </w:p>
    <w:p>
      <w:r>
        <w:rPr>
          <w:color w:val="000000"/>
        </w:rPr>
        <w:t>T01 authorization and direct object access tests; T02 CSV valid invalid duplicate and rollback fixtures; T03 missing conflicting and repeated join tests; T04 file type size length and asynchronous response tests; T05 forced worker crash retry idempotency tests; T06 gold transcription language and timestamp checks; T07 two speaker overlap and correction tests; T08 evidence integrity and annotation evaluation; T09 correction revision audit tests; T10 hand calculated dashboard fixture; T11 role scoped composed search filters; T12 filtered CSV export and formula injection fixture; T13 deletion active stores and backup expiry inspection; T14 outcome provenance test; T15 reproducible stratified evaluator; T16 optional CRM synchronization tests; T17 TLS secret and object access configuration review; T18 version and lineage completeness check; T19 documented API load test; T20 documented inference benchmark; T21 observed usability and keyboard checks; T22 teammate clean setup and module review. Each requirement in requirements.csv maps to a test ID. Implementation must add executable assertions and record actual outputs before claiming a pass.</w:t>
      </w:r>
    </w:p>
    <w:p>
      <w:pPr>
        <w:pStyle w:val="Heading1"/>
        <w:pageBreakBefore/>
      </w:pPr>
      <w:r>
        <w:rPr>
          <w:color w:val="000000"/>
        </w:rPr>
        <w:t>C Data and access contract</w:t>
      </w:r>
    </w:p>
    <w:p>
      <w:r>
        <w:rPr>
          <w:color w:val="000000"/>
        </w:rPr>
        <w:t>Proposed contract; no client schema or recording access has been secured. Store timestamps in UTC and display Asia/Almaty initially. Use stable source-specific external IDs plus immutable internal IDs. Never guess a call–deal association or join unrelated public sales and speech datasets.</w:t>
      </w:r>
    </w:p>
    <w:p>
      <w:pPr>
        <w:pStyle w:val="Heading2"/>
      </w:pPr>
      <w:r>
        <w:rPr>
          <w:color w:val="000000"/>
        </w:rPr>
        <w:t>Import contracts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Required content and validation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Deal CSV</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external_deal_id, deal_id, representative_id, opened_at, closed_at, outcome, amount, currency. Offset-bearing ISO timestamps; open/won/lost only; closed_at required for won/lost; nonnegative or missing amount; ISO currency or missing.</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Call manifest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external_call_id, call_id, deal_id, representative_id, recorded_at, declared_language (ru/kk/mixed/unknown), authorization_ref, audio_sha256, storage_object_id. One deal may have many calls; each accepted call references exactly one existing deal.</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Reimport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Unique source_system plus external ID and content hash. Skip identical rows; confirm changed rows and create revisions; reject collisions, conflicting duplicates and naive timestamps; quarantine unresolved joins.</w:t>
            </w:r>
          </w:p>
        </w:tc>
      </w:tr>
    </w:tbl>
    <w:p>
      <w:pPr>
        <w:spacing w:line="60" w:lineRule="exact" w:after="80" w:before="0"/>
      </w:pPr>
      <w:r>
        <w:rPr>
          <w:color w:val="000000"/>
        </w:rPr>
      </w:r>
    </w:p>
    <w:p>
      <w:r>
        <w:rPr>
          <w:color w:val="000000"/>
        </w:rPr>
        <w:t>Version lineage: Call → current/historic TranscriptVersion → Segment. ExtractedItem references its evidence segments and transcript revision; evidence changes invalidate approval. ReviewRevision retains actor/time/old/new values. ProcessingJob records attempts/status/error. AuditEvent records actor/action/object/time without unnecessary transcript text. Deletion covers sensitive historic revisions and derivatives; content-free audit is separate.</w:t>
      </w:r>
    </w:p>
    <w:p>
      <w:pPr>
        <w:pStyle w:val="Heading2"/>
      </w:pPr>
      <w:r>
        <w:rPr>
          <w:color w:val="000000"/>
        </w:rPr>
        <w:t>Role permissions</w:t>
      </w:r>
    </w:p>
    <w:tbl>
      <w:tblPr>
        <w:tblW w:type="auto" w:w="0"/>
        <w:jc w:val="center"/>
        <w:tblLayout w:type="fixed"/>
        <w:tblLook w:firstColumn="1" w:firstRow="1" w:lastColumn="0" w:lastRow="0" w:noHBand="0" w:noVBand="1" w:val="04A0"/>
      </w:tblPr>
      <w:tblGrid>
        <w:gridCol w:w="2016"/>
        <w:gridCol w:w="1584"/>
        <w:gridCol w:w="1584"/>
        <w:gridCol w:w="2232"/>
        <w:gridCol w:w="2390"/>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Action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Salesperson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Manager</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Analyst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Administrator</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Import/link</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records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separate business grant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Read audio/transcripts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Granted research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access</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Correct/review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Explicit review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right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Analytics/export</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scope</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Authorized deidentified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Configuration metadata only</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Deletion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own via approved flow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team via approved flow</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Execute authorized job; no browsing</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Roles/retention policy</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Yes, audited</w:t>
            </w:r>
          </w:p>
        </w:tc>
      </w:tr>
    </w:tbl>
    <w:p>
      <w:pPr>
        <w:spacing w:line="60" w:lineRule="exact" w:after="80" w:before="0"/>
      </w:pPr>
      <w:r>
        <w:rPr>
          <w:color w:val="000000"/>
        </w:rPr>
      </w:r>
    </w:p>
    <w:p>
      <w:r>
        <w:rPr>
          <w:color w:val="000000"/>
        </w:rPr>
        <w:t>Metrics: count distinct closed deals by closed_at; win rate = won/(won+lost), with Not available for zero denominator. Count distinct calls by recorded_at and label this different period basis. Open is never lost. Sum known won amounts by currency; conversion requires a documented rate/date. Reviewed objection prevalence uses reviewed calls in the same cohort as its denominator. Apply permissions before aggregation. Test multi-role intersections and cross-team denial.</w:t>
      </w:r>
    </w:p>
    <w:p>
      <w:r>
        <w:rPr>
          <w:color w:val="000000"/>
        </w:rPr>
      </w:r>
      <w:r>
        <w:rPr>
          <w:b/>
          <w:color w:val="000000"/>
        </w:rPr>
        <w:t>Reproduction</w:t>
      </w:r>
      <w:r>
        <w:rPr>
          <w:color w:val="000000"/>
        </w:rPr>
        <w:t xml:space="preserve">  Run python3 scripts/profile_public_data.py; add --archive /path/to/bank-marketing.zip for offline input. The standard-library script records input hashes and its actual run timestamp.</w:t>
      </w:r>
    </w:p>
    <w:p>
      <w:r>
        <w:rPr>
          <w:color w:val="000000"/>
        </w:rPr>
        <w:t>The profile contains 41,188 rows and 20 inputs: 4,640 positive and 36,548 negative outcomes. Unknown counts are retained in the JSON. No audio or transcript join key is available.</w:t>
      </w:r>
    </w:p>
    <w:p>
      <w:r>
        <w:rPr>
          <w:color w:val="000000"/>
        </w:rPr>
        <w:t>Exact archive and CSV hashes and the UTC run timestamp are retained in research/public_data_profile.json.</w:t>
      </w:r>
    </w:p>
    <w:p>
      <w:pPr>
        <w:pStyle w:val="Heading1"/>
        <w:pageBreakBefore/>
      </w:pPr>
      <w:r>
        <w:rPr>
          <w:color w:val="000000"/>
        </w:rPr>
        <w:t>D Evaluation protocol</w:t>
      </w:r>
    </w:p>
    <w:p>
      <w:r>
        <w:rPr>
          <w:color w:val="000000"/>
        </w:rPr>
        <w:t>All model, performance and user-study results remain planned. Completed work comprises source checking, descriptive public-data profiling, document QA and synthetic UX checks. Proposed corpus: 60 authorized calls, 20 Russian, 20 Kazakh, 20 mixed; 2–15 minutes; ideally ≥4 representatives and several products. Record channel, noise, overlap, duration and sample rate. This is a feasibility target, not a power calculation.</w:t>
      </w:r>
    </w:p>
    <w:p>
      <w:r>
        <w:rPr>
          <w:color w:val="000000"/>
        </w:rPr>
        <w:t>Target 30 development, 10 validation and 20 test calls, subject to intact connected groups sharing a customer or any known speaker. One representative can connect many customers. Report achieved groups, calls and language coverage; four representatives may not support the intended allocation. Add independent groups or narrow the evaluation. Do not claim unseen-speaker performance if representatives overlap or identity is unknown. Freeze group IDs, hashes, scoring and tuning decisions.</w:t>
      </w:r>
    </w:p>
    <w:p>
      <w:pPr>
        <w:pStyle w:val="Heading2"/>
      </w:pPr>
      <w:r>
        <w:rPr>
          <w:color w:val="000000"/>
        </w:rPr>
        <w:t>Research questions and comparisons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Question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Baseline and evaluation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Speech recognition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Selected local Whisper configuration versus smaller/faster local configuration; optional approved managed ASR. Per-language micro WER, per-call distributions and business-entity exact match.</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extraction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Rules versus schema-constrained model on the same gold/ASR calls. Six-label objection macro F1 and separate next-action event F1; source-grounded evidence precision, recall and empty-output rules.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Exploratory outcome prediction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adequate legitimate linked data: majority baseline, structured-only logistic regression, structured-plus-conversation model. Time/customer splits; PR-AUC primary, ROC-AUC/calibration secondary; validation-only threshold.</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Workflow usability</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Matched manual/prototype tasks, counterbalanced order; completion, elapsed time, errors, corrections and assistance. Small pilot supports feasibility observations only.</w:t>
            </w:r>
          </w:p>
        </w:tc>
      </w:tr>
    </w:tbl>
    <w:p>
      <w:pPr>
        <w:spacing w:line="60" w:lineRule="exact" w:after="80" w:before="0"/>
      </w:pPr>
      <w:r>
        <w:rPr>
          <w:color w:val="000000"/>
        </w:rPr>
      </w:r>
    </w:p>
    <w:p>
      <w:r>
        <w:rPr>
          <w:color w:val="000000"/>
        </w:rPr>
        <w:t>WER = (substitutions + deletions + insertions)/reference words. Corpus WER sums counts before division; report raw and normalized values and per-call distributions. Failed speech transcriptions receive an empty hypothesis and remain in failure counts. Empty-reference controls have undefined per-call WER; report inserted words and silence duration. Bootstrap paired outputs by independent customer/speaker groups, not correlated calls; show group counts and seed. With one or two groups, report descriptive results without a generalization interval. Sixty calls cannot establish reliable conversion prediction or causal sales uplift.</w:t>
      </w:r>
    </w:p>
    <w:p>
      <w:r>
        <w:rPr>
          <w:color w:val="000000"/>
        </w:rPr>
        <w:t>Provisional targets: Russian WER ≤25%, Kazakh ≤30%; mixed reported separately. Objection macro F1 ≥0.75 and next-action event F1 ≥0.75 are separate targets; raw source-grounded evidence precision ≥0.95. Report raw numeric errors separately from the zero-fabrication condition for human-reviewed release outputs. Empty output or absent language/class coverage cannot establish a full pass. Failure triggers narrower claims or documented revision, never selective removal of hard calls.</w:t>
      </w:r>
    </w:p>
    <w:p>
      <w:r>
        <w:rPr>
          <w:color w:val="000000"/>
        </w:rPr>
        <w:t>Freeze all six objection labels and zero_division=0; publish per-label TP/FP/FN, support and six binary kappa scores before adjudication. Match action events one-to-one by meaning within a call; duplicates/unmatched predictions are FP and missed gold events are FN. Compare owner/date fields separately. Align evidence through source time or original gold turns rather than identical segment IDs across ASR segmentations.</w:t>
      </w:r>
    </w:p>
    <w:p>
      <w:r>
        <w:rPr>
          <w:color w:val="000000"/>
        </w:rPr>
        <w:t>Evidence precision counts emitted items whose cited audio or adjudicated gold supports every asserted field, divided by all emitted items. An ASR transcript alone cannot establish truth. Missing or unrelated support is incorrect; with no output, precision is Not available and recall still exposes misses. Separate semantic event matching, ASR-text consistency and source grounding. Human correction is reported separately from model drafts.</w:t>
      </w:r>
    </w:p>
    <w:p>
      <w:r>
        <w:rPr>
          <w:color w:val="000000"/>
        </w:rPr>
        <w:t>Record model/runtime/configuration, hardware, alignment/decoding, audio properties, queue wait, latency, RTF and peak memory/VRAM. Report warm-up treatment and median/p95 over ≥20 runs. Dashboard reference: 10,000 deals/1,000 calls, 4 vCPU/8 GB, 100 requests, concurrency 5, p95 ≤2 s. Inference target: median RTF ≤1, p95 ≤2 on 10-minute recordings. Cloud comparisons disclose billed minutes/rounding.</w:t>
      </w:r>
    </w:p>
    <w:p>
      <w:r>
        <w:rPr>
          <w:color w:val="000000"/>
        </w:rPr>
        <w:t>Future integrated user tasks: import a 20-row CSV/manifest to queued state, correct an objection in a preprocessed 2-minute call, and explain filtered win rate. Target ≥4/5 users unassisted in 10 minutes excluding ASR waiting. Freeze equivalent A/B cases. Use four sequences: manual A/application B, application A/manual B, manual B/application A, application B/manual A; repeat the first for user five and disclose imbalance. Manual tools are a spreadsheet and timestamped transcript; compare correct links, objection/evidence and KPI explanation, reporting application-only queueing separately. The current sample-only mockup cannot pass the complete import, queue, authentication or user-study requirements. Full scoring details are in docs/verification_plan.md.</w:t>
      </w:r>
    </w:p>
    <w:p>
      <w:pPr>
        <w:pStyle w:val="Heading1"/>
        <w:pageBreakBefore/>
      </w:pPr>
      <w:r>
        <w:rPr>
          <w:color w:val="000000"/>
        </w:rPr>
        <w:t>E Backlog and risk register</w:t>
      </w:r>
    </w:p>
    <w:p>
      <w:r>
        <w:rPr>
          <w:color w:val="000000"/>
        </w:rPr>
        <w:t>Proposed allocations and deadlines, not completed contributions or appointments. Full original acceptance text remains in planning/backlog.csv; local W labels are not YouTrack IDs. Owners: Dameli, Bekzat and Diasbek are the named students in the main report.</w:t>
      </w:r>
    </w:p>
    <w:p>
      <w:pPr>
        <w:pStyle w:val="Heading2"/>
      </w:pPr>
      <w:r>
        <w:rPr>
          <w:color w:val="000000"/>
        </w:rPr>
        <w:t>Work item register</w:t>
      </w:r>
    </w:p>
    <w:tbl>
      <w:tblPr>
        <w:tblW w:type="auto" w:w="0"/>
        <w:jc w:val="center"/>
        <w:tblLayout w:type="fixed"/>
        <w:tblLook w:firstColumn="1" w:firstRow="1" w:lastColumn="0" w:lastRow="0" w:noHBand="0" w:noVBand="1" w:val="04A0"/>
      </w:tblPr>
      <w:tblGrid>
        <w:gridCol w:w="1584"/>
        <w:gridCol w:w="3672"/>
        <w:gridCol w:w="3182"/>
        <w:gridCol w:w="1368"/>
      </w:tblGrid>
      <w:tr>
        <w:trPr>
          <w:cantSplit/>
          <w:tblHeader w:val="true"/>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 owner / priority</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Task and completion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Due / current status</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Depends on</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W01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Validate scope/users/languages; record supervisor decision.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approval</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W02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15 real sources, ≥8 scientific; individual citation/relevance notes.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needs student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W03 Dameli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Conduct 3–5 discussions; consent/deidentified evidence→requirements.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W04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Confirm audio rights, access, retention and call–deal IDs; otherwise narrow claims.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W05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CSV/schema/time/outcome/error rules and 100-row valid/invalid fixtures.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W06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three diagrams, requirements and justified technical decisions.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W07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multilingual sampling, annotation, leakage controls and hardware/model comparison.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W08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Refine prototype; check import, evidence review, corrections and dashboard flow.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needs user validation</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W09 Diasbek Medium</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Teammate reproduces 41,188 rows/4,640 positives/hashes; documents leakage/no-audio limits.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computed, reproduction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W10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Record real supervisor comments/version/decisions and resolution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W02, W06–08</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W11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Publish prepared package and finish team access; repository created, reviews and access pending.</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repository only</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W12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All teammates rehearse sources/diagrams/metrics/limits and address feedback.</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W10, W11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W13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scoped API/CSV; FR01–03/14 and relevant NFR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 W06</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W14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speech/extraction worker and evaluator; FR04–06/08/15; versioned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 W07</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W15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Build frontend/API integration for review, dashboard, search and export; UI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W08, W13, W14</w:t>
            </w:r>
          </w:p>
        </w:tc>
      </w:tr>
    </w:tbl>
    <w:p>
      <w:pPr>
        <w:spacing w:line="60" w:lineRule="exact" w:after="80" w:before="0"/>
      </w:pPr>
      <w:r>
        <w:rPr>
          <w:color w:val="000000"/>
        </w:rPr>
      </w:r>
    </w:p>
    <w:p>
      <w:pPr>
        <w:pStyle w:val="Heading2"/>
      </w:pPr>
      <w:r>
        <w:rPr>
          <w:color w:val="000000"/>
        </w:rPr>
        <w:t>Risk register</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ID / owner / impact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Trigger → response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R01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agreement by 23 Oct → synthetic UX/public ASR separately; no sales-gain claim.</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R02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Language/entity errors → stratified pilot, correction and narrower support.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R03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Invented objection/amount → source evidence, human approval, reject unsupported text.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R04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Future features/customer overlap → prediction cutoff and customer/time split.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R05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Private data/secrets exposed → restricted storage, role tests, minimized exports/deletion.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R06 Diasbek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Memory/RTF exceeded → smaller quantized model, queueing, capped corpus, hardware disclosure.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R07 Dameli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absent 23 Oct → real collection/review; keep pending, never backdate.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R08 Dameli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Vendor facts change → recheck official pages; separate claims from tested behavior.</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R09 Bekzat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Live coaching/staff scoring expands scope → logged change/capacity review; prioritize post-call MVP.</w:t>
            </w:r>
          </w:p>
        </w:tc>
      </w:tr>
    </w:tbl>
    <w:p>
      <w:pPr>
        <w:spacing w:line="60" w:lineRule="exact" w:after="80" w:before="0"/>
      </w:pPr>
      <w:r>
        <w:rPr>
          <w:color w:val="000000"/>
        </w:rPr>
      </w:r>
    </w:p>
    <w:p>
      <w:r>
        <w:rPr>
          <w:color w:val="000000"/>
        </w:rPr>
        <w:t>Setup status on 23 October 2026  Prepared materials are in draft PR 2 at https://github.com/ddigreen/sales-analytics-stt. The YouTrack project at https://sales-analytics-stt-team.youtrack.cloud/projects/SASTT contains 12 assigned Open issues; planning/backlog.csv maps W labels to actual issue IDs. Dameli has GitHub access; Bekzat was invited. Student review, stakeholder evidence, supervision, reviewer access and a reviewed submission tag remain pending. Apply pre-defense-1 only to the actual reviewed submission.</w:t>
      </w:r>
    </w:p>
    <w:p>
      <w:pPr>
        <w:pStyle w:val="Heading1"/>
        <w:pageBreakBefore/>
      </w:pPr>
      <w:r>
        <w:rPr>
          <w:color w:val="000000"/>
        </w:rPr>
        <w:t>F Interview and supervisor forms</w:t>
      </w:r>
    </w:p>
    <w:p>
      <w:r>
        <w:rPr>
          <w:color w:val="000000"/>
        </w:rPr>
        <w:t>Prepared instruments only: no interviews, meetings, findings or approvals are recorded. Recruit 3–5 process representatives: manager, salesperson, analyst/CRM owner, IT/data owner; optional contrasting salesperson. Allow 25–40 minutes plus optional walkthrough. Record role gaps and distinguish observed facts from self-report.</w:t>
      </w:r>
    </w:p>
    <w:p>
      <w:pPr>
        <w:pStyle w:val="Heading2"/>
      </w:pPr>
      <w:r>
        <w:rPr>
          <w:color w:val="000000"/>
        </w:rPr>
        <w:t>Interview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Form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Session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INT-__ / participant code / role-context / actual date-time-zone-duration / language / interviewer-note-taker / restricted notes location.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consent choices</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Participation / notes / optional recording / anonymized quotation / later contact / permitted uses. Interview consent does not authorize customer-audio reuse.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Evidence→requirement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ID / exact anonymized fact-quotation / source location-context / observed,self-reported,assumption,validated / interpretation / requirement ID / owner confirmation-date.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KPI confirmation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 formula / numerator-denominator-unit-window / inclusions / event-time-zone / source-fields-join / duplicates-missing-refunds-currency / outcome authority / confirming owner-date.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Walkthrough observation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Task / start-end / completion / assistance-errors / participant comment / observer note / observed versus estimated time.</w:t>
            </w:r>
          </w:p>
        </w:tc>
      </w:tr>
    </w:tbl>
    <w:p>
      <w:pPr>
        <w:spacing w:line="60" w:lineRule="exact" w:after="80" w:before="0"/>
      </w:pPr>
      <w:r>
        <w:rPr>
          <w:color w:val="000000"/>
        </w:rPr>
      </w:r>
    </w:p>
    <w:p>
      <w:r>
        <w:rPr>
          <w:color w:val="000000"/>
        </w:rPr>
        <w:t>Neutral prompts: describe a recent sale and its tools; identify conflicting-record authority; explain language switching and recognition difficulties; demonstrate current reporting burden; show a deidentified missed objection/action; identify unacceptable errors and required human decisions; define the smallest useful observable improvement. Retain conflicting accounts; confirm interpretations rather than treating requests as validated needs.</w:t>
      </w:r>
    </w:p>
    <w:p>
      <w:r>
        <w:rPr>
          <w:color w:val="000000"/>
        </w:rPr>
        <w:t>Supervisor: Orynbek Alibek Sarsenbekuly; confirm official spelling. Review pending. SUP-01 scope; SUP-02 literature; SUP-03 gap/questions; SUP-04 stakeholder collection; SUP-05 architecture/data/languages; SUP-06 KPIs/evaluation; SUP-07 responsibilities; SUP-08 repository exclusions. IDs name planned topics, not completed evidence.</w:t>
      </w:r>
    </w:p>
    <w:p>
      <w:pPr>
        <w:pStyle w:val="Heading2"/>
      </w:pPr>
      <w:r>
        <w:rPr>
          <w:color w:val="000000"/>
        </w:rPr>
        <w:t>Supervisor review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Actual date/time/zone/duration / attendees/roles / format / artifact versions / permitted evidence reference / note-taker / unresolved issues / next agreed follow-up.</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and revision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SUP-ID / exact supervisor comment / decision or rationale / change-ID / owner / due date / completion evidence / verifying reviewer-date.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Outcome</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occurred / scope approved / conditions / confirmation method / actual confirmation date / authorized acknowledgment if required.</w:t>
            </w:r>
          </w:p>
        </w:tc>
      </w:tr>
    </w:tbl>
    <w:p>
      <w:pPr>
        <w:spacing w:line="60" w:lineRule="exact" w:after="80" w:before="0"/>
      </w:pPr>
      <w:r>
        <w:rPr>
          <w:color w:val="000000"/>
        </w:rPr>
      </w:r>
    </w:p>
    <w:p>
      <w:r>
        <w:rPr>
          <w:color w:val="000000"/>
        </w:rPr>
        <w:t>Keep pending status when collection/review is unavailable before cutoff. Do not fill blank forms with hypothetical findings. Store contacts, actual business files and authorization records separately under approved restricted access.</w:t>
      </w:r>
    </w:p>
    <w:p>
      <w:pPr>
        <w:pStyle w:val="Heading2"/>
      </w:pPr>
      <w:r>
        <w:rPr>
          <w:color w:val="000000"/>
        </w:rPr>
        <w:t>Prototype preview</w:t>
      </w:r>
    </w:p>
    <w:p>
      <w:pPr>
        <w:keepNext/>
      </w:pPr>
      <w:r>
        <w:rPr>
          <w:color w:val="000000"/>
        </w:rPr>
        <w:drawing>
          <wp:inline xmlns:a="http://schemas.openxmlformats.org/drawingml/2006/main" xmlns:pic="http://schemas.openxmlformats.org/drawingml/2006/picture">
            <wp:extent cx="6080760" cy="3878674"/>
            <wp:docPr id="1" name="Picture 1"/>
            <wp:cNvGraphicFramePr>
              <a:graphicFrameLocks noChangeAspect="1"/>
            </wp:cNvGraphicFramePr>
            <a:graphic>
              <a:graphicData uri="http://schemas.openxmlformats.org/drawingml/2006/picture">
                <pic:pic>
                  <pic:nvPicPr>
                    <pic:cNvPr id="0" name="ux_preview.png"/>
                    <pic:cNvPicPr/>
                  </pic:nvPicPr>
                  <pic:blipFill>
                    <a:blip r:embed="rId39">
                      <a:biLevel thresh="70000"/>
                    </a:blip>
                    <a:stretch>
                      <a:fillRect/>
                    </a:stretch>
                  </pic:blipFill>
                  <pic:spPr>
                    <a:xfrm>
                      <a:off x="0" y="0"/>
                      <a:ext cx="6080760" cy="3878674"/>
                    </a:xfrm>
                    <a:prstGeom prst="rect"/>
                  </pic:spPr>
                </pic:pic>
              </a:graphicData>
            </a:graphic>
          </wp:inline>
        </w:drawing>
      </w:r>
    </w:p>
    <w:p>
      <w:pPr>
        <w:pStyle w:val="Caption"/>
      </w:pPr>
      <w:r>
        <w:rPr>
          <w:color w:val="000000"/>
        </w:rPr>
        <w:t>Synthetic dashboard preview. Open prototype/index.html for the interactive import, call-review, evidence and retry examples.</w:t>
      </w:r>
    </w:p>
    <w:p>
      <w:r>
        <w:rPr>
          <w:color w:val="000000"/>
        </w:rPr>
        <w:t>The fixture separates eight calls from seven CRM deals. Closed metrics use closed_at; call counts use recorded_at; open pipeline is a current snapshot. The role switch and revision trail illustrate interaction only. They do not implement authentication or persistent storage.</w:t>
      </w:r>
    </w:p>
    <w:p>
      <w:pPr>
        <w:pStyle w:val="Heading1"/>
        <w:pageBreakBefore/>
      </w:pPr>
      <w:r>
        <w:rPr>
          <w:color w:val="000000"/>
        </w:rPr>
        <w:t>G Official comparison evidence</w:t>
      </w:r>
    </w:p>
    <w:p>
      <w:r>
        <w:rPr>
          <w:color w:val="000000"/>
        </w:rPr>
        <w:t>The IDs below are clickable evidence references used in the main comparison tables. They describe vendor/project capabilities, not independent performance results. All were checked during 21–22 October 2026. The JSON register retains the individual evidence notes and caveats.</w:t>
      </w:r>
    </w:p>
    <w:p>
      <w:pPr>
        <w:keepLines/>
        <w:spacing w:after="80"/>
      </w:pPr>
      <w:r>
        <w:rPr>
          <w:color w:val="000000"/>
        </w:rPr>
      </w:r>
      <w:r>
        <w:rPr>
          <w:b/>
          <w:color w:val="000000"/>
        </w:rPr>
        <w:t xml:space="preserve">G1  </w:t>
      </w:r>
      <w:hyperlink r:id="rId40">
        <w:r>
          <w:rPr>
            <w:color w:val="000000"/>
            <w:u w:val="single"/>
          </w:rPr>
          <w:t>Gong: Conversation Intelligence</w:t>
        </w:r>
      </w:hyperlink>
    </w:p>
    <w:p>
      <w:pPr>
        <w:keepLines/>
        <w:spacing w:after="80"/>
      </w:pPr>
      <w:r>
        <w:rPr>
          <w:color w:val="000000"/>
        </w:rPr>
      </w:r>
      <w:r>
        <w:rPr>
          <w:b/>
          <w:color w:val="000000"/>
        </w:rPr>
        <w:t xml:space="preserve">G2  </w:t>
      </w:r>
      <w:hyperlink r:id="rId41">
        <w:r>
          <w:rPr>
            <w:color w:val="000000"/>
            <w:u w:val="single"/>
          </w:rPr>
          <w:t>Gong: Explore call content</w:t>
        </w:r>
      </w:hyperlink>
    </w:p>
    <w:p>
      <w:pPr>
        <w:keepLines/>
        <w:spacing w:after="80"/>
      </w:pPr>
      <w:r>
        <w:rPr>
          <w:color w:val="000000"/>
        </w:rPr>
      </w:r>
      <w:r>
        <w:rPr>
          <w:b/>
          <w:color w:val="000000"/>
        </w:rPr>
        <w:t xml:space="preserve">G3  </w:t>
      </w:r>
      <w:hyperlink r:id="rId42">
        <w:r>
          <w:rPr>
            <w:color w:val="000000"/>
            <w:u w:val="single"/>
          </w:rPr>
          <w:t>Gong: CRM integrations</w:t>
        </w:r>
      </w:hyperlink>
    </w:p>
    <w:p>
      <w:pPr>
        <w:keepLines/>
        <w:spacing w:after="80"/>
      </w:pPr>
      <w:r>
        <w:rPr>
          <w:color w:val="000000"/>
        </w:rPr>
      </w:r>
      <w:r>
        <w:rPr>
          <w:b/>
          <w:color w:val="000000"/>
        </w:rPr>
        <w:t xml:space="preserve">G4  </w:t>
      </w:r>
      <w:hyperlink r:id="rId43">
        <w:r>
          <w:rPr>
            <w:color w:val="000000"/>
            <w:u w:val="single"/>
          </w:rPr>
          <w:t>Gong: Analyze team performance</w:t>
        </w:r>
      </w:hyperlink>
    </w:p>
    <w:p>
      <w:pPr>
        <w:keepLines/>
        <w:spacing w:after="80"/>
      </w:pPr>
      <w:r>
        <w:rPr>
          <w:color w:val="000000"/>
        </w:rPr>
      </w:r>
      <w:r>
        <w:rPr>
          <w:b/>
          <w:color w:val="000000"/>
        </w:rPr>
        <w:t xml:space="preserve">G5  </w:t>
      </w:r>
      <w:hyperlink r:id="rId44">
        <w:r>
          <w:rPr>
            <w:color w:val="000000"/>
            <w:u w:val="single"/>
          </w:rPr>
          <w:t>Gong: About language support</w:t>
        </w:r>
      </w:hyperlink>
    </w:p>
    <w:p>
      <w:pPr>
        <w:keepLines/>
        <w:spacing w:after="80"/>
      </w:pPr>
      <w:r>
        <w:rPr>
          <w:color w:val="000000"/>
        </w:rPr>
      </w:r>
      <w:r>
        <w:rPr>
          <w:b/>
          <w:color w:val="000000"/>
        </w:rPr>
        <w:t xml:space="preserve">G6  </w:t>
      </w:r>
      <w:hyperlink r:id="rId45">
        <w:r>
          <w:rPr>
            <w:color w:val="000000"/>
            <w:u w:val="single"/>
          </w:rPr>
          <w:t>Gong: Plans and seats</w:t>
        </w:r>
      </w:hyperlink>
    </w:p>
    <w:p>
      <w:pPr>
        <w:keepLines/>
        <w:spacing w:after="80"/>
      </w:pPr>
      <w:r>
        <w:rPr>
          <w:color w:val="000000"/>
        </w:rPr>
      </w:r>
      <w:r>
        <w:rPr>
          <w:b/>
          <w:color w:val="000000"/>
        </w:rPr>
        <w:t xml:space="preserve">S1  </w:t>
      </w:r>
      <w:hyperlink r:id="rId46">
        <w:r>
          <w:rPr>
            <w:color w:val="000000"/>
            <w:u w:val="single"/>
          </w:rPr>
          <w:t>Salesloft: General availability announcement, 14 July 2026</w:t>
        </w:r>
      </w:hyperlink>
    </w:p>
    <w:p>
      <w:pPr>
        <w:keepLines/>
        <w:spacing w:after="80"/>
      </w:pPr>
      <w:r>
        <w:rPr>
          <w:color w:val="000000"/>
        </w:rPr>
      </w:r>
      <w:r>
        <w:rPr>
          <w:b/>
          <w:color w:val="000000"/>
        </w:rPr>
        <w:t xml:space="preserve">S2  </w:t>
      </w:r>
      <w:hyperlink r:id="rId47">
        <w:r>
          <w:rPr>
            <w:color w:val="000000"/>
            <w:u w:val="single"/>
          </w:rPr>
          <w:t>Salesloft: Call Review Page UI Reference</w:t>
        </w:r>
      </w:hyperlink>
    </w:p>
    <w:p>
      <w:pPr>
        <w:keepLines/>
        <w:spacing w:after="80"/>
      </w:pPr>
      <w:r>
        <w:rPr>
          <w:color w:val="000000"/>
        </w:rPr>
      </w:r>
      <w:r>
        <w:rPr>
          <w:b/>
          <w:color w:val="000000"/>
        </w:rPr>
        <w:t xml:space="preserve">S3  </w:t>
      </w:r>
      <w:hyperlink r:id="rId48">
        <w:r>
          <w:rPr>
            <w:color w:val="000000"/>
            <w:u w:val="single"/>
          </w:rPr>
          <w:t>Salesloft: Salesforce integration</w:t>
        </w:r>
      </w:hyperlink>
    </w:p>
    <w:p>
      <w:pPr>
        <w:keepLines/>
        <w:spacing w:after="80"/>
      </w:pPr>
      <w:r>
        <w:rPr>
          <w:color w:val="000000"/>
        </w:rPr>
      </w:r>
      <w:r>
        <w:rPr>
          <w:b/>
          <w:color w:val="000000"/>
        </w:rPr>
        <w:t xml:space="preserve">S4  </w:t>
      </w:r>
      <w:hyperlink r:id="rId49">
        <w:r>
          <w:rPr>
            <w:color w:val="000000"/>
            <w:u w:val="single"/>
          </w:rPr>
          <w:t>Salesloft: Topics and filters</w:t>
        </w:r>
      </w:hyperlink>
    </w:p>
    <w:p>
      <w:pPr>
        <w:keepLines/>
        <w:spacing w:after="80"/>
      </w:pPr>
      <w:r>
        <w:rPr>
          <w:color w:val="000000"/>
        </w:rPr>
      </w:r>
      <w:r>
        <w:rPr>
          <w:b/>
          <w:color w:val="000000"/>
        </w:rPr>
        <w:t xml:space="preserve">S5  </w:t>
      </w:r>
      <w:hyperlink r:id="rId50">
        <w:r>
          <w:rPr>
            <w:color w:val="000000"/>
            <w:u w:val="single"/>
          </w:rPr>
          <w:t>Salesloft: Conversations Transcripts, 14 April 2026</w:t>
        </w:r>
      </w:hyperlink>
    </w:p>
    <w:p>
      <w:pPr>
        <w:keepLines/>
        <w:spacing w:after="80"/>
      </w:pPr>
      <w:r>
        <w:rPr>
          <w:color w:val="000000"/>
        </w:rPr>
      </w:r>
      <w:r>
        <w:rPr>
          <w:b/>
          <w:color w:val="000000"/>
        </w:rPr>
        <w:t xml:space="preserve">S6  </w:t>
      </w:r>
      <w:hyperlink r:id="rId51">
        <w:r>
          <w:rPr>
            <w:color w:val="000000"/>
            <w:u w:val="single"/>
          </w:rPr>
          <w:t>Salesloft: Conversational intelligence landing page</w:t>
        </w:r>
      </w:hyperlink>
    </w:p>
    <w:p>
      <w:pPr>
        <w:keepLines/>
        <w:spacing w:after="80"/>
      </w:pPr>
      <w:r>
        <w:rPr>
          <w:color w:val="000000"/>
        </w:rPr>
      </w:r>
      <w:r>
        <w:rPr>
          <w:b/>
          <w:color w:val="000000"/>
        </w:rPr>
        <w:t xml:space="preserve">H1  </w:t>
      </w:r>
      <w:hyperlink r:id="rId52">
        <w:r>
          <w:rPr>
            <w:color w:val="000000"/>
            <w:u w:val="single"/>
          </w:rPr>
          <w:t>HubSpot: Review call recordings and transcripts</w:t>
        </w:r>
      </w:hyperlink>
    </w:p>
    <w:p>
      <w:pPr>
        <w:keepLines/>
        <w:spacing w:after="80"/>
      </w:pPr>
      <w:r>
        <w:rPr>
          <w:color w:val="000000"/>
        </w:rPr>
      </w:r>
      <w:r>
        <w:rPr>
          <w:b/>
          <w:color w:val="000000"/>
        </w:rPr>
        <w:t xml:space="preserve">H2  </w:t>
      </w:r>
      <w:hyperlink r:id="rId53">
        <w:r>
          <w:rPr>
            <w:color w:val="000000"/>
            <w:u w:val="single"/>
          </w:rPr>
          <w:t>HubSpot: Language offerings</w:t>
        </w:r>
      </w:hyperlink>
    </w:p>
    <w:p>
      <w:pPr>
        <w:keepLines/>
        <w:spacing w:after="80"/>
      </w:pPr>
      <w:r>
        <w:rPr>
          <w:color w:val="000000"/>
        </w:rPr>
      </w:r>
      <w:r>
        <w:rPr>
          <w:b/>
          <w:color w:val="000000"/>
        </w:rPr>
        <w:t xml:space="preserve">D1  </w:t>
      </w:r>
      <w:hyperlink r:id="rId54">
        <w:r>
          <w:rPr>
            <w:color w:val="000000"/>
            <w:u w:val="single"/>
          </w:rPr>
          <w:t>Microsoft: Conversation intelligence FAQs</w:t>
        </w:r>
      </w:hyperlink>
    </w:p>
    <w:p>
      <w:pPr>
        <w:keepLines/>
        <w:spacing w:after="80"/>
      </w:pPr>
      <w:r>
        <w:rPr>
          <w:color w:val="000000"/>
        </w:rPr>
      </w:r>
      <w:r>
        <w:rPr>
          <w:b/>
          <w:color w:val="000000"/>
        </w:rPr>
        <w:t xml:space="preserve">D2  </w:t>
      </w:r>
      <w:hyperlink r:id="rId55">
        <w:r>
          <w:rPr>
            <w:color w:val="000000"/>
            <w:u w:val="single"/>
          </w:rPr>
          <w:t>Microsoft: Call summary page</w:t>
        </w:r>
      </w:hyperlink>
    </w:p>
    <w:p>
      <w:pPr>
        <w:keepLines/>
        <w:spacing w:after="80"/>
      </w:pPr>
      <w:r>
        <w:rPr>
          <w:color w:val="000000"/>
        </w:rPr>
      </w:r>
      <w:r>
        <w:rPr>
          <w:b/>
          <w:color w:val="000000"/>
        </w:rPr>
        <w:t xml:space="preserve">D3  </w:t>
      </w:r>
      <w:hyperlink r:id="rId56">
        <w:r>
          <w:rPr>
            <w:color w:val="000000"/>
            <w:u w:val="single"/>
          </w:rPr>
          <w:t>Microsoft: CI language support</w:t>
        </w:r>
      </w:hyperlink>
    </w:p>
    <w:p>
      <w:pPr>
        <w:keepLines/>
        <w:spacing w:after="80"/>
      </w:pPr>
      <w:r>
        <w:rPr>
          <w:color w:val="000000"/>
        </w:rPr>
      </w:r>
      <w:r>
        <w:rPr>
          <w:b/>
          <w:color w:val="000000"/>
        </w:rPr>
        <w:t xml:space="preserve">D4  </w:t>
      </w:r>
      <w:hyperlink r:id="rId57">
        <w:r>
          <w:rPr>
            <w:color w:val="000000"/>
            <w:u w:val="single"/>
          </w:rPr>
          <w:t>Microsoft: Overall sales and seller insights</w:t>
        </w:r>
      </w:hyperlink>
    </w:p>
    <w:p>
      <w:pPr>
        <w:keepLines/>
        <w:spacing w:after="80"/>
      </w:pPr>
      <w:r>
        <w:rPr>
          <w:color w:val="000000"/>
        </w:rPr>
      </w:r>
      <w:r>
        <w:rPr>
          <w:b/>
          <w:color w:val="000000"/>
        </w:rPr>
        <w:t xml:space="preserve">D5  </w:t>
      </w:r>
      <w:hyperlink r:id="rId58">
        <w:r>
          <w:rPr>
            <w:color w:val="000000"/>
            <w:u w:val="single"/>
          </w:rPr>
          <w:t>Microsoft: Enable and configure Sales Insights</w:t>
        </w:r>
      </w:hyperlink>
    </w:p>
    <w:p>
      <w:pPr>
        <w:keepLines/>
        <w:spacing w:after="80"/>
      </w:pPr>
      <w:r>
        <w:rPr>
          <w:color w:val="000000"/>
        </w:rPr>
      </w:r>
      <w:r>
        <w:rPr>
          <w:b/>
          <w:color w:val="000000"/>
        </w:rPr>
        <w:t xml:space="preserve">T1  </w:t>
      </w:r>
      <w:hyperlink r:id="rId59">
        <w:r>
          <w:rPr>
            <w:color w:val="000000"/>
            <w:u w:val="single"/>
          </w:rPr>
          <w:t>FastAPI features</w:t>
        </w:r>
      </w:hyperlink>
    </w:p>
    <w:p>
      <w:pPr>
        <w:keepLines/>
        <w:spacing w:after="80"/>
      </w:pPr>
      <w:r>
        <w:rPr>
          <w:color w:val="000000"/>
        </w:rPr>
      </w:r>
      <w:r>
        <w:rPr>
          <w:b/>
          <w:color w:val="000000"/>
        </w:rPr>
        <w:t xml:space="preserve">T2  </w:t>
      </w:r>
      <w:hyperlink r:id="rId60">
        <w:r>
          <w:rPr>
            <w:color w:val="000000"/>
            <w:u w:val="single"/>
          </w:rPr>
          <w:t>Django at a glance</w:t>
        </w:r>
      </w:hyperlink>
    </w:p>
    <w:p>
      <w:pPr>
        <w:keepLines/>
        <w:spacing w:after="80"/>
      </w:pPr>
      <w:r>
        <w:rPr>
          <w:color w:val="000000"/>
        </w:rPr>
      </w:r>
      <w:r>
        <w:rPr>
          <w:b/>
          <w:color w:val="000000"/>
        </w:rPr>
        <w:t xml:space="preserve">T3  </w:t>
      </w:r>
      <w:hyperlink r:id="rId61">
        <w:r>
          <w:rPr>
            <w:color w:val="000000"/>
            <w:u w:val="single"/>
          </w:rPr>
          <w:t>NestJS first steps</w:t>
        </w:r>
      </w:hyperlink>
    </w:p>
    <w:p>
      <w:pPr>
        <w:keepLines/>
        <w:spacing w:after="80"/>
      </w:pPr>
      <w:r>
        <w:rPr>
          <w:color w:val="000000"/>
        </w:rPr>
      </w:r>
      <w:r>
        <w:rPr>
          <w:b/>
          <w:color w:val="000000"/>
        </w:rPr>
        <w:t xml:space="preserve">T4  </w:t>
      </w:r>
      <w:hyperlink r:id="rId62">
        <w:r>
          <w:rPr>
            <w:color w:val="000000"/>
            <w:u w:val="single"/>
          </w:rPr>
          <w:t>PostgreSQL constraints</w:t>
        </w:r>
      </w:hyperlink>
    </w:p>
    <w:p>
      <w:pPr>
        <w:keepLines/>
        <w:spacing w:after="80"/>
      </w:pPr>
      <w:r>
        <w:rPr>
          <w:color w:val="000000"/>
        </w:rPr>
      </w:r>
      <w:r>
        <w:rPr>
          <w:b/>
          <w:color w:val="000000"/>
        </w:rPr>
        <w:t xml:space="preserve">T5  </w:t>
      </w:r>
      <w:hyperlink r:id="rId63">
        <w:r>
          <w:rPr>
            <w:color w:val="000000"/>
            <w:u w:val="single"/>
          </w:rPr>
          <w:t>PostgreSQL JSON types</w:t>
        </w:r>
      </w:hyperlink>
    </w:p>
    <w:p>
      <w:pPr>
        <w:keepLines/>
        <w:spacing w:after="80"/>
      </w:pPr>
      <w:r>
        <w:rPr>
          <w:color w:val="000000"/>
        </w:rPr>
      </w:r>
      <w:r>
        <w:rPr>
          <w:b/>
          <w:color w:val="000000"/>
        </w:rPr>
        <w:t xml:space="preserve">T6  </w:t>
      </w:r>
      <w:hyperlink r:id="rId64">
        <w:r>
          <w:rPr>
            <w:color w:val="000000"/>
            <w:u w:val="single"/>
          </w:rPr>
          <w:t>Appropriate uses for SQLite</w:t>
        </w:r>
      </w:hyperlink>
    </w:p>
    <w:p>
      <w:pPr>
        <w:keepLines/>
        <w:spacing w:after="80"/>
      </w:pPr>
      <w:r>
        <w:rPr>
          <w:color w:val="000000"/>
        </w:rPr>
      </w:r>
      <w:r>
        <w:rPr>
          <w:b/>
          <w:color w:val="000000"/>
        </w:rPr>
        <w:t xml:space="preserve">T7  </w:t>
      </w:r>
      <w:hyperlink r:id="rId65">
        <w:r>
          <w:rPr>
            <w:color w:val="000000"/>
            <w:u w:val="single"/>
          </w:rPr>
          <w:t>MongoDB data modeling</w:t>
        </w:r>
      </w:hyperlink>
    </w:p>
    <w:p>
      <w:pPr>
        <w:keepLines/>
        <w:spacing w:after="80"/>
      </w:pPr>
      <w:r>
        <w:rPr>
          <w:color w:val="000000"/>
        </w:rPr>
      </w:r>
      <w:r>
        <w:rPr>
          <w:b/>
          <w:color w:val="000000"/>
        </w:rPr>
        <w:t xml:space="preserve">T8  </w:t>
      </w:r>
      <w:hyperlink r:id="rId66">
        <w:r>
          <w:rPr>
            <w:color w:val="000000"/>
            <w:u w:val="single"/>
          </w:rPr>
          <w:t>Whisper official repository</w:t>
        </w:r>
      </w:hyperlink>
    </w:p>
    <w:p>
      <w:pPr>
        <w:keepLines/>
        <w:spacing w:after="80"/>
      </w:pPr>
      <w:r>
        <w:rPr>
          <w:color w:val="000000"/>
        </w:rPr>
      </w:r>
      <w:r>
        <w:rPr>
          <w:b/>
          <w:color w:val="000000"/>
        </w:rPr>
        <w:t xml:space="preserve">T9  </w:t>
      </w:r>
      <w:hyperlink r:id="rId67">
        <w:r>
          <w:rPr>
            <w:color w:val="000000"/>
            <w:u w:val="single"/>
          </w:rPr>
          <w:t>Azure Speech-to-text overview</w:t>
        </w:r>
      </w:hyperlink>
    </w:p>
    <w:p>
      <w:pPr>
        <w:keepLines/>
        <w:spacing w:after="80"/>
      </w:pPr>
      <w:r>
        <w:rPr>
          <w:color w:val="000000"/>
        </w:rPr>
      </w:r>
      <w:r>
        <w:rPr>
          <w:b/>
          <w:color w:val="000000"/>
        </w:rPr>
        <w:t xml:space="preserve">T10  </w:t>
      </w:r>
      <w:hyperlink r:id="rId68">
        <w:r>
          <w:rPr>
            <w:color w:val="000000"/>
            <w:u w:val="single"/>
          </w:rPr>
          <w:t>Google Cloud batch recognition</w:t>
        </w:r>
      </w:hyperlink>
    </w:p>
    <w:p>
      <w:pPr>
        <w:keepLines/>
        <w:spacing w:after="80"/>
      </w:pPr>
      <w:r>
        <w:rPr>
          <w:color w:val="000000"/>
        </w:rPr>
      </w:r>
      <w:r>
        <w:rPr>
          <w:b/>
          <w:color w:val="000000"/>
        </w:rPr>
        <w:t xml:space="preserve">T11  </w:t>
      </w:r>
      <w:hyperlink r:id="rId69">
        <w:r>
          <w:rPr>
            <w:color w:val="000000"/>
            <w:u w:val="single"/>
          </w:rPr>
          <w:t>Google Cloud supported languages</w:t>
        </w:r>
      </w:hyperlink>
    </w:p>
    <w:p>
      <w:pPr>
        <w:keepLines/>
        <w:spacing w:after="80"/>
      </w:pPr>
      <w:r>
        <w:rPr>
          <w:color w:val="000000"/>
        </w:rPr>
      </w:r>
      <w:r>
        <w:rPr>
          <w:b/>
          <w:color w:val="000000"/>
        </w:rPr>
        <w:t xml:space="preserve">T12  </w:t>
      </w:r>
      <w:hyperlink r:id="rId70">
        <w:r>
          <w:rPr>
            <w:color w:val="000000"/>
            <w:u w:val="single"/>
          </w:rPr>
          <w:t>FastAPI Background Tasks</w:t>
        </w:r>
      </w:hyperlink>
    </w:p>
    <w:p>
      <w:pPr>
        <w:keepLines/>
        <w:spacing w:after="80"/>
      </w:pPr>
      <w:r>
        <w:rPr>
          <w:color w:val="000000"/>
        </w:rPr>
      </w:r>
      <w:r>
        <w:rPr>
          <w:b/>
          <w:color w:val="000000"/>
        </w:rPr>
        <w:t xml:space="preserve">T13  </w:t>
      </w:r>
      <w:hyperlink r:id="rId71">
        <w:r>
          <w:rPr>
            <w:color w:val="000000"/>
            <w:u w:val="single"/>
          </w:rPr>
          <w:t>Celery introduction</w:t>
        </w:r>
      </w:hyperlink>
    </w:p>
    <w:p>
      <w:r>
        <w:rPr>
          <w:color w:val="000000"/>
        </w:rPr>
        <w:t>For current task links and remaining work, use planning/git_preparation.md and planning/checkpoint_checklist.md. The prepared package is in draft PR 2; YouTrack has real assigned issues. Technical source, data and prototype checks do not substitute for student PR review, supervisor feedback or representative-user evidence. Keep recordings and customer data outside source control.</w:t>
      </w:r>
    </w:p>
    <w:sectPr w:rsidR="00FC693F" w:rsidRPr="0006063C" w:rsidSect="00034616">
      <w:headerReference w:type="default" r:id="rId9"/>
      <w:footerReference w:type="default" r:id="rId10"/>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supporting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ceedings.mlr.press/v202/radford23a.html" TargetMode="External"/><Relationship Id="rId12" Type="http://schemas.openxmlformats.org/officeDocument/2006/relationships/hyperlink" Target="https://proceedings.mlr.press/v202/radford23a/radford23a.pdf" TargetMode="External"/><Relationship Id="rId13" Type="http://schemas.openxmlformats.org/officeDocument/2006/relationships/hyperlink" Target="https://www.isca-archive.org/interspeech_2023/bain23_interspeech.html" TargetMode="External"/><Relationship Id="rId14" Type="http://schemas.openxmlformats.org/officeDocument/2006/relationships/hyperlink" Target="https://www.isca-archive.org/interspeech_2023/bain23_interspeech.pdf" TargetMode="External"/><Relationship Id="rId15" Type="http://schemas.openxmlformats.org/officeDocument/2006/relationships/hyperlink" Target="https://www.isca-archive.org/interspeech_2023/bredin23_interspeech.html" TargetMode="External"/><Relationship Id="rId16" Type="http://schemas.openxmlformats.org/officeDocument/2006/relationships/hyperlink" Target="https://www.isca-archive.org/interspeech_2023/bredin23_interspeech.pdf" TargetMode="External"/><Relationship Id="rId17" Type="http://schemas.openxmlformats.org/officeDocument/2006/relationships/hyperlink" Target="https://www.isca-archive.org/interspeech_2022/mussakhojayeva22_interspeech.html" TargetMode="External"/><Relationship Id="rId18" Type="http://schemas.openxmlformats.org/officeDocument/2006/relationships/hyperlink" Target="https://www.isca-archive.org/interspeech_2022/mussakhojayeva22_interspeech.pdf" TargetMode="External"/><Relationship Id="rId19" Type="http://schemas.openxmlformats.org/officeDocument/2006/relationships/hyperlink" Target="https://aclanthology.org/2022.naacl-industry.6/" TargetMode="External"/><Relationship Id="rId20" Type="http://schemas.openxmlformats.org/officeDocument/2006/relationships/hyperlink" Target="https://aclanthology.org/2022.naacl-industry.6.pdf" TargetMode="External"/><Relationship Id="rId21" Type="http://schemas.openxmlformats.org/officeDocument/2006/relationships/hyperlink" Target="https://aclanthology.org/2021.naacl-main.472/" TargetMode="External"/><Relationship Id="rId22" Type="http://schemas.openxmlformats.org/officeDocument/2006/relationships/hyperlink" Target="https://aclanthology.org/2021.naacl-main.472.pdf" TargetMode="External"/><Relationship Id="rId23" Type="http://schemas.openxmlformats.org/officeDocument/2006/relationships/hyperlink" Target="https://aclanthology.org/2022.naacl-main.415/" TargetMode="External"/><Relationship Id="rId24" Type="http://schemas.openxmlformats.org/officeDocument/2006/relationships/hyperlink" Target="https://aclanthology.org/2022.naacl-main.415.pdf" TargetMode="External"/><Relationship Id="rId25" Type="http://schemas.openxmlformats.org/officeDocument/2006/relationships/hyperlink" Target="https://doi.org/10.1145/3630106.3658996" TargetMode="External"/><Relationship Id="rId26" Type="http://schemas.openxmlformats.org/officeDocument/2006/relationships/hyperlink" Target="https://arxiv.org/pdf/2402.08021" TargetMode="External"/><Relationship Id="rId27" Type="http://schemas.openxmlformats.org/officeDocument/2006/relationships/hyperlink" Target="https://doi.org/10.1016/j.array.2026.100755" TargetMode="External"/><Relationship Id="rId28" Type="http://schemas.openxmlformats.org/officeDocument/2006/relationships/hyperlink" Target="https://www.utupub.fi/server/api/core/bitstreams/fbdc5c09-9228-4426-806b-9bd6e0b1197d/content" TargetMode="External"/><Relationship Id="rId29" Type="http://schemas.openxmlformats.org/officeDocument/2006/relationships/hyperlink" Target="https://aclanthology.org/2024.lrec-main.107/" TargetMode="External"/><Relationship Id="rId30" Type="http://schemas.openxmlformats.org/officeDocument/2006/relationships/hyperlink" Target="https://aclanthology.org/2024.lrec-main.107.pdf" TargetMode="External"/><Relationship Id="rId31" Type="http://schemas.openxmlformats.org/officeDocument/2006/relationships/hyperlink" Target="https://aclanthology.org/2022.emnlp-industry.49/" TargetMode="External"/><Relationship Id="rId32" Type="http://schemas.openxmlformats.org/officeDocument/2006/relationships/hyperlink" Target="https://aclanthology.org/2022.emnlp-industry.49.pdf" TargetMode="External"/><Relationship Id="rId33" Type="http://schemas.openxmlformats.org/officeDocument/2006/relationships/hyperlink" Target="https://doi.org/10.1016/j.ijresmar.2025.07.001" TargetMode="External"/><Relationship Id="rId34" Type="http://schemas.openxmlformats.org/officeDocument/2006/relationships/hyperlink" Target="https://doi.org/10.1016/j.jretconser.2024.103774" TargetMode="External"/><Relationship Id="rId35" Type="http://schemas.openxmlformats.org/officeDocument/2006/relationships/hyperlink" Target="https://doi.org/10.1177/0261927X231185520" TargetMode="External"/><Relationship Id="rId36" Type="http://schemas.openxmlformats.org/officeDocument/2006/relationships/hyperlink" Target="https://journals.sagepub.com/doi/10.1177/0261927X231185520" TargetMode="External"/><Relationship Id="rId37" Type="http://schemas.openxmlformats.org/officeDocument/2006/relationships/hyperlink" Target="https://doi.org/10.1145/3474085.3478555" TargetMode="External"/><Relationship Id="rId38" Type="http://schemas.openxmlformats.org/officeDocument/2006/relationships/hyperlink" Target="https://home.cse.ust.hk/~raywong/paper/mm21-smartSales.pdf" TargetMode="External"/><Relationship Id="rId39" Type="http://schemas.openxmlformats.org/officeDocument/2006/relationships/image" Target="media/image1.png"/><Relationship Id="rId40" Type="http://schemas.openxmlformats.org/officeDocument/2006/relationships/hyperlink" Target="https://www.gong.io/conversation-intelligence" TargetMode="External"/><Relationship Id="rId41" Type="http://schemas.openxmlformats.org/officeDocument/2006/relationships/hyperlink" Target="https://help.gong.io/docs/explore-call-content" TargetMode="External"/><Relationship Id="rId42" Type="http://schemas.openxmlformats.org/officeDocument/2006/relationships/hyperlink" Target="https://help.gong.io/docs/crm-integrations" TargetMode="External"/><Relationship Id="rId43" Type="http://schemas.openxmlformats.org/officeDocument/2006/relationships/hyperlink" Target="https://help.gong.io/docs/en/analyze-team-performance" TargetMode="External"/><Relationship Id="rId44" Type="http://schemas.openxmlformats.org/officeDocument/2006/relationships/hyperlink" Target="https://help.gong.io/docs/what-languages-are-supported-in-gong" TargetMode="External"/><Relationship Id="rId45" Type="http://schemas.openxmlformats.org/officeDocument/2006/relationships/hyperlink" Target="https://help.gong.io/docs/plans-and-seats" TargetMode="External"/><Relationship Id="rId46" Type="http://schemas.openxmlformats.org/officeDocument/2006/relationships/hyperlink" Target="https://www.salesloft.com/company/newsroom/salesloft-conversation-intelligence" TargetMode="External"/><Relationship Id="rId47" Type="http://schemas.openxmlformats.org/officeDocument/2006/relationships/hyperlink" Target="https://help.salesloft.com/s/article/Conversation-Intelligence-Call-Review-Page-UI-Reference?language=en_US" TargetMode="External"/><Relationship Id="rId48" Type="http://schemas.openxmlformats.org/officeDocument/2006/relationships/hyperlink" Target="https://help.salesloft.com/s/article/Integrate-Salesforce-with-Conversation-Intelligence?language=en_US" TargetMode="External"/><Relationship Id="rId49" Type="http://schemas.openxmlformats.org/officeDocument/2006/relationships/hyperlink" Target="https://help.salesloft.com/s/article/Set-Up-Topics-and-Filters-in-Conversation-Intelligence?language=en_US" TargetMode="External"/><Relationship Id="rId50" Type="http://schemas.openxmlformats.org/officeDocument/2006/relationships/hyperlink" Target="https://help.salesloft.com/s/article/Conversations-Transcripts?language=en_US" TargetMode="External"/><Relationship Id="rId51" Type="http://schemas.openxmlformats.org/officeDocument/2006/relationships/hyperlink" Target="https://www.salesloft.com/lp/conversational-intelligence" TargetMode="External"/><Relationship Id="rId52" Type="http://schemas.openxmlformats.org/officeDocument/2006/relationships/hyperlink" Target="https://knowledge.hubspot.com/calling/review-call-recordings-and-transcripts" TargetMode="External"/><Relationship Id="rId53" Type="http://schemas.openxmlformats.org/officeDocument/2006/relationships/hyperlink" Target="https://knowledge.hubspot.com/help-and-resources/hubspot-language-offerings" TargetMode="External"/><Relationship Id="rId54" Type="http://schemas.openxmlformats.org/officeDocument/2006/relationships/hyperlink" Target="https://learn.microsoft.com/en-us/dynamics365/sales/faq-conversation-intelligence" TargetMode="External"/><Relationship Id="rId55" Type="http://schemas.openxmlformats.org/officeDocument/2006/relationships/hyperlink" Target="https://learn.microsoft.com/en-us/dynamics365/sales/view-and-understand-call-summary-sales-app" TargetMode="External"/><Relationship Id="rId56" Type="http://schemas.openxmlformats.org/officeDocument/2006/relationships/hyperlink" Target="https://learn.microsoft.com/en-us/dynamics365/sales/language-support-conversation-intelligence" TargetMode="External"/><Relationship Id="rId57" Type="http://schemas.openxmlformats.org/officeDocument/2006/relationships/hyperlink" Target="https://learn.microsoft.com/en-us/dynamics365/sales/dynamics365-sales-insights-app-home-page" TargetMode="External"/><Relationship Id="rId58" Type="http://schemas.openxmlformats.org/officeDocument/2006/relationships/hyperlink" Target="https://learn.microsoft.com/en-us/dynamics365/sales/intro-admin-guide-sales-insights" TargetMode="External"/><Relationship Id="rId59" Type="http://schemas.openxmlformats.org/officeDocument/2006/relationships/hyperlink" Target="https://fastapi.tiangolo.com/features/" TargetMode="External"/><Relationship Id="rId60" Type="http://schemas.openxmlformats.org/officeDocument/2006/relationships/hyperlink" Target="https://docs.djangoproject.com/en/6.1/intro/overview/" TargetMode="External"/><Relationship Id="rId61" Type="http://schemas.openxmlformats.org/officeDocument/2006/relationships/hyperlink" Target="https://docs.nestjs.com/first-steps" TargetMode="External"/><Relationship Id="rId6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json.html" TargetMode="External"/><Relationship Id="rId64" Type="http://schemas.openxmlformats.org/officeDocument/2006/relationships/hyperlink" Target="https://www.sqlite.org/whentouse.html" TargetMode="External"/><Relationship Id="rId65" Type="http://schemas.openxmlformats.org/officeDocument/2006/relationships/hyperlink" Target="https://www.mongodb.com/docs/manual/data-modeling/" TargetMode="External"/><Relationship Id="rId66" Type="http://schemas.openxmlformats.org/officeDocument/2006/relationships/hyperlink" Target="https://github.com/openai/whisper" TargetMode="External"/><Relationship Id="rId67" Type="http://schemas.openxmlformats.org/officeDocument/2006/relationships/hyperlink" Target="https://learn.microsoft.com/en-us/azure/ai-services/speech-service/speech-to-text" TargetMode="External"/><Relationship Id="rId68" Type="http://schemas.openxmlformats.org/officeDocument/2006/relationships/hyperlink" Target="https://cloud.google.com/speech-to-text/docs/batch-recognize" TargetMode="External"/><Relationship Id="rId69" Type="http://schemas.openxmlformats.org/officeDocument/2006/relationships/hyperlink" Target="https://docs.cloud.google.com/speech-to-text/docs/speech-to-text-supported-languages" TargetMode="External"/><Relationship Id="rId70" Type="http://schemas.openxmlformats.org/officeDocument/2006/relationships/hyperlink" Target="https://fastapi.tiangolo.com/tutorial/background-tasks/" TargetMode="External"/><Relationship Id="rId71" Type="http://schemas.openxmlformats.org/officeDocument/2006/relationships/hyperlink" Target="https://docs.celeryq.dev/en/stable/getting-started/introdu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supporting appendices</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