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Sales Analytics Supporting Appendices</w:t>
      </w:r>
    </w:p>
    <w:p>
      <w:r>
        <w:rPr>
          <w:color w:val="000000"/>
        </w:rPr>
        <w:t>Development of a Sales Analytics System Based on Data and Speech-to-Text Technology</w:t>
      </w:r>
    </w:p>
    <w:p>
      <w:r>
        <w:rPr>
          <w:color w:val="000000"/>
        </w:rPr>
        <w:t>Companion to the main checkpoint report  |  Revised 23 October 2026</w:t>
      </w:r>
    </w:p>
    <w:p>
      <w:r>
        <w:rPr>
          <w:color w:val="000000"/>
        </w:rPr>
        <w:t>These appendices retain the detailed evidence and specifications behind the main report, including Bekzat’s backend design amendment. L01–L15 are analysis IDs; citations and the alphabetized References use APA 7. Interview and supervisor forms remain blank because those activities are pending.</w:t>
      </w:r>
    </w:p>
    <w:p>
      <w:pPr>
        <w:pStyle w:val="Heading1"/>
      </w:pPr>
      <w:r>
        <w:rPr>
          <w:color w:val="000000"/>
        </w:rPr>
        <w:t>A Full source analysis</w:t>
      </w:r>
    </w:p>
    <w:p>
      <w:r>
        <w:rPr>
          <w:color w:val="000000"/>
        </w:rPr>
        <w:t>Fifteen scientific publications are included. Good et al. (2026) and Vieira et al. (2024) remain abstract/preview reviews. Other records retain their stated full-text scope. Sources were first checked on 21–22 October and rechecked on 23 October 2026 using accessible primary records and text; no experiments were replicated. Direct publisher-access failures and fallback manuscripts are documented in research/source_verification.json.</w:t>
      </w:r>
    </w:p>
    <w:p>
      <w:pPr>
        <w:keepNext/>
        <w:keepLines/>
        <w:spacing w:after="140"/>
      </w:pPr>
      <w:r>
        <w:rPr>
          <w:b/>
          <w:color w:val="000000"/>
        </w:rPr>
        <w:t>L01  Radford et al. (2023). Robust speech recognition via large-scale weak supervision.</w:t>
      </w:r>
    </w:p>
    <w:p>
      <w:pPr>
        <w:keepNext/>
      </w:pPr>
      <w:r>
        <w:rPr>
          <w:color w:val="000000"/>
        </w:rPr>
        <w:t xml:space="preserve">Source access  </w:t>
      </w:r>
      <w:hyperlink r:id="rId11">
        <w:r>
          <w:rPr>
            <w:color w:val="000000"/>
          </w:rPr>
          <w:t>Primary publication</w:t>
        </w:r>
      </w:hyperlink>
      <w:r>
        <w:rPr>
          <w:color w:val="000000"/>
        </w:rPr>
        <w:t xml:space="preserve"> | </w:t>
      </w:r>
      <w:hyperlink r:id="rId12">
        <w:r>
          <w:rPr>
            <w:color w:val="000000"/>
          </w:rPr>
          <w:t>Accessible full text</w:t>
        </w:r>
      </w:hyperlink>
    </w:p>
    <w:p>
      <w:pPr>
        <w:keepNext/>
      </w:pPr>
      <w:r>
        <w:rPr>
          <w:color w:val="000000"/>
        </w:rPr>
      </w:r>
      <w:r>
        <w:rPr>
          <w:b/>
          <w:color w:val="000000"/>
        </w:rPr>
        <w:t>Approach</w:t>
      </w:r>
      <w:r>
        <w:rPr>
          <w:color w:val="000000"/>
        </w:rPr>
        <w:t xml:space="preserve">  Encoder–decoder Transformer trained with large-scale multilingual weak supervision; zero-shot benchmark evaluation. </w:t>
      </w:r>
      <w:r>
        <w:rPr>
          <w:b/>
          <w:color w:val="000000"/>
        </w:rPr>
        <w:t>Finding</w:t>
      </w:r>
      <w:r>
        <w:rPr>
          <w:color w:val="000000"/>
        </w:rPr>
        <w:t xml:space="preserve">  680,000 training hours support broad zero-shot transfer; multilingual accuracy varies with language resources.</w:t>
      </w:r>
    </w:p>
    <w:p>
      <w:pPr>
        <w:keepNext/>
      </w:pPr>
      <w:r>
        <w:rPr>
          <w:color w:val="000000"/>
        </w:rPr>
      </w:r>
      <w:r>
        <w:rPr>
          <w:b/>
          <w:color w:val="000000"/>
        </w:rPr>
        <w:t>Limit and design use</w:t>
      </w:r>
      <w:r>
        <w:rPr>
          <w:color w:val="000000"/>
        </w:rPr>
        <w:t xml:space="preserve">  Web-data and language imbalance; benchmarks do not validate Kazakhstan sales calls or business-entity accuracy. Reproducible ASR baseline; measure Kazakh, Russian, and mixed-language performance separately.</w:t>
      </w:r>
    </w:p>
    <w:p>
      <w:pPr>
        <w:keepLines/>
      </w:pPr>
      <w:r>
        <w:rPr>
          <w:color w:val="000000"/>
        </w:rPr>
      </w:r>
      <w:r>
        <w:rPr>
          <w:b/>
          <w:color w:val="000000"/>
        </w:rPr>
        <w:t>Evidence checked</w:t>
      </w:r>
      <w:r>
        <w:rPr>
          <w:color w:val="000000"/>
        </w:rPr>
        <w:t xml:space="preserve">  Publisher full text; relevant methods, multilingual evaluation, and training statistics inspected. No replication. </w:t>
      </w:r>
      <w:r>
        <w:rPr>
          <w:b/>
          <w:color w:val="000000"/>
        </w:rPr>
        <w:t>Location</w:t>
      </w:r>
      <w:r>
        <w:rPr>
          <w:color w:val="000000"/>
        </w:rPr>
        <w:t xml:space="preserve">  §§2.1–2.3; §3.4 and Figure 3; Appendix G/Figure 10; bibliography year follows ICML 2023, not preprint 2022.</w:t>
      </w:r>
    </w:p>
    <w:p>
      <w:pPr>
        <w:keepNext/>
        <w:keepLines/>
        <w:spacing w:after="140"/>
      </w:pPr>
      <w:r>
        <w:rPr>
          <w:b/>
          <w:color w:val="000000"/>
        </w:rPr>
        <w:t>L02  Bain et al. (2023). WhisperX: Time-accurate speech transcription of long-form audio.</w:t>
      </w:r>
    </w:p>
    <w:p>
      <w:pPr>
        <w:keepNext/>
      </w:pPr>
      <w:r>
        <w:rPr>
          <w:color w:val="000000"/>
        </w:rPr>
        <w:t xml:space="preserve">Source access  </w:t>
      </w:r>
      <w:hyperlink r:id="rId13">
        <w:r>
          <w:rPr>
            <w:color w:val="000000"/>
          </w:rPr>
          <w:t>Primary publication</w:t>
        </w:r>
      </w:hyperlink>
      <w:r>
        <w:rPr>
          <w:color w:val="000000"/>
        </w:rPr>
        <w:t xml:space="preserve"> | </w:t>
      </w:r>
      <w:hyperlink r:id="rId14">
        <w:r>
          <w:rPr>
            <w:color w:val="000000"/>
          </w:rPr>
          <w:t>Accessible full text</w:t>
        </w:r>
      </w:hyperlink>
    </w:p>
    <w:p>
      <w:pPr>
        <w:keepNext/>
      </w:pPr>
      <w:r>
        <w:rPr>
          <w:color w:val="000000"/>
        </w:rPr>
      </w:r>
      <w:r>
        <w:rPr>
          <w:b/>
          <w:color w:val="000000"/>
        </w:rPr>
        <w:t>Approach</w:t>
      </w:r>
      <w:r>
        <w:rPr>
          <w:color w:val="000000"/>
        </w:rPr>
        <w:t xml:space="preserve">  Voice activity detection, cut-and-merge segmentation, batched Whisper, and forced phoneme alignment. </w:t>
      </w:r>
      <w:r>
        <w:rPr>
          <w:b/>
          <w:color w:val="000000"/>
        </w:rPr>
        <w:t>Finding</w:t>
      </w:r>
      <w:r>
        <w:rPr>
          <w:color w:val="000000"/>
        </w:rPr>
        <w:t xml:space="preserve">  Improves benchmark word timing and long-form transcription; batching accelerates the tested configuration.</w:t>
      </w:r>
    </w:p>
    <w:p>
      <w:pPr>
        <w:keepNext/>
      </w:pPr>
      <w:r>
        <w:rPr>
          <w:color w:val="000000"/>
        </w:rPr>
      </w:r>
      <w:r>
        <w:rPr>
          <w:b/>
          <w:color w:val="000000"/>
        </w:rPr>
        <w:t>Limit and design use</w:t>
      </w:r>
      <w:r>
        <w:rPr>
          <w:color w:val="000000"/>
        </w:rPr>
        <w:t xml:space="preserve">  Alignment needs suitable language models; non-English word segmentation lacked quantitative evaluation. Timestamp evidence spans for sales facts; validate multilingual timing and local throughput.</w:t>
      </w:r>
    </w:p>
    <w:p>
      <w:pPr>
        <w:keepLines/>
      </w:pPr>
      <w:r>
        <w:rPr>
          <w:color w:val="000000"/>
        </w:rPr>
      </w:r>
      <w:r>
        <w:rPr>
          <w:b/>
          <w:color w:val="000000"/>
        </w:rPr>
        <w:t>Evidence checked</w:t>
      </w:r>
      <w:r>
        <w:rPr>
          <w:color w:val="000000"/>
        </w:rPr>
        <w:t xml:space="preserve">  Publisher full text; pipeline, benchmarks, ablations, and multilingual caveat inspected. No replication. </w:t>
      </w:r>
      <w:r>
        <w:rPr>
          <w:b/>
          <w:color w:val="000000"/>
        </w:rPr>
        <w:t>Location</w:t>
      </w:r>
      <w:r>
        <w:rPr>
          <w:color w:val="000000"/>
        </w:rPr>
        <w:t xml:space="preserve">  Figure 1; §2.5 and footnote 2; §3.4; Tables 2–3. Reported speedups are experimental, not deployment guarantees.</w:t>
      </w:r>
    </w:p>
    <w:p>
      <w:pPr>
        <w:keepNext/>
        <w:keepLines/>
        <w:spacing w:after="140"/>
      </w:pPr>
      <w:r>
        <w:rPr>
          <w:b/>
          <w:color w:val="000000"/>
        </w:rPr>
        <w:t>L03  Bredin (2023). pyannote.audio 2.1 speaker diarization pipeline: Principle, benchmark, and recipe.</w:t>
      </w:r>
    </w:p>
    <w:p>
      <w:pPr>
        <w:keepNext/>
      </w:pPr>
      <w:r>
        <w:rPr>
          <w:color w:val="000000"/>
        </w:rPr>
        <w:t xml:space="preserve">Source access  </w:t>
      </w:r>
      <w:hyperlink r:id="rId15">
        <w:r>
          <w:rPr>
            <w:color w:val="000000"/>
          </w:rPr>
          <w:t>Primary publication</w:t>
        </w:r>
      </w:hyperlink>
      <w:r>
        <w:rPr>
          <w:color w:val="000000"/>
        </w:rPr>
        <w:t xml:space="preserve"> | </w:t>
      </w:r>
      <w:hyperlink r:id="rId16">
        <w:r>
          <w:rPr>
            <w:color w:val="000000"/>
          </w:rPr>
          <w:t>Accessible full text</w:t>
        </w:r>
      </w:hyperlink>
    </w:p>
    <w:p>
      <w:pPr>
        <w:keepNext/>
      </w:pPr>
      <w:r>
        <w:rPr>
          <w:color w:val="000000"/>
        </w:rPr>
      </w:r>
      <w:r>
        <w:rPr>
          <w:b/>
          <w:color w:val="000000"/>
        </w:rPr>
        <w:t>Approach</w:t>
      </w:r>
      <w:r>
        <w:rPr>
          <w:color w:val="000000"/>
        </w:rPr>
        <w:t xml:space="preserve">  Local speaker segmentation, embeddings, and global clustering; domain adaptation experiments. </w:t>
      </w:r>
      <w:r>
        <w:rPr>
          <w:b/>
          <w:color w:val="000000"/>
        </w:rPr>
        <w:t>Finding</w:t>
      </w:r>
      <w:r>
        <w:rPr>
          <w:color w:val="000000"/>
        </w:rPr>
        <w:t xml:space="preserve">  Diarization quality varies across domains; segmentation fine-tuning often improves out-of-domain results.</w:t>
      </w:r>
    </w:p>
    <w:p>
      <w:pPr>
        <w:keepNext/>
      </w:pPr>
      <w:r>
        <w:rPr>
          <w:color w:val="000000"/>
        </w:rPr>
      </w:r>
      <w:r>
        <w:rPr>
          <w:b/>
          <w:color w:val="000000"/>
        </w:rPr>
        <w:t>Limit and design use</w:t>
      </w:r>
      <w:r>
        <w:rPr>
          <w:color w:val="000000"/>
        </w:rPr>
        <w:t xml:space="preserve">  Telephone and difficult acoustic domains retain substantial errors; benchmark scoring conventions affect comparisons. Separate salesperson/customer turns; require DER evaluation and role-label confirmation.</w:t>
      </w:r>
    </w:p>
    <w:p>
      <w:pPr>
        <w:keepLines/>
      </w:pPr>
      <w:r>
        <w:rPr>
          <w:color w:val="000000"/>
        </w:rPr>
      </w:r>
      <w:r>
        <w:rPr>
          <w:b/>
          <w:color w:val="000000"/>
        </w:rPr>
        <w:t>Evidence checked</w:t>
      </w:r>
      <w:r>
        <w:rPr>
          <w:color w:val="000000"/>
        </w:rPr>
        <w:t xml:space="preserve">  Publisher full text; pipeline, 11-benchmark table, and adaptation recipe inspected. No replication. </w:t>
      </w:r>
      <w:r>
        <w:rPr>
          <w:b/>
          <w:color w:val="000000"/>
        </w:rPr>
        <w:t>Location</w:t>
      </w:r>
      <w:r>
        <w:rPr>
          <w:color w:val="000000"/>
        </w:rPr>
        <w:t xml:space="preserve">  §§2–4; Table 1; no-collar, overlap-inclusive scoring in §3; CALLHOME results in Table 1.</w:t>
      </w:r>
    </w:p>
    <w:p>
      <w:pPr>
        <w:keepNext/>
        <w:keepLines/>
        <w:spacing w:after="140"/>
      </w:pPr>
      <w:r>
        <w:rPr>
          <w:b/>
          <w:color w:val="000000"/>
        </w:rPr>
        <w:t>L04  Mussakhojayeva et al. (2022). KSC2: An industrial-scale open-source Kazakh speech corpus.</w:t>
      </w:r>
    </w:p>
    <w:p>
      <w:pPr>
        <w:keepNext/>
      </w:pPr>
      <w:r>
        <w:rPr>
          <w:color w:val="000000"/>
        </w:rPr>
        <w:t xml:space="preserve">Source access  </w:t>
      </w:r>
      <w:hyperlink r:id="rId17">
        <w:r>
          <w:rPr>
            <w:color w:val="000000"/>
          </w:rPr>
          <w:t>Primary publication</w:t>
        </w:r>
      </w:hyperlink>
      <w:r>
        <w:rPr>
          <w:color w:val="000000"/>
        </w:rPr>
        <w:t xml:space="preserve"> | </w:t>
      </w:r>
      <w:hyperlink r:id="rId18">
        <w:r>
          <w:rPr>
            <w:color w:val="000000"/>
          </w:rPr>
          <w:t>Accessible full text</w:t>
        </w:r>
      </w:hyperlink>
    </w:p>
    <w:p>
      <w:pPr>
        <w:keepNext/>
      </w:pPr>
      <w:r>
        <w:rPr>
          <w:color w:val="000000"/>
        </w:rPr>
      </w:r>
      <w:r>
        <w:rPr>
          <w:b/>
          <w:color w:val="000000"/>
        </w:rPr>
        <w:t>Approach</w:t>
      </w:r>
      <w:r>
        <w:rPr>
          <w:color w:val="000000"/>
        </w:rPr>
        <w:t xml:space="preserve">  Multi-source Kazakh corpus with Russian code-switching; Transformer streaming-ASR validation. </w:t>
      </w:r>
      <w:r>
        <w:rPr>
          <w:b/>
          <w:color w:val="000000"/>
        </w:rPr>
        <w:t>Finding</w:t>
      </w:r>
      <w:r>
        <w:rPr>
          <w:color w:val="000000"/>
        </w:rPr>
        <w:t xml:space="preserve">  Overall test WER is 15.6%; reported spontaneous subsets range from 27.0% to 36.8%, exposing domain sensitivity.</w:t>
      </w:r>
    </w:p>
    <w:p>
      <w:pPr>
        <w:keepNext/>
      </w:pPr>
      <w:r>
        <w:rPr>
          <w:color w:val="000000"/>
        </w:rPr>
      </w:r>
      <w:r>
        <w:rPr>
          <w:b/>
          <w:color w:val="000000"/>
        </w:rPr>
        <w:t>Limit and design use</w:t>
      </w:r>
      <w:r>
        <w:rPr>
          <w:color w:val="000000"/>
        </w:rPr>
        <w:t xml:space="preserve">  Not a sales-call corpus; speaker overlap between splits is not fully excluded. Kazakh comparison baseline and code-switching rationale; create separate business-call evaluation.</w:t>
      </w:r>
    </w:p>
    <w:p>
      <w:pPr>
        <w:keepLines/>
      </w:pPr>
      <w:r>
        <w:rPr>
          <w:color w:val="000000"/>
        </w:rPr>
      </w:r>
      <w:r>
        <w:rPr>
          <w:b/>
          <w:color w:val="000000"/>
        </w:rPr>
        <w:t>Evidence checked</w:t>
      </w:r>
      <w:r>
        <w:rPr>
          <w:color w:val="000000"/>
        </w:rPr>
        <w:t xml:space="preserve">  Publisher full text; corpus composition, splitting, ASR setup, and results inspected. No replication. </w:t>
      </w:r>
      <w:r>
        <w:rPr>
          <w:b/>
          <w:color w:val="000000"/>
        </w:rPr>
        <w:t>Location</w:t>
      </w:r>
      <w:r>
        <w:rPr>
          <w:color w:val="000000"/>
        </w:rPr>
        <w:t xml:space="preserve">  §3.2/Table 1; §4.2/Tables 2–3; speaker-overlap caveat in §3.2.</w:t>
      </w:r>
    </w:p>
    <w:p>
      <w:pPr>
        <w:keepNext/>
        <w:keepLines/>
        <w:spacing w:after="140"/>
      </w:pPr>
      <w:r>
        <w:rPr>
          <w:b/>
          <w:color w:val="000000"/>
        </w:rPr>
        <w:t>L05  Asi et al. (2022). An end-to-end dialogue summarization system for sales calls.</w:t>
      </w:r>
    </w:p>
    <w:p>
      <w:pPr>
        <w:keepNext/>
      </w:pPr>
      <w:r>
        <w:rPr>
          <w:color w:val="000000"/>
        </w:rPr>
        <w:t xml:space="preserve">Source access  </w:t>
      </w:r>
      <w:hyperlink r:id="rId19">
        <w:r>
          <w:rPr>
            <w:color w:val="000000"/>
          </w:rPr>
          <w:t>Primary publication</w:t>
        </w:r>
      </w:hyperlink>
      <w:r>
        <w:rPr>
          <w:color w:val="000000"/>
        </w:rPr>
        <w:t xml:space="preserve"> | </w:t>
      </w:r>
      <w:hyperlink r:id="rId20">
        <w:r>
          <w:rPr>
            <w:color w:val="000000"/>
          </w:rPr>
          <w:t>Accessible full text</w:t>
        </w:r>
      </w:hyperlink>
    </w:p>
    <w:p>
      <w:pPr>
        <w:keepNext/>
      </w:pPr>
      <w:r>
        <w:rPr>
          <w:color w:val="000000"/>
        </w:rPr>
        <w:t>Approach  Segment sales-call transcripts; summarize with speaker/turn-aware DialogBART; filter grammatical acceptability; permit human editing. GPT-3 supplies offline pseudo-labels. Finding  Human-plus-pseudo-label training improves tested ROUGE scores. In the DialogSum comparison, pseudo-only training scores higher on ROUGE but lower on automatic FactCC than human-only training.</w:t>
      </w:r>
    </w:p>
    <w:p>
      <w:pPr>
        <w:keepNext/>
      </w:pPr>
      <w:r>
        <w:rPr>
          <w:color w:val="000000"/>
        </w:rPr>
      </w:r>
      <w:r>
        <w:rPr>
          <w:b/>
          <w:color w:val="000000"/>
        </w:rPr>
        <w:t>Limit and design use</w:t>
      </w:r>
      <w:r>
        <w:rPr>
          <w:color w:val="000000"/>
        </w:rPr>
        <w:t xml:space="preserve">  Only 100 proprietary test examples; no demonstrated Russian/Kazakh transfer or causal productivity lift. Grammatical acceptability filtering does not establish faithfulness to audio. Justify editable, speaker-aware call highlights and human review; evaluate factual grounding separately from fluency and lexical overlap.</w:t>
      </w:r>
    </w:p>
    <w:p>
      <w:pPr>
        <w:keepLines/>
      </w:pPr>
      <w:r>
        <w:rPr>
          <w:color w:val="000000"/>
        </w:rPr>
        <w:t>Evidence checked  Publisher landing page and published full text inspected on 22 October 2026, including architecture, experiments, metric disagreement, and conclusions. No replication. Location  §3 architecture/DialogBART/acceptability; §6.1/Table 2 (500 DialogSum, 819 SAMSum, 100 proprietary test samples); §6.3/Figure 6 (DialogSum ROUGE versus automatic FactCC); proceedings pp.45–53.</w:t>
      </w:r>
    </w:p>
    <w:p>
      <w:pPr>
        <w:keepNext/>
        <w:keepLines/>
        <w:spacing w:after="140"/>
      </w:pPr>
      <w:r>
        <w:rPr>
          <w:b/>
          <w:color w:val="000000"/>
        </w:rPr>
        <w:t>L06  Zhong et al. (2021). QMSum: A new benchmark for query-based multi-domain meeting summarization.</w:t>
      </w:r>
    </w:p>
    <w:p>
      <w:pPr>
        <w:keepNext/>
      </w:pPr>
      <w:r>
        <w:rPr>
          <w:color w:val="000000"/>
        </w:rPr>
        <w:t xml:space="preserve">Source access  </w:t>
      </w:r>
      <w:hyperlink r:id="rId21">
        <w:r>
          <w:rPr>
            <w:color w:val="000000"/>
          </w:rPr>
          <w:t>Primary publication</w:t>
        </w:r>
      </w:hyperlink>
      <w:r>
        <w:rPr>
          <w:color w:val="000000"/>
        </w:rPr>
        <w:t xml:space="preserve"> | </w:t>
      </w:r>
      <w:hyperlink r:id="rId22">
        <w:r>
          <w:rPr>
            <w:color w:val="000000"/>
          </w:rPr>
          <w:t>Accessible full text</w:t>
        </w:r>
      </w:hyperlink>
    </w:p>
    <w:p>
      <w:pPr>
        <w:keepNext/>
      </w:pPr>
      <w:r>
        <w:rPr>
          <w:color w:val="000000"/>
        </w:rPr>
      </w:r>
      <w:r>
        <w:rPr>
          <w:b/>
          <w:color w:val="000000"/>
        </w:rPr>
        <w:t>Approach</w:t>
      </w:r>
      <w:r>
        <w:rPr>
          <w:color w:val="000000"/>
        </w:rPr>
        <w:t xml:space="preserve">  1,808 query-summary pairs over 232 meetings; relevant-span retrieval followed by summarization. </w:t>
      </w:r>
      <w:r>
        <w:rPr>
          <w:b/>
          <w:color w:val="000000"/>
        </w:rPr>
        <w:t>Finding</w:t>
      </w:r>
      <w:r>
        <w:rPr>
          <w:color w:val="000000"/>
        </w:rPr>
        <w:t xml:space="preserve">  Locating relevant spans improves selected baselines; long-context retrieval and synthesis remain challenging.</w:t>
      </w:r>
    </w:p>
    <w:p>
      <w:pPr>
        <w:keepNext/>
      </w:pPr>
      <w:r>
        <w:rPr>
          <w:color w:val="000000"/>
        </w:rPr>
      </w:r>
      <w:r>
        <w:rPr>
          <w:b/>
          <w:color w:val="000000"/>
        </w:rPr>
        <w:t>Limit and design use</w:t>
      </w:r>
      <w:r>
        <w:rPr>
          <w:color w:val="000000"/>
        </w:rPr>
        <w:t xml:space="preserve">  Meeting domains differ from sales; benchmark ROUGE does not establish financial-fact correctness. Retrieve evidence for objections, commitments, and next actions before generating summaries.</w:t>
      </w:r>
    </w:p>
    <w:p>
      <w:pPr>
        <w:keepLines/>
      </w:pPr>
      <w:r>
        <w:rPr>
          <w:color w:val="000000"/>
        </w:rPr>
      </w:r>
      <w:r>
        <w:rPr>
          <w:b/>
          <w:color w:val="000000"/>
        </w:rPr>
        <w:t>Evidence checked</w:t>
      </w:r>
      <w:r>
        <w:rPr>
          <w:color w:val="000000"/>
        </w:rPr>
        <w:t xml:space="preserve">  Publisher full text; query annotations, locate-then-summarize method, and evaluation inspected. No replication. </w:t>
      </w:r>
      <w:r>
        <w:rPr>
          <w:b/>
          <w:color w:val="000000"/>
        </w:rPr>
        <w:t>Location</w:t>
      </w:r>
      <w:r>
        <w:rPr>
          <w:color w:val="000000"/>
        </w:rPr>
        <w:t xml:space="preserve">  §3 dataset; §4 locate-then-summarize; §5.3/Table 3; §6 manual analysis.</w:t>
      </w:r>
    </w:p>
    <w:p>
      <w:pPr>
        <w:keepNext/>
        <w:keepLines/>
        <w:spacing w:after="140"/>
      </w:pPr>
      <w:r>
        <w:rPr>
          <w:b/>
          <w:color w:val="000000"/>
        </w:rPr>
        <w:t>L07  Tang et al. (2022). CONFIT: Toward faithful dialogue summarization with linguistically-informed contrastive fine-tuning.</w:t>
      </w:r>
    </w:p>
    <w:p>
      <w:pPr>
        <w:keepNext/>
      </w:pPr>
      <w:r>
        <w:rPr>
          <w:color w:val="000000"/>
        </w:rPr>
        <w:t xml:space="preserve">Source access  </w:t>
      </w:r>
      <w:hyperlink r:id="rId23">
        <w:r>
          <w:rPr>
            <w:color w:val="000000"/>
          </w:rPr>
          <w:t>Primary publication</w:t>
        </w:r>
      </w:hyperlink>
      <w:r>
        <w:rPr>
          <w:color w:val="000000"/>
        </w:rPr>
        <w:t xml:space="preserve"> | </w:t>
      </w:r>
      <w:hyperlink r:id="rId24">
        <w:r>
          <w:rPr>
            <w:color w:val="000000"/>
          </w:rPr>
          <w:t>Accessible full text</w:t>
        </w:r>
      </w:hyperlink>
    </w:p>
    <w:p>
      <w:pPr>
        <w:keepNext/>
      </w:pPr>
      <w:r>
        <w:rPr>
          <w:color w:val="000000"/>
        </w:rPr>
      </w:r>
      <w:r>
        <w:rPr>
          <w:b/>
          <w:color w:val="000000"/>
        </w:rPr>
        <w:t>Approach</w:t>
      </w:r>
      <w:r>
        <w:rPr>
          <w:color w:val="000000"/>
        </w:rPr>
        <w:t xml:space="preserve">  Contrastive fine-tuning with factual-error negatives and dialogue-specific self-supervised loss. </w:t>
      </w:r>
      <w:r>
        <w:rPr>
          <w:b/>
          <w:color w:val="000000"/>
        </w:rPr>
        <w:t>Finding</w:t>
      </w:r>
      <w:r>
        <w:rPr>
          <w:color w:val="000000"/>
        </w:rPr>
        <w:t xml:space="preserve">  Human faithfulness scores improve; individual AMI error-type reductions are less consistent.</w:t>
      </w:r>
    </w:p>
    <w:p>
      <w:pPr>
        <w:keepNext/>
      </w:pPr>
      <w:r>
        <w:rPr>
          <w:color w:val="000000"/>
        </w:rPr>
      </w:r>
      <w:r>
        <w:rPr>
          <w:b/>
          <w:color w:val="000000"/>
        </w:rPr>
        <w:t>Limit and design use</w:t>
      </w:r>
      <w:r>
        <w:rPr>
          <w:color w:val="000000"/>
        </w:rPr>
        <w:t xml:space="preserve">  Human evaluation includes only 20 AMI dialogues; English datasets and model-specific results. Audit negation, entities, references, tense, and modality; preserve tentative versus confirmed purchases.</w:t>
      </w:r>
    </w:p>
    <w:p>
      <w:pPr>
        <w:keepLines/>
      </w:pPr>
      <w:r>
        <w:rPr>
          <w:color w:val="000000"/>
        </w:rPr>
        <w:t>Evidence checked  Publisher full text; error taxonomy, training method, and human-evaluation tables inspected. No replication. Location  §2 taxonomy; §3 objectives; §4.3 evaluation metrics; §5 results and §5.1 error analysis; Tables 3–6, especially Table 5 and the discussion following Table 6 on pp.5662–5663.</w:t>
      </w:r>
    </w:p>
    <w:p>
      <w:pPr>
        <w:keepNext/>
        <w:keepLines/>
        <w:spacing w:after="140"/>
      </w:pPr>
      <w:r>
        <w:rPr>
          <w:b/>
          <w:color w:val="000000"/>
        </w:rPr>
        <w:t>L08  Koenecke et al. (2024). Careless Whisper: Speech-to-text hallucination harms.</w:t>
      </w:r>
    </w:p>
    <w:p>
      <w:pPr>
        <w:keepNext/>
      </w:pPr>
      <w:r>
        <w:rPr>
          <w:color w:val="000000"/>
        </w:rPr>
        <w:t xml:space="preserve">Source access  </w:t>
      </w:r>
      <w:hyperlink r:id="rId25">
        <w:r>
          <w:rPr>
            <w:color w:val="000000"/>
          </w:rPr>
          <w:t>Primary publication</w:t>
        </w:r>
      </w:hyperlink>
      <w:r>
        <w:rPr>
          <w:color w:val="000000"/>
        </w:rPr>
        <w:t xml:space="preserve"> | </w:t>
      </w:r>
      <w:hyperlink r:id="rId26">
        <w:r>
          <w:rPr>
            <w:color w:val="000000"/>
          </w:rPr>
          <w:t>Accessible full text</w:t>
        </w:r>
      </w:hyperlink>
    </w:p>
    <w:p>
      <w:pPr>
        <w:keepNext/>
      </w:pPr>
      <w:r>
        <w:rPr>
          <w:color w:val="000000"/>
        </w:rPr>
      </w:r>
      <w:r>
        <w:rPr>
          <w:b/>
          <w:color w:val="000000"/>
        </w:rPr>
        <w:t>Approach</w:t>
      </w:r>
      <w:r>
        <w:rPr>
          <w:color w:val="000000"/>
        </w:rPr>
        <w:t xml:space="preserve">  Repeated 2023 API transcription of AphasiaBank audio; manual hallucination verification and thematic coding. </w:t>
      </w:r>
      <w:r>
        <w:rPr>
          <w:b/>
          <w:color w:val="000000"/>
        </w:rPr>
        <w:t>Finding</w:t>
      </w:r>
      <w:r>
        <w:rPr>
          <w:color w:val="000000"/>
        </w:rPr>
        <w:t xml:space="preserve">  Historical experiments found invented phrases; silence patterns and speaker characteristics are associated with risk.</w:t>
      </w:r>
    </w:p>
    <w:p>
      <w:pPr>
        <w:keepNext/>
      </w:pPr>
      <w:r>
        <w:rPr>
          <w:color w:val="000000"/>
        </w:rPr>
      </w:r>
      <w:r>
        <w:rPr>
          <w:b/>
          <w:color w:val="000000"/>
        </w:rPr>
        <w:t>Limit and design use</w:t>
      </w:r>
      <w:r>
        <w:rPr>
          <w:color w:val="000000"/>
        </w:rPr>
        <w:t xml:space="preserve">  Specialized English sample and changing 2023 API; reported rates are not current sales-call estimates. Detection can miss hallucinations repeated identically across runs. Audit silence and unsupported text; retain audio evidence and review consequential extracted claims.</w:t>
      </w:r>
    </w:p>
    <w:p>
      <w:pPr>
        <w:keepLines/>
      </w:pPr>
      <w:r>
        <w:rPr>
          <w:color w:val="000000"/>
        </w:rPr>
        <w:t>Evidence checked  Author-deposited full text rechecked on 23 October 2026, including methods, temporal retest, results and limitations. ACM/DOI publisher pages returned HTTP 403 during this recheck; publication identity and DOI also appear in the manuscript front matter. No replication. Location  §§2.1–2.5; §3 including December retest; §3.1 limitations. Do not generalize the 1.4% historical rate.</w:t>
      </w:r>
    </w:p>
    <w:p>
      <w:pPr>
        <w:keepNext/>
        <w:keepLines/>
        <w:spacing w:after="140"/>
      </w:pPr>
      <w:r>
        <w:rPr>
          <w:b/>
          <w:color w:val="000000"/>
        </w:rPr>
        <w:t>L09  Mäntyvaara et al. (2026). AI-assisted sales coaching framework: Empirically-derived models for B2B communication analysis.</w:t>
      </w:r>
    </w:p>
    <w:p>
      <w:pPr>
        <w:keepNext/>
      </w:pPr>
      <w:r>
        <w:rPr>
          <w:color w:val="000000"/>
        </w:rPr>
        <w:t xml:space="preserve">Source access  </w:t>
      </w:r>
      <w:hyperlink r:id="rId27">
        <w:r>
          <w:rPr>
            <w:color w:val="000000"/>
          </w:rPr>
          <w:t>Primary publication</w:t>
        </w:r>
      </w:hyperlink>
      <w:r>
        <w:rPr>
          <w:color w:val="000000"/>
        </w:rPr>
        <w:t xml:space="preserve"> | </w:t>
      </w:r>
      <w:hyperlink r:id="rId28">
        <w:r>
          <w:rPr>
            <w:color w:val="000000"/>
          </w:rPr>
          <w:t>Accessible full text</w:t>
        </w:r>
      </w:hyperlink>
    </w:p>
    <w:p>
      <w:pPr>
        <w:keepNext/>
      </w:pPr>
      <w:r>
        <w:rPr>
          <w:color w:val="000000"/>
        </w:rPr>
      </w:r>
      <w:r>
        <w:rPr>
          <w:b/>
          <w:color w:val="000000"/>
        </w:rPr>
        <w:t>Approach</w:t>
      </w:r>
      <w:r>
        <w:rPr>
          <w:color w:val="000000"/>
        </w:rPr>
        <w:t xml:space="preserve">  Design-science framework using 5,183 Finnish B2B calls; combines acoustic, semantic, and linguistic features, conversation graphs, temporal classifiers, and SHAP explanations. </w:t>
      </w:r>
      <w:r>
        <w:rPr>
          <w:b/>
          <w:color w:val="000000"/>
        </w:rPr>
        <w:t>Finding</w:t>
      </w:r>
      <w:r>
        <w:rPr>
          <w:color w:val="000000"/>
        </w:rPr>
        <w:t xml:space="preserve">  Reports temporal prediction AUC 0.784 with a broad WON definition. Its 0.957 rejection analysis classifies an engineered risk category among unsuccessful calls, not actual sales outcomes.</w:t>
      </w:r>
    </w:p>
    <w:p>
      <w:pPr>
        <w:keepNext/>
      </w:pPr>
      <w:r>
        <w:rPr>
          <w:color w:val="000000"/>
        </w:rPr>
      </w:r>
      <w:r>
        <w:rPr>
          <w:b/>
          <w:color w:val="000000"/>
        </w:rPr>
        <w:t>Limit and design use</w:t>
      </w:r>
      <w:r>
        <w:rPr>
          <w:color w:val="000000"/>
        </w:rPr>
        <w:t xml:space="preserve">  Finnish organization and broad WON label; engineered rejection target overlaps risk input features, raising circularity concerns. Progression efficiency formula and Table 1 scale need reconciliation. No controlled deployment-effect evidence. Use as an architectural precedent; independently define outcomes and leakage controls. Do not copy the rejection AUC as a sales-performance target.</w:t>
      </w:r>
    </w:p>
    <w:p>
      <w:pPr>
        <w:keepLines/>
      </w:pPr>
      <w:r>
        <w:rPr>
          <w:color w:val="000000"/>
        </w:rPr>
      </w:r>
      <w:r>
        <w:rPr>
          <w:b/>
          <w:color w:val="000000"/>
        </w:rPr>
        <w:t>Evidence checked</w:t>
      </w:r>
      <w:r>
        <w:rPr>
          <w:color w:val="000000"/>
        </w:rPr>
        <w:t xml:space="preserve">  Open-access published PDF available in University of Turku repository; inspected methods, results, and limitations. Available online 23 March 2026. </w:t>
      </w:r>
      <w:r>
        <w:rPr>
          <w:b/>
          <w:color w:val="000000"/>
        </w:rPr>
        <w:t>Location</w:t>
      </w:r>
      <w:r>
        <w:rPr>
          <w:color w:val="000000"/>
        </w:rPr>
        <w:t xml:space="preserve">  Sections 3.1 and 3.4; Table 1; Sections 4.3 and 4.4. Rejection subset includes 4929 unsuccessful calls; composite target differs from an independently observed sale.</w:t>
      </w:r>
    </w:p>
    <w:p>
      <w:pPr>
        <w:keepNext/>
        <w:keepLines/>
        <w:spacing w:after="140"/>
      </w:pPr>
      <w:r>
        <w:rPr>
          <w:b/>
          <w:color w:val="000000"/>
        </w:rPr>
        <w:t>L10  Stock et al. (2024). Annotating customer-oriented behaviour in call centre sales dialogues.</w:t>
      </w:r>
    </w:p>
    <w:p>
      <w:pPr>
        <w:keepNext/>
      </w:pPr>
      <w:r>
        <w:rPr>
          <w:color w:val="000000"/>
        </w:rPr>
        <w:t xml:space="preserve">Source access  </w:t>
      </w:r>
      <w:hyperlink r:id="rId29">
        <w:r>
          <w:rPr>
            <w:color w:val="000000"/>
          </w:rPr>
          <w:t>Primary publication</w:t>
        </w:r>
      </w:hyperlink>
      <w:r>
        <w:rPr>
          <w:color w:val="000000"/>
        </w:rPr>
        <w:t xml:space="preserve"> | </w:t>
      </w:r>
      <w:hyperlink r:id="rId30">
        <w:r>
          <w:rPr>
            <w:color w:val="000000"/>
          </w:rPr>
          <w:t>Accessible full text</w:t>
        </w:r>
      </w:hyperlink>
    </w:p>
    <w:p>
      <w:pPr>
        <w:keepNext/>
      </w:pPr>
      <w:r>
        <w:rPr>
          <w:color w:val="000000"/>
        </w:rPr>
      </w:r>
      <w:r>
        <w:rPr>
          <w:b/>
          <w:color w:val="000000"/>
        </w:rPr>
        <w:t>Approach</w:t>
      </w:r>
      <w:r>
        <w:rPr>
          <w:color w:val="000000"/>
        </w:rPr>
        <w:t xml:space="preserve">  ISO 24617-2 dialogue-act annotation with relationship-building extensions and DIT++ feedback analysis on 67 German service/sales calls (4.3 hours). </w:t>
      </w:r>
      <w:r>
        <w:rPr>
          <w:b/>
          <w:color w:val="000000"/>
        </w:rPr>
        <w:t>Finding</w:t>
      </w:r>
      <w:r>
        <w:rPr>
          <w:color w:val="000000"/>
        </w:rPr>
        <w:t xml:space="preserve">  Relationship-building annotations associate with customer ratings; feedback acts provide contextual evidence for analysing sales negotiation.</w:t>
      </w:r>
    </w:p>
    <w:p>
      <w:pPr>
        <w:keepNext/>
      </w:pPr>
      <w:r>
        <w:rPr>
          <w:color w:val="000000"/>
        </w:rPr>
      </w:r>
      <w:r>
        <w:rPr>
          <w:b/>
          <w:color w:val="000000"/>
        </w:rPr>
        <w:t>Limit and design use</w:t>
      </w:r>
      <w:r>
        <w:rPr>
          <w:color w:val="000000"/>
        </w:rPr>
        <w:t xml:space="preserve">  Small deliberately selected German corpus with experienced agents and favourable rating bias; correlations with satisfaction do not prove conversion improvement. Create auditable labels for needs discovery, offers, commitments, feedback, and relationship-building, with timestamps and annotated evidence.</w:t>
      </w:r>
    </w:p>
    <w:p>
      <w:pPr>
        <w:keepLines/>
      </w:pPr>
      <w:r>
        <w:rPr>
          <w:color w:val="000000"/>
        </w:rPr>
      </w:r>
      <w:r>
        <w:rPr>
          <w:b/>
          <w:color w:val="000000"/>
        </w:rPr>
        <w:t>Evidence checked</w:t>
      </w:r>
      <w:r>
        <w:rPr>
          <w:color w:val="000000"/>
        </w:rPr>
        <w:t xml:space="preserve">  Open full text; inspected corpus, annotation experiments, ratings analysis, and limitations. Author order here follows authoritative PDF; ACL landing-page order is Stock, Petukhova, Klakow. </w:t>
      </w:r>
      <w:r>
        <w:rPr>
          <w:b/>
          <w:color w:val="000000"/>
        </w:rPr>
        <w:t>Location</w:t>
      </w:r>
      <w:r>
        <w:rPr>
          <w:color w:val="000000"/>
        </w:rPr>
        <w:t xml:space="preserve">  PDF p.1 author order; Sections 4.1–4.3 corpus, rating-selection bias and annotation; Section 5 German/inbound-context limitations. No DOI listed in ACL record.</w:t>
      </w:r>
    </w:p>
    <w:p>
      <w:pPr>
        <w:keepNext/>
        <w:keepLines/>
        <w:spacing w:after="140"/>
      </w:pPr>
      <w:r>
        <w:rPr>
          <w:b/>
          <w:color w:val="000000"/>
        </w:rPr>
        <w:t>L11  Fu et al. (2022). Entity-level sentiment analysis in contact center telephone conversations.</w:t>
      </w:r>
    </w:p>
    <w:p>
      <w:pPr>
        <w:keepNext/>
      </w:pPr>
      <w:r>
        <w:rPr>
          <w:color w:val="000000"/>
        </w:rPr>
        <w:t xml:space="preserve">Source access  </w:t>
      </w:r>
      <w:hyperlink r:id="rId31">
        <w:r>
          <w:rPr>
            <w:color w:val="000000"/>
          </w:rPr>
          <w:t>Primary publication</w:t>
        </w:r>
      </w:hyperlink>
      <w:r>
        <w:rPr>
          <w:color w:val="000000"/>
        </w:rPr>
        <w:t xml:space="preserve"> | </w:t>
      </w:r>
      <w:hyperlink r:id="rId32">
        <w:r>
          <w:rPr>
            <w:color w:val="000000"/>
          </w:rPr>
          <w:t>Accessible full text</w:t>
        </w:r>
      </w:hyperlink>
    </w:p>
    <w:p>
      <w:pPr>
        <w:keepNext/>
      </w:pPr>
      <w:r>
        <w:rPr>
          <w:color w:val="000000"/>
        </w:rPr>
      </w:r>
      <w:r>
        <w:rPr>
          <w:b/>
          <w:color w:val="000000"/>
        </w:rPr>
        <w:t>Approach</w:t>
      </w:r>
      <w:r>
        <w:rPr>
          <w:color w:val="000000"/>
        </w:rPr>
        <w:t xml:space="preserve">  English contact-centre entity sentiment and opinion-word extraction using DistilBERT variants versus CNN plus linguistic heuristics. </w:t>
      </w:r>
      <w:r>
        <w:rPr>
          <w:b/>
          <w:color w:val="000000"/>
        </w:rPr>
        <w:t>Finding</w:t>
      </w:r>
      <w:r>
        <w:rPr>
          <w:color w:val="000000"/>
        </w:rPr>
        <w:t xml:space="preserve">  Table 3 reports weighted entity-sentiment F1 74.72 and opinion-word F1 65.48 for DistilBERT + SST, evaluated on 175 annotated utterances.</w:t>
      </w:r>
    </w:p>
    <w:p>
      <w:pPr>
        <w:keepNext/>
      </w:pPr>
      <w:r>
        <w:rPr>
          <w:color w:val="000000"/>
        </w:rPr>
      </w:r>
      <w:r>
        <w:rPr>
          <w:b/>
          <w:color w:val="000000"/>
        </w:rPr>
        <w:t>Limit and design use</w:t>
      </w:r>
      <w:r>
        <w:rPr>
          <w:color w:val="000000"/>
        </w:rPr>
        <w:t xml:space="preserve">  Small proprietary English evaluation; entity sentiment is not purchase intent, agent quality, or demonstrated revenue impact. Associate sentiment with named products or companies and show supporting opinion spans; validate separately on local languages and ASR transcripts.</w:t>
      </w:r>
    </w:p>
    <w:p>
      <w:pPr>
        <w:keepLines/>
      </w:pPr>
      <w:r>
        <w:rPr>
          <w:color w:val="000000"/>
        </w:rPr>
      </w:r>
      <w:r>
        <w:rPr>
          <w:b/>
          <w:color w:val="000000"/>
        </w:rPr>
        <w:t>Evidence checked</w:t>
      </w:r>
      <w:r>
        <w:rPr>
          <w:color w:val="000000"/>
        </w:rPr>
        <w:t xml:space="preserve">  Open published PDF; inspected methods and experimental results. Metadata pagination is 484–491 while PDF prints 494–501; avoid silently treating these as identical. </w:t>
      </w:r>
      <w:r>
        <w:rPr>
          <w:b/>
          <w:color w:val="000000"/>
        </w:rPr>
        <w:t>Location</w:t>
      </w:r>
      <w:r>
        <w:rPr>
          <w:color w:val="000000"/>
        </w:rPr>
        <w:t xml:space="preserve">  PDF Sections 5–6, Table 3, especially Section 6.2 evaluation sample and weighted metrics; publisher landing page verifies DOI and proceedings.</w:t>
      </w:r>
    </w:p>
    <w:p>
      <w:pPr>
        <w:keepNext/>
        <w:keepLines/>
        <w:spacing w:after="140"/>
      </w:pPr>
      <w:r>
        <w:rPr>
          <w:b/>
          <w:color w:val="000000"/>
        </w:rPr>
        <w:t>L12  Good et al. (2026). Determining the quality of B2C sales leads from online chats.</w:t>
      </w:r>
    </w:p>
    <w:p>
      <w:pPr>
        <w:keepNext/>
      </w:pPr>
      <w:r>
        <w:rPr>
          <w:color w:val="000000"/>
        </w:rPr>
        <w:t xml:space="preserve">Source access  </w:t>
      </w:r>
      <w:hyperlink r:id="rId33">
        <w:r>
          <w:rPr>
            <w:color w:val="000000"/>
          </w:rPr>
          <w:t>Primary publication</w:t>
        </w:r>
      </w:hyperlink>
    </w:p>
    <w:p>
      <w:pPr>
        <w:keepNext/>
      </w:pPr>
      <w:r>
        <w:rPr>
          <w:color w:val="000000"/>
        </w:rPr>
        <w:t>Approach  Sales-manager qualitative research, automotive chat topic/predictive analysis, and replication in furniture; links conversation text with downstream purchase and profit. Finding  Proposes MINITS: Mode of contact, Immediacy, Need, Interest, Time spent chatting and Specificity; conversational signals help qualify leads.</w:t>
      </w:r>
    </w:p>
    <w:p>
      <w:pPr>
        <w:keepNext/>
      </w:pPr>
      <w:r>
        <w:rPr>
          <w:color w:val="000000"/>
        </w:rPr>
      </w:r>
      <w:r>
        <w:rPr>
          <w:b/>
          <w:color w:val="000000"/>
        </w:rPr>
        <w:t>Limit and design use</w:t>
      </w:r>
      <w:r>
        <w:rPr>
          <w:color w:val="000000"/>
        </w:rPr>
        <w:t xml:space="preserve">  Written high-involvement B2C chats; transfer to noisy speech or other sectors is untested here. Full-text evaluation details were inaccessible. Specify interpretable lead features and connect transcript-derived signals to CRM purchase/profit outcomes rather than using sentiment as the sole target.</w:t>
      </w:r>
    </w:p>
    <w:p>
      <w:pPr>
        <w:keepLines/>
      </w:pPr>
      <w:r>
        <w:rPr>
          <w:color w:val="000000"/>
        </w:rPr>
      </w:r>
      <w:r>
        <w:rPr>
          <w:b/>
          <w:color w:val="000000"/>
        </w:rPr>
        <w:t>Evidence checked</w:t>
      </w:r>
      <w:r>
        <w:rPr>
          <w:color w:val="000000"/>
        </w:rPr>
        <w:t xml:space="preserve">  Publisher abstract, highlights, and study/data section snippets inspected; full text requires subscription and was not read. Cite 2026 issue year; DOI reflects 2025 online publication. </w:t>
      </w:r>
      <w:r>
        <w:rPr>
          <w:b/>
          <w:color w:val="000000"/>
        </w:rPr>
        <w:t>Location</w:t>
      </w:r>
      <w:r>
        <w:rPr>
          <w:color w:val="000000"/>
        </w:rPr>
        <w:t xml:space="preserve">  Publisher abstract/highlights; Overview of studies; Data/sample snippets for automotive and furniture. Publisher issue metadata: June 2026, volume 43(2), pages 383–403.</w:t>
      </w:r>
    </w:p>
    <w:p>
      <w:pPr>
        <w:keepNext/>
        <w:keepLines/>
        <w:spacing w:after="140"/>
      </w:pPr>
      <w:r>
        <w:rPr>
          <w:b/>
          <w:color w:val="000000"/>
        </w:rPr>
        <w:t>L13  Vieira et al. (2024). Drivers of industrial sales performance in the agent-buyer chat channel: The role of social and functional content, message valence, and synchronicity.</w:t>
      </w:r>
    </w:p>
    <w:p>
      <w:pPr>
        <w:keepNext/>
      </w:pPr>
      <w:r>
        <w:rPr>
          <w:color w:val="000000"/>
        </w:rPr>
        <w:t xml:space="preserve">Source access  </w:t>
      </w:r>
      <w:hyperlink r:id="rId34">
        <w:r>
          <w:rPr>
            <w:color w:val="000000"/>
          </w:rPr>
          <w:t>Primary publication</w:t>
        </w:r>
      </w:hyperlink>
    </w:p>
    <w:p>
      <w:pPr>
        <w:keepNext/>
      </w:pPr>
      <w:r>
        <w:rPr>
          <w:color w:val="000000"/>
        </w:rPr>
      </w:r>
      <w:r>
        <w:rPr>
          <w:b/>
          <w:color w:val="000000"/>
        </w:rPr>
        <w:t>Approach</w:t>
      </w:r>
      <w:r>
        <w:rPr>
          <w:color w:val="000000"/>
        </w:rPr>
        <w:t xml:space="preserve">  Observational regression analysis of message content, valence, response time, and word proportions in Brazilian automotive-parts B2B chats; 19,817 conversations over 714 days. </w:t>
      </w:r>
      <w:r>
        <w:rPr>
          <w:b/>
          <w:color w:val="000000"/>
        </w:rPr>
        <w:t>Finding</w:t>
      </w:r>
      <w:r>
        <w:rPr>
          <w:color w:val="000000"/>
        </w:rPr>
        <w:t xml:space="preserve">  Associations differ across revenue, frequency, and conversion; negative valence can coexist with higher conversion. Publisher reports 3,433 resulting sales.</w:t>
      </w:r>
    </w:p>
    <w:p>
      <w:pPr>
        <w:keepNext/>
      </w:pPr>
      <w:r>
        <w:rPr>
          <w:color w:val="000000"/>
        </w:rPr>
      </w:r>
      <w:r>
        <w:rPr>
          <w:b/>
          <w:color w:val="000000"/>
        </w:rPr>
        <w:t>Limit and design use</w:t>
      </w:r>
      <w:r>
        <w:rPr>
          <w:color w:val="000000"/>
        </w:rPr>
        <w:t xml:space="preserve">  Single-firm written chat context; observational associations cannot establish that changing a linguistic feature causes additional sales. Full model specifications inaccessible. Define separate business KPIs and investigate conversation timing/content jointly; do not interpret negative sentiment as automatic failure.</w:t>
      </w:r>
    </w:p>
    <w:p>
      <w:pPr>
        <w:keepLines/>
      </w:pPr>
      <w:r>
        <w:rPr>
          <w:color w:val="000000"/>
        </w:rPr>
      </w:r>
      <w:r>
        <w:rPr>
          <w:b/>
          <w:color w:val="000000"/>
        </w:rPr>
        <w:t>Evidence checked</w:t>
      </w:r>
      <w:r>
        <w:rPr>
          <w:color w:val="000000"/>
        </w:rPr>
        <w:t xml:space="preserve">  Publisher abstract, introduction, methods/results snippets, and CRediT author names inspected; full text not accessed. </w:t>
      </w:r>
      <w:r>
        <w:rPr>
          <w:b/>
          <w:color w:val="000000"/>
        </w:rPr>
        <w:t>Location</w:t>
      </w:r>
      <w:r>
        <w:rPr>
          <w:color w:val="000000"/>
        </w:rPr>
        <w:t xml:space="preserve">  Publisher Abstract and Introduction; Data and Results section snippets; CRediT authorship statement verifies names and order; May 2024 issue metadata.</w:t>
      </w:r>
    </w:p>
    <w:p>
      <w:pPr>
        <w:keepNext/>
        <w:keepLines/>
        <w:spacing w:after="140"/>
      </w:pPr>
      <w:r>
        <w:rPr>
          <w:b/>
          <w:color w:val="000000"/>
        </w:rPr>
        <w:t>L14  Humă and Stokoe (2023). Resistance in business-to-business “cold” sales calls.</w:t>
      </w:r>
    </w:p>
    <w:p>
      <w:pPr>
        <w:keepNext/>
      </w:pPr>
      <w:r>
        <w:rPr>
          <w:color w:val="000000"/>
        </w:rPr>
        <w:t xml:space="preserve">Source access  </w:t>
      </w:r>
      <w:hyperlink r:id="rId35">
        <w:r>
          <w:rPr>
            <w:color w:val="000000"/>
          </w:rPr>
          <w:t>Primary publication</w:t>
        </w:r>
      </w:hyperlink>
      <w:r>
        <w:rPr>
          <w:color w:val="000000"/>
        </w:rPr>
        <w:t xml:space="preserve"> | </w:t>
      </w:r>
      <w:hyperlink r:id="rId36">
        <w:r>
          <w:rPr>
            <w:color w:val="000000"/>
          </w:rPr>
          <w:t>Accessible full text</w:t>
        </w:r>
      </w:hyperlink>
    </w:p>
    <w:p>
      <w:pPr>
        <w:keepNext/>
      </w:pPr>
      <w:r>
        <w:rPr>
          <w:color w:val="000000"/>
        </w:rPr>
      </w:r>
      <w:r>
        <w:rPr>
          <w:b/>
          <w:color w:val="000000"/>
        </w:rPr>
        <w:t>Approach</w:t>
      </w:r>
      <w:r>
        <w:rPr>
          <w:color w:val="000000"/>
        </w:rPr>
        <w:t xml:space="preserve">  Discursive psychology and conversation analysis of 159 authentic British B2B cold calls from four companies; detailed analysis of 12 blocks and 14 stalls. </w:t>
      </w:r>
      <w:r>
        <w:rPr>
          <w:b/>
          <w:color w:val="000000"/>
        </w:rPr>
        <w:t>Finding</w:t>
      </w:r>
      <w:r>
        <w:rPr>
          <w:color w:val="000000"/>
        </w:rPr>
        <w:t xml:space="preserve">  Distinguishes resistance that attempts to terminate selling (blocks) from resistance that delays progress (stalls), using conversational sequence and context.</w:t>
      </w:r>
    </w:p>
    <w:p>
      <w:pPr>
        <w:keepNext/>
      </w:pPr>
      <w:r>
        <w:rPr>
          <w:color w:val="000000"/>
        </w:rPr>
      </w:r>
      <w:r>
        <w:rPr>
          <w:b/>
          <w:color w:val="000000"/>
        </w:rPr>
        <w:t>Limit and design use</w:t>
      </w:r>
      <w:r>
        <w:rPr>
          <w:color w:val="000000"/>
        </w:rPr>
        <w:t xml:space="preserve">  Qualitative findings concern appointment seeking, not automated classifier accuracy or completed-sale prediction; calls recorded in 2014–2016. Design objection labels that distinguish rejection from postponement and retain adjacent turns, timing, and uncertainty for human review.</w:t>
      </w:r>
    </w:p>
    <w:p>
      <w:pPr>
        <w:keepLines/>
      </w:pPr>
      <w:r>
        <w:rPr>
          <w:color w:val="000000"/>
        </w:rPr>
      </w:r>
      <w:r>
        <w:rPr>
          <w:b/>
          <w:color w:val="000000"/>
        </w:rPr>
        <w:t>Evidence checked</w:t>
      </w:r>
      <w:r>
        <w:rPr>
          <w:color w:val="000000"/>
        </w:rPr>
        <w:t xml:space="preserve">  Open publisher full text; inspected Data and Method, examples, and discussion; publisher PDF verifies final pagination. </w:t>
      </w:r>
      <w:r>
        <w:rPr>
          <w:b/>
          <w:color w:val="000000"/>
        </w:rPr>
        <w:t>Location</w:t>
      </w:r>
      <w:r>
        <w:rPr>
          <w:color w:val="000000"/>
        </w:rPr>
        <w:t xml:space="preserve">  Publisher Abstract; Data and Method; Results sections on blocks and stalls; final issue metadata 42(5–6), 630–652.</w:t>
      </w:r>
    </w:p>
    <w:p>
      <w:pPr>
        <w:keepNext/>
        <w:keepLines/>
        <w:spacing w:after="140"/>
      </w:pPr>
      <w:r>
        <w:rPr>
          <w:b/>
          <w:color w:val="000000"/>
        </w:rPr>
        <w:t>L15  Song et al. (2021). SmartSales: An AI-powered telemarketing coaching system in FinTech.</w:t>
      </w:r>
    </w:p>
    <w:p>
      <w:pPr>
        <w:keepNext/>
      </w:pPr>
      <w:r>
        <w:rPr>
          <w:color w:val="000000"/>
        </w:rPr>
        <w:t xml:space="preserve">Source access  </w:t>
      </w:r>
      <w:hyperlink r:id="rId37">
        <w:r>
          <w:rPr>
            <w:color w:val="000000"/>
          </w:rPr>
          <w:t>Primary publication</w:t>
        </w:r>
      </w:hyperlink>
      <w:r>
        <w:rPr>
          <w:color w:val="000000"/>
        </w:rPr>
        <w:t xml:space="preserve"> | </w:t>
      </w:r>
      <w:hyperlink r:id="rId38">
        <w:r>
          <w:rPr>
            <w:color w:val="000000"/>
          </w:rPr>
          <w:t>Accessible full text</w:t>
        </w:r>
      </w:hyperlink>
    </w:p>
    <w:p>
      <w:pPr>
        <w:keepNext/>
      </w:pPr>
      <w:r>
        <w:rPr>
          <w:color w:val="000000"/>
        </w:rPr>
      </w:r>
      <w:r>
        <w:rPr>
          <w:b/>
          <w:color w:val="000000"/>
        </w:rPr>
        <w:t>Approach</w:t>
      </w:r>
      <w:r>
        <w:rPr>
          <w:color w:val="000000"/>
        </w:rPr>
        <w:t xml:space="preserve">  Chinese FinTech telemarketing demo integrating ASR, dialogue parsing, intent mining, knowledge-base QA, response recommendation, sentiment, and call evaluation. </w:t>
      </w:r>
      <w:r>
        <w:rPr>
          <w:b/>
          <w:color w:val="000000"/>
        </w:rPr>
        <w:t>Finding</w:t>
      </w:r>
      <w:r>
        <w:rPr>
          <w:color w:val="000000"/>
        </w:rPr>
        <w:t xml:space="preserve">  Reports deployment at WeBank; demonstrates component evaluation and an operational workflow joining speech recognition to managerial call reports.</w:t>
      </w:r>
    </w:p>
    <w:p>
      <w:pPr>
        <w:keepNext/>
      </w:pPr>
      <w:r>
        <w:rPr>
          <w:color w:val="000000"/>
        </w:rPr>
      </w:r>
      <w:r>
        <w:rPr>
          <w:b/>
          <w:color w:val="000000"/>
        </w:rPr>
        <w:t>Limit and design use</w:t>
      </w:r>
      <w:r>
        <w:rPr>
          <w:color w:val="000000"/>
        </w:rPr>
        <w:t xml:space="preserve">  Three-page demonstration with proprietary domain data; deployment statement and component metrics do not establish causal sales improvement or multilingual portability. Reference system decomposition, offline knowledge maintenance, online call processing, and role-based reporting; keep recommendation optional and human-reviewed.</w:t>
      </w:r>
    </w:p>
    <w:p>
      <w:pPr>
        <w:keepLines/>
      </w:pPr>
      <w:r>
        <w:rPr>
          <w:color w:val="000000"/>
        </w:rPr>
        <w:t>Evidence checked  Open author-hosted conference PDF and ACM SIGMM proceedings listing; inspected all three pages. This differs from a separate 2022 SmartSales chatlog preprint. Rechecked 23 October 2026 using the accessible author ust.hk PDF and official proceedings; the earlier hkust.edu.hk host timed out. Location  PDF p.1 abstract/Figure 1; Section 2 architecture and component experiments; Section 3 demonstrations; ACM SIGMM official MM2021 table of contents confirms publication.</w:t>
      </w:r>
    </w:p>
    <w:p>
      <w:pPr>
        <w:pStyle w:val="Heading1"/>
        <w:pageBreakBefore/>
      </w:pPr>
      <w:r>
        <w:rPr>
          <w:color w:val="000000"/>
        </w:rPr>
        <w:t>B Full requirements and tests</w:t>
      </w:r>
    </w:p>
    <w:p>
      <w:r>
        <w:rPr>
          <w:color w:val="000000"/>
        </w:rPr>
        <w:t>The register includes all 26 requirements and the ten acceptance criteria clarified in Bekzat’s SASTT-4 review. Priorities and T01–T22 mappings are unchanged. These are specifications pending stakeholder confirmation; test IDs do not mean that backend tests have passed.</w:t>
      </w:r>
    </w:p>
    <w:p>
      <w:pPr>
        <w:pStyle w:val="Heading2"/>
      </w:pPr>
      <w:r>
        <w:rPr>
          <w:color w:val="000000"/>
        </w:rPr>
        <w:t>Functional requirements</w:t>
      </w:r>
    </w:p>
    <w:tbl>
      <w:tblPr>
        <w:tblW w:type="auto" w:w="0"/>
        <w:jc w:val="center"/>
        <w:tblLayout w:type="fixed"/>
        <w:tblLook w:firstColumn="1" w:firstRow="1" w:lastColumn="0" w:lastRow="0" w:noHBand="0" w:noVBand="1" w:val="04A0"/>
      </w:tblPr>
      <w:tblGrid>
        <w:gridCol w:w="1080"/>
        <w:gridCol w:w="2390"/>
        <w:gridCol w:w="5645"/>
        <w:gridCol w:w="691"/>
      </w:tblGrid>
      <w:tr>
        <w:trPr>
          <w:cantSplit/>
          <w:tblHeader w:val="true"/>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8"/>
              </w:rPr>
              <w:t>ID and priority</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Requirement</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Full acceptance criterion</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Test</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FR01</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Authenticate users and enforce the documented four role permission matrix</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Unauthenticated requests return 401; test all four roles and actions through direct API requests including nested objects jobs audio search and exports; invisible foreign-scope objects return 404; forbidden actions on visible objects return 403; multi-role grants remain team scoped; administrator gets no inherent content access.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T01</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FR02</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Import sales data from CSV using a documented schema</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100 valid rows apply atomically once; repeat and concurrent imports create no duplicates under team and source scoped keys; invalid or conflicting rows return row numbers and codes and block the whole apply; changed rows require confirmation and expected revision; stale previews and idempotency-key payload conflicts return 409 without business writes.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T02</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FR03</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Associate call audio with a sales record through explicit identifiers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Each accepted call has a server-owned immutable call_id and exactly one authorized same-team deal_id; source deal keys and any supplied internal ID must agree; missing ambiguous conflicting and cross-team joins block apply; confirmed relinks preserve an audit revision; no guessed joins.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T03</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FR04</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Accept consented WAV and MP3 recordings for asynchronous processing</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After upload and validation complete a valid 10 minute file returns job_id and status within 2 seconds on the agreed host; measure upload duration separately; files above 50 MB or 30 minutes and unsupported types are rejected.</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T04</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FR05</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Expose processing status and recoverable failures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Persist queued processing completed or failed status; one initial processing attempt and at most two automatic retries including expired leases; duplicate delivery and broker/API/worker crashes do not duplicate results or reset attempts; permanent errors fail without automatic retry; committed queued jobs recover after broker loss.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T05</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FR06</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Produce editable timestamped transcripts with language metadata</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 completed job stores an immutable transcript version with segment start end text model revision configuration hash input checksum and language metadata; 0 &lt;= start &lt; end &lt;= call duration; transcript or speaker edits create a new version; unsupported language/configuration yields an explicit failure.</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T06</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FR07</w:t>
              <w:br/>
              <w:t>Should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Distinguish anonymous speakers and permit correction</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 two speaker test call displays speaker A and B; reviewer can correct a speaker label; identity and role are never inferred as fact without confirmation.</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T07</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FR08</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Extract sales objections and next actions with evidence</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Every displayed objection or next action cites segments from the same authorized call and transcript version with valid timestamps; missing or foreign-version evidence blocks confirmation; uncertain items remain draft; support of all asserted fields is checked against audio or adjudicated gold.</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T08</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FR09</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Let an authorized reviewer correct and approve extracted items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Authorized corrections create private old/new revisions with actor time and evidence; per-item draft reviewed and corrected states remain distinct; stale version/revision writes return 409; transcript changes invalidate current evidence approvals; reviewing an objection does not approve next actions.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T09</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FR10</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Display reproducible sales and call analytics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 fixed 20 deal fixture matches hand-calculated distinct won lost and eligible closed counts and win rate; authorized deals without calls remain included for all languages; language cohorts use existence of an authorized call; close and recording date windows stay separate; exact monetary sums stay per currency with missing-amount counts; empty denominator is unavailable.</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T10</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FR11</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Search permitted transcripts and filter the call list</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 known keyword returns all matching authorized fixture calls; date language status and outcome filters compose; a salesperson never receives unauthorized results.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T11</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FR12</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Export permitted analytics with provenance</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CSV export matches the active filters and contains metric definition time window and data version; spreadsheet formula prefixes in untrusted text are safely neutralized.</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T12</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FR13</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Support retention and deletion of a call and its derivatives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Immediately deny content and fence processing when deletion starts; remove audio every transcript version items revision text temporary files indexes and application export caches within 24 hours; late workers and reimports cannot silently resurrect deleted content; retain content-free audit/tombstones; backup expiry &lt;=30 days and restore replays deletions; downloaded exports require owner policy.</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T13</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FR14</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Keep CRM outcomes distinct from conversation inferences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The source outcome field cannot be overwritten by model output; the UI labels extraction as a draft inference and reports absent outcome as unknown rather than lost.</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T14</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FR15</w:t>
              <w:br/>
              <w:t>Should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Measure model performance by language and call conditions</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An evaluation run exports per-language WER and entity accuracy, six-label objection macro F1, next-action event F1 and processing time, with fixed scoring rules, dataset groups, model configuration and unsupported strata shown explicitly.</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T15</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FR16</w:t>
              <w:br/>
              <w:t>Could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Import from a live CRM connector</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 future read only connector uses scoped credentials and idempotent synchronization; CSV remains the mandatory initial path.</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T16</w:t>
            </w:r>
          </w:p>
        </w:tc>
      </w:tr>
    </w:tbl>
    <w:p>
      <w:pPr>
        <w:spacing w:line="60" w:lineRule="exact" w:after="80" w:before="0"/>
      </w:pPr>
      <w:r>
        <w:rPr>
          <w:color w:val="000000"/>
        </w:rPr>
      </w:r>
    </w:p>
    <w:p>
      <w:pPr>
        <w:pStyle w:val="Heading2"/>
      </w:pPr>
      <w:r>
        <w:rPr>
          <w:color w:val="000000"/>
        </w:rPr>
        <w:t>Non functional requirements</w:t>
      </w:r>
    </w:p>
    <w:tbl>
      <w:tblPr>
        <w:tblW w:type="auto" w:w="0"/>
        <w:jc w:val="center"/>
        <w:tblLayout w:type="fixed"/>
        <w:tblLook w:firstColumn="1" w:firstRow="1" w:lastColumn="0" w:lastRow="0" w:noHBand="0" w:noVBand="1" w:val="04A0"/>
      </w:tblPr>
      <w:tblGrid>
        <w:gridCol w:w="1080"/>
        <w:gridCol w:w="2390"/>
        <w:gridCol w:w="5645"/>
        <w:gridCol w:w="691"/>
      </w:tblGrid>
      <w:tr>
        <w:trPr>
          <w:cantSplit/>
          <w:tblHeader w:val="true"/>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8"/>
              </w:rPr>
              <w:t>ID and priority</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Requirement</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Full acceptance criterion</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Test</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NFR01</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Privacy and data minimization</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Only recordings with a recorded authorization basis enter the pilot; raw customer contacts are excluded from source control and evaluation exports; retention settings and deletion are demonstrable.</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T13</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NFR02</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Transport storage and secret protection</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Deployed endpoints require TLS; object storage is private; no secrets in tracked example files; runtime credentials have minimum permissions. Local mockup contains synthetic data only.</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T17</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NFR03</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Auditability and reproducibility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Every inference stores model name version configuration hash input checksum transcript revision and processing time; each reported metric names its denominator and dataset version.</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T18</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NFR04</w:t>
              <w:br/>
              <w:t>Should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Dashboard response time</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For 10000 synthetic deal rows and 1000 call records on a documented 4 vCPU 8 GB RAM reference machine, p95 dashboard API response &lt;=2 seconds across 100 requests at concurrency 5; inference runs separately.</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T19</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NFR05</w:t>
              <w:br/>
              <w:t>Should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Transcription processing time</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On the separately recorded inference host, median real time factor &lt;=1 for 10 minute pilot recordings and p95 &lt;=2; model size hardware audio length and warm up are reported. This is a proposed target, not a measured result.</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T20</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NFR06</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Failure isolation and consistency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API crash between job commit and publish and broker loss recover from persistent jobs/outbox; interrupted or duplicate workers cannot publish duplicate results replace reviewed versions or resurrect deleting calls; results and completion commit atomically; database and blob cleanup are reconciled.</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T05</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NFR07</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Usability and accessibility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At least 4 of 5 users finish the three fixed tasks in the evaluation plan without help within 10 minutes total; use preprocessed 2 minute synthetic or authorized calls and exclude ASR waiting; keyboard interactions and field errors are usable.</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T21</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NFR08</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Maintainability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Documented module interfaces configuration examples schema migrations lint checks and tests exist before integration; a teammate can reproduce the demo from README instructions.</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T22</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NFR09</w:t>
              <w:br/>
              <w:t>Should</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Language quality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Pilot targets WER &lt;=25% for Russian and &lt;=30% for Kazakh; report each language separately with uncertainty and test size. Failure triggers transcript correction scope or a narrower supported language claim.</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T06</w:t>
            </w:r>
          </w:p>
        </w:tc>
      </w:tr>
      <w:tr>
        <w:trPr>
          <w:cantSplit/>
        </w:trPr>
        <w:tc>
          <w:tcPr>
            <w:tcW w:type="dxa" w:w="108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NFR10</w:t>
              <w:br/>
              <w:t>Must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Factual reliability</w:t>
            </w:r>
          </w:p>
        </w:tc>
        <w:tc>
          <w:tcPr>
            <w:tcW w:type="dxa" w:w="5645"/>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On held-out annotated calls, &gt;=95% of raw extracted items have evidence supporting every asserted field in source audio or adjudicated gold; report counts and empty output as unavailable, with recall separately. Human-reviewed release outputs contain zero fabricated numeric commitments; publish raw-model numeric errors separately.</w:t>
            </w:r>
          </w:p>
        </w:tc>
        <w:tc>
          <w:tcPr>
            <w:tcW w:type="dxa" w:w="691"/>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T08</w:t>
            </w:r>
          </w:p>
        </w:tc>
      </w:tr>
    </w:tbl>
    <w:p>
      <w:pPr>
        <w:spacing w:line="60" w:lineRule="exact" w:after="80" w:before="0"/>
      </w:pPr>
      <w:r>
        <w:rPr>
          <w:color w:val="000000"/>
        </w:rPr>
      </w:r>
    </w:p>
    <w:p>
      <w:pPr>
        <w:pStyle w:val="Heading2"/>
      </w:pPr>
      <w:r>
        <w:rPr>
          <w:color w:val="000000"/>
        </w:rPr>
        <w:t>Test catalogue</w:t>
      </w:r>
    </w:p>
    <w:p>
      <w:r>
        <w:rPr>
          <w:color w:val="000000"/>
        </w:rPr>
        <w:t>T01 authorization and direct object access tests; T02 CSV valid invalid duplicate and rollback fixtures; T03 missing conflicting and repeated join tests; T04 file type size length and asynchronous response tests; T05 forced worker crash retry idempotency tests; T06 gold transcription language and timestamp checks; T07 two speaker overlap and correction tests; T08 evidence integrity and annotation evaluation; T09 correction revision audit tests; T10 hand calculated dashboard fixture; T11 role scoped composed search filters; T12 filtered CSV export and formula injection fixture; T13 deletion active stores and backup expiry inspection; T14 outcome provenance test; T15 reproducible stratified evaluator; T16 optional CRM synchronization tests; T17 TLS secret and object access configuration review; T18 version and lineage completeness check; T19 documented API load test; T20 documented inference benchmark; T21 observed usability and keyboard checks; T22 teammate clean setup and module review. Each requirement in requirements.csv maps to a test ID. Implementation must add executable assertions and record actual outputs before claiming a pass.</w:t>
      </w:r>
    </w:p>
    <w:p>
      <w:pPr>
        <w:pStyle w:val="Heading1"/>
        <w:pageBreakBefore/>
      </w:pPr>
      <w:r>
        <w:rPr>
          <w:color w:val="000000"/>
        </w:rPr>
        <w:t>C Data and access contract</w:t>
      </w:r>
    </w:p>
    <w:p>
      <w:r>
        <w:rPr>
          <w:color w:val="000000"/>
        </w:rPr>
        <w:t>Proposed contract, revised after Bekzat’s SASTT-4 review. No client schema or recording authorization has been secured, and no backend is implemented. The server derives team_id from the authenticated membership; uploaded fields cannot grant ownership. Store timestamps in UTC and convert the selected IANA timezone for reporting. Never guess call–deal links or combine unrelated public sales and speech records.</w:t>
      </w:r>
    </w:p>
    <w:p>
      <w:pPr>
        <w:pStyle w:val="Heading2"/>
      </w:pPr>
      <w:r>
        <w:rPr>
          <w:color w:val="000000"/>
        </w:rPr>
        <w:t>Import contracts</w:t>
      </w:r>
    </w:p>
    <w:tbl>
      <w:tblPr>
        <w:tblW w:type="auto" w:w="0"/>
        <w:jc w:val="center"/>
        <w:tblLayout w:type="fixed"/>
        <w:tblLook w:firstColumn="1" w:firstRow="1" w:lastColumn="0" w:lastRow="0" w:noHBand="0" w:noVBand="1" w:val="04A0"/>
      </w:tblPr>
      <w:tblGrid>
        <w:gridCol w:w="2736"/>
        <w:gridCol w:w="7070"/>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Record</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Required content and validation</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Deal CSV</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source_system, external_deal_id, representative_id, opened_at, closed_at, outcome, amount and currency. The server assigns deal_id; any existing internal reference must be authorized. Require offset-bearing timestamps and valid outcome/time combinations. A known amount needs a currency; missing money is null, not zero.</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Call manifest</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source_system, external_call_id, representative_id, recorded_at, declared_language, authorization_ref and audio checksum, with an explicit source deal key or authorized deal_id. Both references must agree if supplied together. call_id is server assigned; private storage references are validated. Each accepted call has exactly one same-team Deal.</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Reimport</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Unique (team_id, source_system, external ID) plus a versioned canonical row hash. Preserve case and leading zeroes. Skip identical rows; conflicting duplicates block apply. Changed metadata needs confirmation and expected_revision. Reject changed audio on the same call key until a replacement policy is agreed.</w:t>
            </w:r>
          </w:p>
        </w:tc>
      </w:tr>
    </w:tbl>
    <w:p>
      <w:pPr>
        <w:spacing w:line="60" w:lineRule="exact" w:after="80" w:before="0"/>
      </w:pPr>
      <w:r>
        <w:rPr>
          <w:color w:val="000000"/>
        </w:rPr>
      </w:r>
    </w:p>
    <w:p>
      <w:r>
        <w:rPr>
          <w:color w:val="000000"/>
        </w:rPr>
        <w:t>Core records are User, TeamMembership, Deal, Call, ImportBatch, ProcessingJob, JobOutbox, TranscriptVersion, Segment, ExtractedItem, ReviewRevision and AuditEvent. Same-team references bind calls, deals, representatives and evidence. The rules below govern import, processing and review consistency.</w:t>
      </w:r>
    </w:p>
    <w:p>
      <w:pPr>
        <w:pStyle w:val="Heading2"/>
      </w:pPr>
      <w:r>
        <w:rPr>
          <w:color w:val="000000"/>
        </w:rPr>
        <w:t>Role permissions</w:t>
      </w:r>
    </w:p>
    <w:tbl>
      <w:tblPr>
        <w:tblW w:type="auto" w:w="0"/>
        <w:jc w:val="center"/>
        <w:tblLayout w:type="fixed"/>
        <w:tblLook w:firstColumn="1" w:firstRow="1" w:lastColumn="0" w:lastRow="0" w:noHBand="0" w:noVBand="1" w:val="04A0"/>
      </w:tblPr>
      <w:tblGrid>
        <w:gridCol w:w="2016"/>
        <w:gridCol w:w="1584"/>
        <w:gridCol w:w="1584"/>
        <w:gridCol w:w="2232"/>
        <w:gridCol w:w="2390"/>
      </w:tblGrid>
      <w:tr>
        <w:trPr>
          <w:cantSplit/>
          <w:tblHeader w:val="true"/>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8"/>
              </w:rPr>
              <w:t>Action</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Salesperson</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Manager</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Analyst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Administrator</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Import/link</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Own records</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Assigned team</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Only with separate business grant</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Read audio/transcripts</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Own calls</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Assigned team</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Granted research subset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 inherent access</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Correct/review</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Own calls</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Assigned team</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Explicit review subset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 inherent right</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Analytics/export</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Own scope</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Assigned team</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Authorized deidentified subset</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Configuration metadata only</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Deletion</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Request own via approved flow</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Request team via approved flow</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Execute authorized job; no browsing</w:t>
            </w:r>
          </w:p>
        </w:tc>
      </w:tr>
      <w:tr>
        <w:trPr>
          <w:cantSplit/>
        </w:trPr>
        <w:tc>
          <w:tcPr>
            <w:tcW w:type="dxa" w:w="201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Roles/retention policy</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w:t>
            </w:r>
          </w:p>
        </w:tc>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w:t>
            </w:r>
          </w:p>
        </w:tc>
        <w:tc>
          <w:tcPr>
            <w:tcW w:type="dxa" w:w="223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w:t>
            </w:r>
          </w:p>
        </w:tc>
        <w:tc>
          <w:tcPr>
            <w:tcW w:type="dxa" w:w="239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Yes, audited</w:t>
            </w:r>
          </w:p>
        </w:tc>
      </w:tr>
    </w:tbl>
    <w:p>
      <w:pPr>
        <w:spacing w:line="60" w:lineRule="exact" w:after="80" w:before="0"/>
      </w:pPr>
      <w:r>
        <w:rPr>
          <w:color w:val="000000"/>
        </w:rPr>
      </w:r>
    </w:p>
    <w:p>
      <w:r>
        <w:rPr>
          <w:color w:val="000000"/>
        </w:rPr>
        <w:t>Win rate = won/(won+lost) over distinct closed deals; use Not available for an empty denominator. Closed sales use closed_at and call counts use recorded_at. Open is never lost. Missing amounts remain null and do not remove won deals from the win-rate denominator. Keep currency groups separate.</w:t>
      </w:r>
    </w:p>
    <w:p>
      <w:pPr>
        <w:pStyle w:val="Heading2"/>
      </w:pPr>
      <w:r>
        <w:rPr>
          <w:color w:val="000000"/>
        </w:rPr>
        <w:t>Atomic import</w:t>
      </w:r>
    </w:p>
    <w:p>
      <w:pPr/>
      <w:r>
        <w:rPr>
          <w:color w:val="000000"/>
        </w:rPr>
        <w:t>Validate privately, then explicitly apply the complete batch. Invalid, conflicting or unauthorized rows block the transaction; the MVP does not silently import a valid subset. Recheck grants, links and record revisions at apply time. The idempotency key binds team, actor, operation, payload hash and schema version. A stale preview or reused key with a different payload returns 409 without business writes. Confirmed metadata changes create revisions without clearing transcript review history.</w:t>
      </w:r>
    </w:p>
    <w:p>
      <w:pPr>
        <w:pStyle w:val="Heading2"/>
      </w:pPr>
      <w:r>
        <w:rPr>
          <w:color w:val="000000"/>
        </w:rPr>
        <w:t>Durable processing</w:t>
      </w:r>
    </w:p>
    <w:p>
      <w:pPr/>
      <w:r>
        <w:rPr>
          <w:color w:val="000000"/>
        </w:rPr>
        <w:t>PostgreSQL owns job state; Redis carries job-ID notifications. Commit ProcessingJob and JobOutbox together, then return 202. A dispatcher and recovery scan republish due jobs and recover expired leases. Conditional claims use a lease token and a shared budget of three processing attempts, including crash recovery. Dispatch retries do not consume that budget. Duplicate delivery cannot create another result or reset attempts. Permanent errors fail without automatic retry; an authorized manual retry creates a new audited generation. Commit the complete result and completed status together.</w:t>
      </w:r>
    </w:p>
    <w:p>
      <w:pPr>
        <w:pStyle w:val="Heading2"/>
      </w:pPr>
      <w:r>
        <w:rPr>
          <w:color w:val="000000"/>
        </w:rPr>
        <w:t>Transcript and review integrity</w:t>
      </w:r>
    </w:p>
    <w:p>
      <w:pPr/>
      <w:r>
        <w:rPr>
          <w:color w:val="000000"/>
        </w:rPr>
        <w:t>A Call has zero or one current immutable TranscriptVersion, plus historic or candidate versions. Transcript or speaker-label edits create a new version with parent, actor/time, input checksum, model/configuration and timing lineage. Evidence binds team, call, version and valid segments. Review writes include expected version and item revision; stale writes return 409. New evidence starts in draft. Objections and next actions are reviewed separately. A worker result finishing after a human correction remains a candidate until explicitly promoted; it cannot silently replace the reviewed version.</w:t>
      </w:r>
    </w:p>
    <w:p>
      <w:pPr>
        <w:pStyle w:val="Heading2"/>
      </w:pPr>
      <w:r>
        <w:rPr>
          <w:color w:val="000000"/>
        </w:rPr>
        <w:t>Access on every path</w:t>
      </w:r>
    </w:p>
    <w:p>
      <w:pPr/>
      <w:r>
        <w:rPr>
          <w:color w:val="000000"/>
        </w:rPr>
        <w:t>Keep the four-role matrix, with no inherent administrator content access. Check action and record scope on lists, nested objects, jobs, retries, audio, review, export and deletion. Return 401 without authentication, 404 for invisible objects and 403 for forbidden actions on visible objects. A manager grant in one team cannot widen a salesperson grant in another. Stream audio through an authenticated proxy and recheck current access for stored exports and downloads. Workers receive job IDs and minimum storage permissions.</w:t>
      </w:r>
    </w:p>
    <w:p>
      <w:pPr>
        <w:pStyle w:val="Heading2"/>
        <w:pageBreakBefore/>
      </w:pPr>
      <w:r>
        <w:rPr>
          <w:color w:val="000000"/>
        </w:rPr>
        <w:t>Reporting cohorts</w:t>
      </w:r>
    </w:p>
    <w:p>
      <w:pPr/>
      <w:r>
        <w:rPr>
          <w:color w:val="000000"/>
        </w:rPr>
        <w:t>Authorize first. Sales start from distinct Deals, including no-call deals when all languages are selected. A language filter uses an existence test over authorized linked Calls, independent of the call-volume date window. Deal and call representative filters use their respective owners. Convert local date bounds to a half-open UTC interval [start, end). Closed sales use closed_at; call volume uses recorded_at; open pipeline is a current snapshot. Sum exact decimals by currency and expose missing-amount coverage. Export the same snapshot, filters, timezone, metric version and data/review revision.</w:t>
      </w:r>
    </w:p>
    <w:p>
      <w:pPr>
        <w:pStyle w:val="Heading2"/>
      </w:pPr>
      <w:r>
        <w:rPr>
          <w:color w:val="000000"/>
        </w:rPr>
        <w:t>Complete objection review</w:t>
      </w:r>
    </w:p>
    <w:p>
      <w:pPr/>
      <w:r>
        <w:rPr>
          <w:color w:val="000000"/>
        </w:rPr>
        <w:t>A reviewed call has completed objection review for its current transcript, including an explicit finding of no objections. One reviewed item does not complete a multilabel call review. Include reviewed negatives in the prevalence denominator and count a call at most once per category; an empty denominator is Not available. Next-action review is separate. Evidence changes or version promotion invalidate affected current completion, while historic approvals remain historic.</w:t>
      </w:r>
    </w:p>
    <w:p>
      <w:pPr>
        <w:pStyle w:val="Heading2"/>
      </w:pPr>
      <w:r>
        <w:rPr>
          <w:color w:val="000000"/>
        </w:rPr>
        <w:t>Deletion and recovery</w:t>
      </w:r>
    </w:p>
    <w:p>
      <w:pPr/>
      <w:r>
        <w:rPr>
          <w:color w:val="000000"/>
        </w:rPr>
        <w:t>Mark a call deleting and deny reads immediately. Persist cleanup, invalidate leases and reject late worker/review writes. Retry deletion across audio, all versions, items, revision text, temporary files, indexes and export caches. Content-free tombstones prevent silent resurrection by reimport and must be replayed before a restored backup becomes readable. Active cleanup is due within 24 hours and backup expiry within 30 days. Retention duration, permitted audio replacement and downloaded-copy handling still need an owner decision.</w:t>
      </w:r>
    </w:p>
    <w:p>
      <w:r>
        <w:rPr>
          <w:color w:val="000000"/>
        </w:rPr>
        <w:t>Reproduction  Run python3 scripts/profile_public_data.py; add --archive /path/to/bank-marketing.zip for offline input.</w:t>
      </w:r>
    </w:p>
    <w:p>
      <w:r>
        <w:rPr>
          <w:color w:val="000000"/>
        </w:rPr>
        <w:t>The reproduced profile contains 41,188 rows: 4,640 positive and 36,548 negative outcomes (Moro et al., 2014). Input hashes, unknown counts and the actual UTC run timestamp are in research/public_data_profile.json. The dataset has no audio or transcript join key.</w:t>
      </w:r>
    </w:p>
    <w:p>
      <w:pPr>
        <w:pStyle w:val="Heading1"/>
        <w:pageBreakBefore/>
      </w:pPr>
      <w:r>
        <w:rPr>
          <w:color w:val="000000"/>
        </w:rPr>
        <w:t>D Evaluation protocol</w:t>
      </w:r>
    </w:p>
    <w:p>
      <w:r>
        <w:rPr>
          <w:color w:val="000000"/>
        </w:rPr>
        <w:t>All model, performance and user-study results remain planned. Completed work comprises source checking, descriptive public-data profiling, document QA and synthetic UX checks. Proposed corpus: 60 authorized calls, 20 Russian, 20 Kazakh, 20 mixed; 2–15 minutes; ideally ≥4 representatives and several products. Record channel, noise, overlap, duration and sample rate. This is a feasibility target, not a power calculation.</w:t>
      </w:r>
    </w:p>
    <w:p>
      <w:r>
        <w:rPr>
          <w:color w:val="000000"/>
        </w:rPr>
        <w:t>Target 30 development, 10 validation and 20 test calls, subject to intact connected groups sharing a customer or any known speaker. One representative can connect many customers. Report achieved groups, calls and language coverage; four representatives may not support the intended allocation. Add independent groups or narrow the evaluation. Do not claim unseen-speaker performance if representatives overlap or identity is unknown. Freeze group IDs, hashes, scoring and tuning decisions.</w:t>
      </w:r>
    </w:p>
    <w:p>
      <w:pPr>
        <w:pStyle w:val="Heading2"/>
      </w:pPr>
      <w:r>
        <w:rPr>
          <w:color w:val="000000"/>
        </w:rPr>
        <w:t>Research questions and comparisons</w:t>
      </w:r>
    </w:p>
    <w:tbl>
      <w:tblPr>
        <w:tblW w:type="auto" w:w="0"/>
        <w:jc w:val="center"/>
        <w:tblLayout w:type="fixed"/>
        <w:tblLook w:firstColumn="1" w:firstRow="1" w:lastColumn="0" w:lastRow="0" w:noHBand="0" w:noVBand="1" w:val="04A0"/>
      </w:tblPr>
      <w:tblGrid>
        <w:gridCol w:w="2736"/>
        <w:gridCol w:w="7070"/>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Question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Baseline and evaluation</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Speech recognition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Selected local Whisper configuration versus smaller/faster local configuration; optional approved managed ASR. Per-language micro WER, per-call distributions and business-entity exact match.</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Evidence extraction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Rules versus schema-constrained model on the same gold/ASR calls. Six-label objection macro F1 and separate next-action event F1; source-grounded evidence precision, recall and empty-output rules.</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Exploratory outcome prediction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Only with adequate legitimate linked data: majority baseline, structured-only logistic regression, structured-plus-conversation model. Time/customer splits; PR-AUC primary, ROC-AUC/calibration secondary; validation-only threshold.</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Workflow usability</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Matched manual/prototype tasks, counterbalanced order; completion, elapsed time, errors, corrections and assistance. Small pilot supports feasibility observations only.</w:t>
            </w:r>
          </w:p>
        </w:tc>
      </w:tr>
    </w:tbl>
    <w:p>
      <w:pPr>
        <w:spacing w:line="60" w:lineRule="exact" w:after="80" w:before="0"/>
      </w:pPr>
      <w:r>
        <w:rPr>
          <w:color w:val="000000"/>
        </w:rPr>
      </w:r>
    </w:p>
    <w:p>
      <w:r>
        <w:rPr>
          <w:color w:val="000000"/>
        </w:rPr>
        <w:t>WER = (substitutions + deletions + insertions)/reference words. Corpus WER sums counts before division; report raw and normalized values and per-call distributions. Failed speech transcriptions receive an empty hypothesis and remain in failure counts. Empty-reference controls have undefined per-call WER; report inserted words and silence duration. Bootstrap paired outputs by independent customer/speaker groups, not correlated calls; show group counts and seed. With one or two groups, report descriptive results without a generalization interval. Sixty calls cannot establish reliable conversion prediction or causal sales uplift.</w:t>
      </w:r>
    </w:p>
    <w:p>
      <w:r>
        <w:rPr>
          <w:color w:val="000000"/>
        </w:rPr>
        <w:t>Provisional targets: Russian WER ≤25%, Kazakh ≤30%; mixed reported separately. Objection macro F1 ≥0.75 and next-action event F1 ≥0.75 are separate targets; raw source-grounded evidence precision ≥0.95. Report raw numeric errors separately from the zero-fabrication condition for human-reviewed release outputs. Empty output or absent language/class coverage cannot establish a full pass. Failure triggers narrower claims or documented revision, never selective removal of hard calls.</w:t>
      </w:r>
    </w:p>
    <w:p>
      <w:r>
        <w:rPr>
          <w:color w:val="000000"/>
        </w:rPr>
        <w:t>Freeze all six objection labels and zero_division=0; publish per-label TP/FP/FN, support and six binary kappa scores before adjudication. Match action events one-to-one by meaning within a call; duplicates/unmatched predictions are FP and missed gold events are FN. Compare owner/date fields separately. Align evidence through source time or original gold turns rather than identical segment IDs across ASR segmentations.</w:t>
      </w:r>
    </w:p>
    <w:p>
      <w:r>
        <w:rPr>
          <w:color w:val="000000"/>
        </w:rPr>
        <w:t>Evidence precision counts emitted items whose cited audio or adjudicated gold supports every asserted field, divided by all emitted items. An ASR transcript alone cannot establish truth. Missing or unrelated support is incorrect; with no output, precision is Not available and recall still exposes misses. Separate semantic event matching, ASR-text consistency and source grounding. Human correction is reported separately from model drafts.</w:t>
      </w:r>
    </w:p>
    <w:p>
      <w:r>
        <w:rPr>
          <w:color w:val="000000"/>
        </w:rPr>
        <w:t>Record model/runtime/configuration, hardware, alignment/decoding, audio properties, queue wait, latency, RTF and peak memory/VRAM. Report warm-up treatment and median/p95 over ≥20 runs. Dashboard reference: 10,000 deals/1,000 calls, 4 vCPU/8 GB, 100 requests, concurrency 5, p95 ≤2 s. Inference target: median RTF ≤1, p95 ≤2 on 10-minute recordings. Cloud comparisons disclose billed minutes/rounding.</w:t>
      </w:r>
    </w:p>
    <w:p>
      <w:r>
        <w:rPr>
          <w:color w:val="000000"/>
        </w:rPr>
        <w:t>Future integrated user tasks: import a 20-row CSV/manifest to queued state, correct an objection in a preprocessed 2-minute call, and explain filtered win rate. Target ≥4/5 users unassisted in 10 minutes excluding ASR waiting. Freeze equivalent A/B cases. Use four sequences: manual A/application B, application A/manual B, manual B/application A, application B/manual A; repeat the first for user five and disclose imbalance. Manual tools are a spreadsheet and timestamped transcript; compare correct links, objection/evidence and KPI explanation, reporting application-only queueing separately. The current sample-only mockup cannot pass the complete import, queue, authentication or user-study requirements. Full scoring details are in docs/verification_plan.md.</w:t>
      </w:r>
    </w:p>
    <w:p>
      <w:pPr>
        <w:pStyle w:val="Heading2"/>
      </w:pPr>
      <w:r>
        <w:rPr>
          <w:color w:val="000000"/>
        </w:rPr>
        <w:t>Backend contract verification</w:t>
      </w:r>
    </w:p>
    <w:p>
      <w:pPr/>
      <w:r>
        <w:rPr>
          <w:color w:val="000000"/>
        </w:rPr>
        <w:t>These are future acceptance scenarios, not executed backend tests. The 23 existing prototype checks exercise synthetic browser logic, including 180 filter combinations; they do not test PostgreSQL, authenticated APIs, workers or storage.</w:t>
      </w:r>
    </w:p>
    <w:tbl>
      <w:tblPr>
        <w:tblW w:type="auto" w:w="0"/>
        <w:jc w:val="center"/>
        <w:tblLayout w:type="fixed"/>
        <w:tblLook w:firstColumn="1" w:firstRow="1" w:lastColumn="0" w:lastRow="0" w:noHBand="0" w:noVBand="1" w:val="04A0"/>
      </w:tblPr>
      <w:tblGrid>
        <w:gridCol w:w="1944"/>
        <w:gridCol w:w="7704"/>
      </w:tblGrid>
      <w:tr>
        <w:trPr>
          <w:cantSplit/>
          <w:tblHeader w:val="true"/>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b/>
                <w:color w:val="000000"/>
                <w:sz w:val="18"/>
              </w:rPr>
              <w:t>Planned test</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b/>
                <w:color w:val="000000"/>
                <w:sz w:val="18"/>
              </w:rPr>
              <w:t>Scenario and expected evidence</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T01 / T11 / T12 / T17</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Exercise direct and nested paths for all four roles in two teams. Verify 401/403/404, scope-safe counts, team-bound combined roles and revoked audio/export access.</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T02 / T03</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Apply 100 valid rows, repeat and import concurrently. Assert stable IDs, exact insert/skip counts, same-team joins and whole-batch rollback for invalid, unauthorized or conflicting rows.</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T02</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Test confirmed updates with expected_revision, canonical UTC/decimal equivalence, preserved leading zeroes and review history. Stale previews or changed idempotency payloads yield 409; audio replacement remains blocked.</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T04</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Reject spoofed, undecodable, unauthorized, oversized or overlong uploads. Time a valid finalized upload separately; reconcile orphan objects after crashes and never enqueue invalid media.</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T05 / NFR06</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Crash after job/outbox commit but before publish; lose broker messages and duplicate dispatch. Recovery processes the same job without duplicate results or extra inference attempts.</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T05 / NFR06</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Crash before result commit, after commit before acknowledgement and after lease expiry. Verify atomic results, stale-token denial, permanent failure and the shared three-attempt budget.</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T06 / T08 / T09 / T18</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Reject evidence from another team, call or version and invalid times. Race reviewer writes; create new versions for edits; invalidate affected completion and keep next actions separate.</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T05 / T09</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Finish reprocessing after a human transcript correction. Preserve the current reviewed version, retain the new candidate and prevent duplicate versions on redelivery.</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T10 / T14</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Hand-calculate 20 deals with repeated/no calls, different owners, USD/KZT, missing amounts and boundary times. Test existence-based language cohorts and imported outcome authority.</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T12 / T18</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Compare export with the same dashboard revision and cohort. Check metadata, missing-amount coverage, formula neutralization and revoked access between creation and download.</w:t>
            </w:r>
          </w:p>
        </w:tc>
      </w:tr>
      <w:tr>
        <w:trPr>
          <w:cantSplit/>
        </w:trPr>
        <w:tc>
          <w:tcPr>
            <w:tcW w:type="dxa" w:w="194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T13</w:t>
            </w:r>
          </w:p>
        </w:tc>
        <w:tc>
          <w:tcPr>
            <w:tcW w:type="dxa" w:w="770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keepNext w:val="0"/>
              <w:spacing w:after="40" w:before="20" w:line="254" w:lineRule="auto"/>
            </w:pPr>
            <w:r>
              <w:rPr>
                <w:color w:val="000000"/>
                <w:sz w:val="18"/>
              </w:rPr>
              <w:t>Delete during processing, review and export. Deny reads immediately; fence late writes/reimports, resume interrupted cleanup, inspect 24-hour removal and 30-day backup expiry, and replay tombstones on restore.</w:t>
            </w:r>
          </w:p>
        </w:tc>
      </w:tr>
    </w:tbl>
    <w:p>
      <w:pPr>
        <w:pStyle w:val="Heading1"/>
        <w:pageBreakBefore/>
      </w:pPr>
      <w:r>
        <w:rPr>
          <w:color w:val="000000"/>
        </w:rPr>
        <w:t>E Backlog and risk register</w:t>
      </w:r>
    </w:p>
    <w:p>
      <w:r>
        <w:rPr>
          <w:color w:val="000000"/>
        </w:rPr>
        <w:t>The register maps the original W01–W15 planning labels to current YouTrack tasks. Responsibility assignments describe work areas; accepted contributions require their own change and review evidence. SASTT-1–SASTT-9 are due on 24 October; implementation epics follow this checkpoint.</w:t>
      </w:r>
    </w:p>
    <w:p>
      <w:pPr>
        <w:pStyle w:val="Heading2"/>
      </w:pPr>
      <w:r>
        <w:rPr>
          <w:color w:val="000000"/>
        </w:rPr>
        <w:t>Work item register</w:t>
      </w:r>
    </w:p>
    <w:tbl>
      <w:tblPr>
        <w:tblW w:type="auto" w:w="0"/>
        <w:jc w:val="center"/>
        <w:tblLayout w:type="fixed"/>
        <w:tblLook w:firstColumn="1" w:firstRow="1" w:lastColumn="0" w:lastRow="0" w:noHBand="0" w:noVBand="1" w:val="04A0"/>
      </w:tblPr>
      <w:tblGrid>
        <w:gridCol w:w="1584"/>
        <w:gridCol w:w="3672"/>
        <w:gridCol w:w="3182"/>
        <w:gridCol w:w="1368"/>
      </w:tblGrid>
      <w:tr>
        <w:trPr>
          <w:cantSplit/>
          <w:tblHeader w:val="true"/>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b/>
                <w:color w:val="000000"/>
                <w:sz w:val="18"/>
              </w:rPr>
              <w:t>ID / owner / priority</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Task and completion evidence</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Due / current status</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Depends on</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W01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SASTT-1: confirm scope, users and responsibilities; record the team decision.</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team acceptance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W02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SASTT-1: review 15 scientific sources and retain individual claim/relevance notes.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sources checked; team review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W01</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W03 Dameli Critical</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SASTT-2: confirm relevance-evidence route; collect user/client findings if required and map to requirements.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local evidence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W01</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W04 Bekzat Critical</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SASTT-3: confirm recording rights, retention and legitimate call–deal links before real audio processing.</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authorization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W03</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W05 Bekzat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SASTT-4: review contracts, import/time/outcome rules and acceptance scenarios.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PR 5 merged; acceptance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W01</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W06 Bekzat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SASTT-4: review diagrams, 26 requirements and technical decisions; retain findings.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8 findings recorded; Dameli review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W05</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W07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SASTT-6: review language sampling, annotation, split integrity and measurement conditions.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protocol prepared; Bekzat review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W04</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W08 Dameli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SASTT-5: inspect prototype import, evidence, review, keyboard and mobile behavior.</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technical checks passed; acceptance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W03</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W09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SASTT-6: reproduce public-data counts/hashes and retain no-audio/leakage limits.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profile reproduced; acceptance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W10 Bekzat Critical</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SASTT-7: obtain actual supervisor comments and record decisions and resulting revisions.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feedback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W02, W06–08</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W11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SASTT-8: verify team/reviewer access and task–branch–PR–review links.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reviewer access unverified</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W01</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W12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SASTT-9: audit all 11 parts, tag the submitted commit and rehearse with all teammates.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24 Oct; final acceptance/tag/rehearsal pending</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W10, W11</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W13 Bekzat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Implement scoped API/CSV; FR01–03/14 and relevant NFR checks.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After checkpoint; planned</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W05, W06</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W14 Diasbek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Implement speech/extraction worker and evaluator; FR04–06/08/15; versioned evidence.</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After checkpoint; planned</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W04, W07</w:t>
            </w:r>
          </w:p>
        </w:tc>
      </w:tr>
      <w:tr>
        <w:trPr>
          <w:cantSplit/>
        </w:trPr>
        <w:tc>
          <w:tcPr>
            <w:tcW w:type="dxa" w:w="1584"/>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jc w:val="left"/>
            </w:pPr>
            <w:r>
              <w:rPr>
                <w:color w:val="000000"/>
                <w:sz w:val="18"/>
              </w:rPr>
              <w:t>W15 Dameli Major</w:t>
            </w:r>
          </w:p>
        </w:tc>
        <w:tc>
          <w:tcPr>
            <w:tcW w:type="dxa" w:w="367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Build frontend/API integration for review, dashboard, search and export; UI checks.</w:t>
            </w:r>
          </w:p>
        </w:tc>
        <w:tc>
          <w:tcPr>
            <w:tcW w:type="dxa" w:w="3182"/>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After checkpoint; planned</w:t>
            </w:r>
          </w:p>
        </w:tc>
        <w:tc>
          <w:tcPr>
            <w:tcW w:type="dxa" w:w="1368"/>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W08, W13, W14</w:t>
            </w:r>
          </w:p>
        </w:tc>
      </w:tr>
    </w:tbl>
    <w:p>
      <w:pPr>
        <w:spacing w:line="60" w:lineRule="exact" w:after="80" w:before="0"/>
      </w:pPr>
      <w:r>
        <w:rPr>
          <w:color w:val="000000"/>
        </w:rPr>
      </w:r>
    </w:p>
    <w:p>
      <w:pPr>
        <w:pStyle w:val="Heading2"/>
      </w:pPr>
      <w:r>
        <w:rPr>
          <w:color w:val="000000"/>
        </w:rPr>
        <w:t>Risk register</w:t>
      </w:r>
    </w:p>
    <w:tbl>
      <w:tblPr>
        <w:tblW w:type="auto" w:w="0"/>
        <w:jc w:val="center"/>
        <w:tblLayout w:type="fixed"/>
        <w:tblLook w:firstColumn="1" w:firstRow="1" w:lastColumn="0" w:lastRow="0" w:noHBand="0" w:noVBand="1" w:val="04A0"/>
      </w:tblPr>
      <w:tblGrid>
        <w:gridCol w:w="2736"/>
        <w:gridCol w:w="7070"/>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ID / owner / impact</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Trigger → response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R01 Bekzat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No agreement by 23 Oct → synthetic UX/public ASR separately; no sales-gain claim.</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R02 Diasbek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Language/entity errors → stratified pilot, correction and narrower support.</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R03 Diasbek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Invented objection/amount → source evidence, human approval, reject unsupported text.</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R04 Bekzat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Future features/customer overlap → prediction cutoff and customer/time split.</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R05 Bekzat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Private data/secrets exposed → restricted storage, role tests, minimized exports/deletion.</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R06 Diasbek Medium</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Memory/RTF exceeded → smaller quantized model, queueing, capped corpus, hardware disclosure.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R07 Dameli High</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Evidence absent 23 Oct → real collection/review; keep pending, never backdate.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R08 Dameli Medium</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Vendor facts change → recheck official pages; separate claims from tested behavior.</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R09 Bekzat Medium</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Live coaching/staff scoring expands scope → logged change/capacity review; prioritize post-call MVP.</w:t>
            </w:r>
          </w:p>
        </w:tc>
      </w:tr>
    </w:tbl>
    <w:p>
      <w:pPr>
        <w:spacing w:line="60" w:lineRule="exact" w:after="80" w:before="0"/>
      </w:pPr>
      <w:r>
        <w:rPr>
          <w:color w:val="000000"/>
        </w:rPr>
      </w:r>
    </w:p>
    <w:p>
      <w:r>
        <w:rPr>
          <w:color w:val="000000"/>
        </w:rPr>
        <w:t>Status on 23 October 2026  PRs 2–6 are merged at https://github.com/ddigreen/sales-analytics-stt. Bekzat published PR 5 and has collaborator access; Diasbek reviewed the design amendment. Dameli’s substantive review remains pending for SASTT-4 acceptance. Demo: https://ddigreen.github.io/vocasales-demo/. YouTrack has 12 assigned Open issues at https://sales-analytics-stt-team.youtrack.cloud/projects/SASTT. Supervisor feedback, the relevance-evidence decision, reviewer access and the fixed pre-defense-1 tag remain pending.</w:t>
      </w:r>
    </w:p>
    <w:p>
      <w:pPr>
        <w:pStyle w:val="Heading1"/>
        <w:pageBreakBefore/>
      </w:pPr>
      <w:r>
        <w:rPr>
          <w:color w:val="000000"/>
        </w:rPr>
        <w:t>F Interview and supervisor forms</w:t>
      </w:r>
    </w:p>
    <w:p>
      <w:r>
        <w:rPr>
          <w:color w:val="000000"/>
        </w:rPr>
        <w:t>Prepared instruments only: no interviews, meetings, findings or approvals are recorded. Recruit 3–5 process representatives: manager, salesperson, analyst/CRM owner, IT/data owner; optional contrasting salesperson. Allow 25–40 minutes plus optional walkthrough. Record role gaps and distinguish observed facts from self-report.</w:t>
      </w:r>
    </w:p>
    <w:p>
      <w:pPr>
        <w:pStyle w:val="Heading2"/>
      </w:pPr>
      <w:r>
        <w:rPr>
          <w:color w:val="000000"/>
        </w:rPr>
        <w:t>Interview record</w:t>
      </w:r>
    </w:p>
    <w:tbl>
      <w:tblPr>
        <w:tblW w:type="auto" w:w="0"/>
        <w:jc w:val="center"/>
        <w:tblLayout w:type="fixed"/>
        <w:tblLook w:firstColumn="1" w:firstRow="1" w:lastColumn="0" w:lastRow="0" w:noHBand="0" w:noVBand="1" w:val="04A0"/>
      </w:tblPr>
      <w:tblGrid>
        <w:gridCol w:w="2736"/>
        <w:gridCol w:w="7070"/>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Form</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Fields to complete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Session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INT-__ / participant code / role-context / actual date-time-zone-duration / language / interviewer-note-taker / restricted notes location.</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Separate consent choices</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Participation / notes / optional recording / anonymized quotation / later contact / permitted uses. Interview consent does not authorize customer-audio reuse.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Evidence→requirement</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Evidence ID / exact anonymized fact-quotation / source location-context / observed,self-reported,assumption,validated / interpretation / requirement ID / owner confirmation-date.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KPI confirmation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Decision / formula / numerator-denominator-unit-window / inclusions / event-time-zone / source-fields-join / duplicates-missing-refunds-currency / outcome authority / confirming owner-date.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Walkthrough observation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Task / start-end / completion / assistance-errors / participant comment / observer note / observed versus estimated time.</w:t>
            </w:r>
          </w:p>
        </w:tc>
      </w:tr>
    </w:tbl>
    <w:p>
      <w:pPr>
        <w:spacing w:line="60" w:lineRule="exact" w:after="80" w:before="0"/>
      </w:pPr>
      <w:r>
        <w:rPr>
          <w:color w:val="000000"/>
        </w:rPr>
      </w:r>
    </w:p>
    <w:p>
      <w:r>
        <w:rPr>
          <w:color w:val="000000"/>
        </w:rPr>
        <w:t>Neutral prompts: describe a recent sale and its tools; identify conflicting-record authority; explain language switching and recognition difficulties; demonstrate current reporting burden; show a deidentified missed objection/action; identify unacceptable errors and required human decisions; define the smallest useful observable improvement. Retain conflicting accounts; confirm interpretations rather than treating requests as validated needs.</w:t>
      </w:r>
    </w:p>
    <w:p>
      <w:r>
        <w:rPr>
          <w:color w:val="000000"/>
        </w:rPr>
        <w:t>Supervisor: Orynbek Alibek Sarsenbekuly; confirm official spelling. Review pending. SUP-01 scope; SUP-02 literature; SUP-03 gap/questions; SUP-04 stakeholder collection; SUP-05 architecture/data/languages; SUP-06 KPIs/evaluation; SUP-07 responsibilities; SUP-08 repository exclusions. IDs name planned topics, not completed evidence.</w:t>
      </w:r>
    </w:p>
    <w:p>
      <w:pPr>
        <w:pStyle w:val="Heading2"/>
      </w:pPr>
      <w:r>
        <w:rPr>
          <w:color w:val="000000"/>
        </w:rPr>
        <w:t>Supervisor review record</w:t>
      </w:r>
    </w:p>
    <w:tbl>
      <w:tblPr>
        <w:tblW w:type="auto" w:w="0"/>
        <w:jc w:val="center"/>
        <w:tblLayout w:type="fixed"/>
        <w:tblLook w:firstColumn="1" w:firstRow="1" w:lastColumn="0" w:lastRow="0" w:noHBand="0" w:noVBand="1" w:val="04A0"/>
      </w:tblPr>
      <w:tblGrid>
        <w:gridCol w:w="2736"/>
        <w:gridCol w:w="7070"/>
      </w:tblGrid>
      <w:tr>
        <w:trPr>
          <w:cantSplit/>
          <w:tblHeader w:val="true"/>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Record</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b/>
                <w:color w:val="000000"/>
                <w:sz w:val="18"/>
              </w:rPr>
              <w:t>Fields to complete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Meeting</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Actual date/time/zone/duration / attendees/roles / format / artifact versions / permitted evidence reference / note-taker / unresolved issues / next agreed follow-up.</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Decision and revision</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SUP-ID / exact supervisor comment / decision or rationale / change-ID / owner / due date / completion evidence / verifying reviewer-date.</w:t>
            </w:r>
          </w:p>
        </w:tc>
      </w:tr>
      <w:tr>
        <w:trPr>
          <w:cantSplit/>
        </w:trPr>
        <w:tc>
          <w:tcPr>
            <w:tcW w:type="dxa" w:w="2736"/>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Outcome</w:t>
            </w:r>
          </w:p>
        </w:tc>
        <w:tc>
          <w:tcPr>
            <w:tcW w:type="dxa" w:w="7070"/>
            <w:vAlign w:val="center"/>
            <w:shd w:fill="FFFFFF" w:val="clear" w:color="000000"/>
            <w:tcMar>
              <w:top w:w="70" w:type="dxa"/>
              <w:left w:w="80" w:type="dxa"/>
              <w:bottom w:w="70" w:type="dxa"/>
              <w:right w:w="80" w:type="dxa"/>
            </w:tcMar>
            <w:tcBorders>
              <w:top w:val="single" w:sz="4" w:color="000000"/>
              <w:left w:val="single" w:sz="4" w:color="000000"/>
              <w:bottom w:val="single" w:sz="4" w:color="000000"/>
              <w:right w:val="single" w:sz="4" w:color="000000"/>
            </w:tcBorders>
          </w:tcPr>
          <w:p>
            <w:pPr>
              <w:spacing w:after="40" w:before="20" w:line="254" w:lineRule="auto"/>
            </w:pPr>
            <w:r>
              <w:rPr>
                <w:color w:val="000000"/>
                <w:sz w:val="18"/>
              </w:rPr>
              <w:t>Review occurred / scope approved / conditions / confirmation method / actual confirmation date / authorized acknowledgment if required.</w:t>
            </w:r>
          </w:p>
        </w:tc>
      </w:tr>
    </w:tbl>
    <w:p>
      <w:pPr>
        <w:spacing w:line="60" w:lineRule="exact" w:after="80" w:before="0"/>
      </w:pPr>
      <w:r>
        <w:rPr>
          <w:color w:val="000000"/>
        </w:rPr>
      </w:r>
    </w:p>
    <w:p>
      <w:r>
        <w:rPr>
          <w:color w:val="000000"/>
        </w:rPr>
        <w:t>Keep pending status when collection/review is unavailable before cutoff. Do not fill blank forms with hypothetical findings. Store contacts, actual business files and authorization records separately under approved restricted access.</w:t>
      </w:r>
    </w:p>
    <w:p>
      <w:pPr>
        <w:pStyle w:val="Heading2"/>
      </w:pPr>
      <w:r>
        <w:rPr>
          <w:color w:val="000000"/>
        </w:rPr>
        <w:t>Prototype preview</w:t>
      </w:r>
    </w:p>
    <w:p>
      <w:pPr>
        <w:keepNext/>
      </w:pPr>
      <w:r>
        <w:rPr>
          <w:color w:val="000000"/>
        </w:rPr>
        <w:drawing>
          <wp:inline xmlns:a="http://schemas.openxmlformats.org/drawingml/2006/main" xmlns:pic="http://schemas.openxmlformats.org/drawingml/2006/picture">
            <wp:extent cx="6080760" cy="3878674"/>
            <wp:docPr id="1" name="Picture 1"/>
            <wp:cNvGraphicFramePr>
              <a:graphicFrameLocks noChangeAspect="1"/>
            </wp:cNvGraphicFramePr>
            <a:graphic>
              <a:graphicData uri="http://schemas.openxmlformats.org/drawingml/2006/picture">
                <pic:pic>
                  <pic:nvPicPr>
                    <pic:cNvPr id="0" name="ux_preview.png"/>
                    <pic:cNvPicPr/>
                  </pic:nvPicPr>
                  <pic:blipFill>
                    <a:blip r:embed="rId39">
                      <a:biLevel thresh="70000"/>
                    </a:blip>
                    <a:stretch>
                      <a:fillRect/>
                    </a:stretch>
                  </pic:blipFill>
                  <pic:spPr>
                    <a:xfrm>
                      <a:off x="0" y="0"/>
                      <a:ext cx="6080760" cy="3878674"/>
                    </a:xfrm>
                    <a:prstGeom prst="rect"/>
                  </pic:spPr>
                </pic:pic>
              </a:graphicData>
            </a:graphic>
          </wp:inline>
        </w:drawing>
      </w:r>
    </w:p>
    <w:p>
      <w:pPr>
        <w:pStyle w:val="Caption"/>
      </w:pPr>
      <w:r>
        <w:rPr>
          <w:color w:val="000000"/>
        </w:rPr>
        <w:t>Synthetic dashboard preview. Open prototype/index.html for the interactive import, call-review, evidence and retry examples.</w:t>
      </w:r>
    </w:p>
    <w:p>
      <w:r>
        <w:rPr>
          <w:color w:val="000000"/>
        </w:rPr>
        <w:t>The fixture separates eight calls from seven CRM deals. Closed metrics use closed_at; call counts use recorded_at; open pipeline is a current snapshot. The role switch and revision trail illustrate interaction only. They do not implement authentication or persistent storage.</w:t>
      </w:r>
    </w:p>
    <w:p>
      <w:pPr>
        <w:pStyle w:val="Heading1"/>
        <w:pageBreakBefore/>
      </w:pPr>
      <w:r>
        <w:rPr>
          <w:color w:val="000000"/>
        </w:rPr>
        <w:t>G Official comparison evidence</w:t>
      </w:r>
    </w:p>
    <w:p>
      <w:r>
        <w:rPr>
          <w:color w:val="000000"/>
        </w:rPr>
        <w:t>The matrices below retain four systems, eight comparison criteria and three alternatives for each of four technology decisions. Source keys in the evidence notes are internal register IDs. Formal citations and the alphabetized References use APA 7; vendor documentation is not independent performance evidence.</w:t>
      </w:r>
    </w:p>
    <w:tbl>
      <w:tblPr>
        <w:tblW w:type="auto" w:w="0"/>
        <w:jc w:val="center"/>
        <w:tblLayout w:type="fixed"/>
        <w:tblLook w:firstColumn="1" w:firstRow="1" w:lastColumn="0" w:lastRow="0" w:noHBand="0" w:noVBand="1" w:val="04A0"/>
      </w:tblPr>
      <w:tblGrid>
        <w:gridCol w:w="1253"/>
        <w:gridCol w:w="2160"/>
        <w:gridCol w:w="2160"/>
        <w:gridCol w:w="2160"/>
        <w:gridCol w:w="2160"/>
      </w:tblGrid>
      <w:tr>
        <w:trPr>
          <w:cantSplit/>
          <w:tblHeader w:val="true"/>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b/>
                <w:color w:val="000000"/>
                <w:sz w:val="17"/>
              </w:rPr>
              <w:t>Criterion</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Gong</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Salesloft Conversation Intelligence</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HubSpot Conversation Intelligence</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Dynamics 365 Sales CI</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1 Capture</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Calls and meetings (Gong, n.d.)</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Customer calls and announced mobile capture (Salesloft,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Calling and supported conferencing integrations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Teams calls and meetings (Microsoft, 2026a)</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2 Transcript review</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Speakers search and timestamps (Gong, 2026d)</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Call review with transcript (Salesloft,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Search speaker tracks and comments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Transcript timeline comments and translation (Microsoft, 2025)</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3 Sales record linkage</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Salesforce HubSpot and Dynamics connectors (Gong, 2026c)</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Salesforce fully supported in the reviewed CI integration guide (Salesloft, 2026d).</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Contact company deal and ticket associations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Summaries logged to CRM records (Microsoft, 2026a)</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4 Derived insights</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Objections topics competitors and summaries (Gong, n.d.)</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Sentiment objections summaries and actions (Salesloft,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Decisions sentiment next steps and terms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Actions keywords sentiment and questions vary by language (Microsoft, 2026c)</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5 Coaching</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Scorecards and recommendations (Gong, n.d.)</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Live coaching and automatic scoring announced (Salesloft,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Comments excerpts and playlists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Manager review and editable summaries (Microsoft, 2026a)</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6 Aggregate analysis</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Team statistics and topics (Gong,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Topics and filters across calls; cross-call trends announced (Salesloft, n.d.-b,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Call filters and Enterprise term reporting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Team and seller dashboards (Microsoft, 2026a, 2026d)</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7 Relevant languages</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Russian and Kazakh listed (Gong,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Russian in legacy guide; Kazakh and new-release parity unverified (Salesloft, 2026c)</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Russian and Kazakh listed (HubSpot, 2026a)</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Russian and Kazakh not listed in reviewed CI table (Microsoft, 2026c)</w:t>
            </w:r>
          </w:p>
        </w:tc>
      </w:tr>
      <w:tr>
        <w:trPr>
          <w:cantSplit/>
        </w:trPr>
        <w:tc>
          <w:tcPr>
            <w:tcW w:type="dxa" w:w="1253"/>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8 Access conditions</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Foundation license plus application and seat rules (Gong, 2026e)</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Salesloft and Clari Copilot subscriptions, CI contract/seat entitlement and enabled Team Access; AI feature controls also apply (Salesloft, n.d.-b,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Professional or Enterprise seats; Enterprise term reporting (HubSpot, 2026b)</w:t>
            </w:r>
          </w:p>
        </w:tc>
        <w:tc>
          <w:tcPr>
            <w:tcW w:type="dxa" w:w="216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Eligible license setup and region/language rules (Microsoft, 2026a, 2026b)</w:t>
            </w:r>
          </w:p>
        </w:tc>
      </w:tr>
    </w:tbl>
    <w:p>
      <w:pPr>
        <w:pStyle w:val="Heading2"/>
        <w:pageBreakBefore/>
      </w:pPr>
      <w:r>
        <w:rPr>
          <w:color w:val="000000"/>
        </w:rPr>
        <w:t>Technology alternatives</w:t>
      </w:r>
    </w:p>
    <w:tbl>
      <w:tblPr>
        <w:tblW w:type="auto" w:w="0"/>
        <w:jc w:val="center"/>
        <w:tblLayout w:type="fixed"/>
        <w:tblLook w:firstColumn="1" w:firstRow="1" w:lastColumn="0" w:lastRow="0" w:noHBand="0" w:noVBand="1" w:val="04A0"/>
      </w:tblPr>
      <w:tblGrid>
        <w:gridCol w:w="1080"/>
        <w:gridCol w:w="2016"/>
        <w:gridCol w:w="2016"/>
        <w:gridCol w:w="2016"/>
        <w:gridCol w:w="2765"/>
      </w:tblGrid>
      <w:tr>
        <w:trPr>
          <w:cantSplit/>
          <w:tblHeader w:val="true"/>
        </w:trPr>
        <w:tc>
          <w:tcPr>
            <w:tcW w:type="dxa" w:w="108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b/>
                <w:color w:val="000000"/>
                <w:sz w:val="17"/>
              </w:rPr>
              <w:t>Decision</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Alternative A</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Alternative B</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Alternative C</w:t>
            </w:r>
          </w:p>
        </w:tc>
        <w:tc>
          <w:tcPr>
            <w:tcW w:type="dxa" w:w="2765"/>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b/>
                <w:color w:val="000000"/>
                <w:sz w:val="17"/>
              </w:rPr>
              <w:t>Proposed choice and reason</w:t>
            </w:r>
          </w:p>
        </w:tc>
      </w:tr>
      <w:tr>
        <w:trPr>
          <w:cantSplit/>
        </w:trPr>
        <w:tc>
          <w:tcPr>
            <w:tcW w:type="dxa" w:w="108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Backend</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FastAPI: typed validation and OpenAPI; data/admin structure added separately (FastAPI, n.d.-b)</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Django: ORM and an integrated admin interface (Django Software Foundation, n.d.)</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NestJS: TypeScript modules; Python inference usually separate (NestJS, n.d.)</w:t>
            </w:r>
          </w:p>
        </w:tc>
        <w:tc>
          <w:tcPr>
            <w:tcW w:type="dxa" w:w="2765"/>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FastAPI keeps API and speech/evaluation tooling in Python. Revisit if team experience favours another framework.</w:t>
            </w:r>
          </w:p>
        </w:tc>
      </w:tr>
      <w:tr>
        <w:trPr>
          <w:cantSplit/>
        </w:trPr>
        <w:tc>
          <w:tcPr>
            <w:tcW w:type="dxa" w:w="108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Database</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PostgreSQL: explicit relationships, constraints and JSONB (PostgreSQL Global Development Group, n.d.-a, n.d.-b)</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SQLite: simple embedded setup; single writer (SQLite, n.d.)</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MongoDB: document flexibility; links/access patterns require deliberate design (MongoDB, n.d.)</w:t>
            </w:r>
          </w:p>
        </w:tc>
        <w:tc>
          <w:tcPr>
            <w:tcW w:type="dxa" w:w="2765"/>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PostgreSQL suits shared deal/call relationships and versioned metadata. SQLite is reasonable for an offline single-user demo.</w:t>
            </w:r>
          </w:p>
        </w:tc>
      </w:tr>
      <w:tr>
        <w:trPr>
          <w:cantSplit/>
        </w:trPr>
        <w:tc>
          <w:tcPr>
            <w:tcW w:type="dxa" w:w="108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Speech recognition</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Local Whisper: versioned multilingual models; requires suitable compute (OpenAI, n.d.)</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Azure Speech: managed batch/real-time options; language/region conditions (Microsoft, 2026e)</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Google Cloud STT: managed batch processing and language/model matrix (Google Cloud, 2026a, 2026b)</w:t>
            </w:r>
          </w:p>
        </w:tc>
        <w:tc>
          <w:tcPr>
            <w:tcW w:type="dxa" w:w="2765"/>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Local Whisper is the baseline. Choose size after measuring quality, speed and memory; retain an adapter for a permitted cloud comparison.</w:t>
            </w:r>
          </w:p>
        </w:tc>
      </w:tr>
      <w:tr>
        <w:trPr>
          <w:cantSplit/>
        </w:trPr>
        <w:tc>
          <w:tcPr>
            <w:tcW w:type="dxa" w:w="1080"/>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jc w:val="left"/>
            </w:pPr>
            <w:r>
              <w:rPr>
                <w:rFonts w:ascii="Arial" w:hAnsi="Arial"/>
                <w:color w:val="000000"/>
                <w:sz w:val="17"/>
              </w:rPr>
              <w:t>Job processing</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Synchronous request: few components, but the user waits</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FastAPI BackgroundTasks: in-process work after the response (FastAPI, n.d.-a)</w:t>
            </w:r>
          </w:p>
        </w:tc>
        <w:tc>
          <w:tcPr>
            <w:tcW w:type="dxa" w:w="2016"/>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Celery with a broker: separate workers, states and retry mechanisms (Celery, n.d.)</w:t>
            </w:r>
          </w:p>
        </w:tc>
        <w:tc>
          <w:tcPr>
            <w:tcW w:type="dxa" w:w="2765"/>
            <w:vAlign w:val="center"/>
            <w:shd w:fill="FFFFFF" w:val="clear" w:color="000000"/>
            <w:tcMar>
              <w:top w:w="70" w:type="dxa"/>
              <w:left w:w="80" w:type="dxa"/>
              <w:bottom w:w="70" w:type="dxa"/>
              <w:right w:w="80" w:type="dxa"/>
              <w:top w:w="35" w:type="dxa"/>
              <w:bottom w:w="35" w:type="dxa"/>
            </w:tcMar>
            <w:tcBorders>
              <w:top w:val="single" w:sz="4" w:color="000000"/>
              <w:left w:val="single" w:sz="4" w:color="000000"/>
              <w:bottom w:val="single" w:sz="4" w:color="000000"/>
              <w:right w:val="single" w:sz="4" w:color="000000"/>
            </w:tcBorders>
          </w:tcPr>
          <w:p>
            <w:pPr>
              <w:spacing w:after="20" w:before="0" w:line="247" w:lineRule="auto"/>
            </w:pPr>
            <w:r>
              <w:rPr>
                <w:rFonts w:ascii="Arial" w:hAnsi="Arial"/>
                <w:color w:val="000000"/>
                <w:sz w:val="17"/>
              </w:rPr>
              <w:t>Celery/Redis separates workers from the API. The proposed PostgreSQL outbox, leases and recovery scan govern durable application state; validate the protocol during integration.</w:t>
            </w:r>
          </w:p>
        </w:tc>
      </w:tr>
    </w:tbl>
    <w:p>
      <w:pPr>
        <w:keepLines/>
        <w:spacing w:after="80"/>
      </w:pPr>
      <w:r>
        <w:rPr>
          <w:color w:val="000000"/>
        </w:rPr>
        <w:t>G1  Gong (n.d.). Conversation intelligence software that turns every call into revenue. Vendor capability statement; no measured performance accepted.</w:t>
      </w:r>
    </w:p>
    <w:p>
      <w:pPr>
        <w:keepLines/>
        <w:spacing w:after="80"/>
      </w:pPr>
      <w:r>
        <w:rPr>
          <w:color w:val="000000"/>
        </w:rPr>
        <w:t>G2  Gong (2026d). Explore call content. Translated-call transcripts are not searchable according to this guide.</w:t>
      </w:r>
    </w:p>
    <w:p>
      <w:pPr>
        <w:keepLines/>
        <w:spacing w:after="80"/>
      </w:pPr>
      <w:r>
        <w:rPr>
          <w:color w:val="000000"/>
        </w:rPr>
        <w:t>G3  Gong (2026c). CRM integrations. Specific capabilities vary by connector.</w:t>
      </w:r>
    </w:p>
    <w:p>
      <w:pPr>
        <w:keepLines/>
        <w:spacing w:after="80"/>
      </w:pPr>
      <w:r>
        <w:rPr>
          <w:color w:val="000000"/>
        </w:rPr>
        <w:t>G4  Gong (2026b). Analyze team performance. Statistics are observational rather than causal evidence of sales improvement.</w:t>
      </w:r>
    </w:p>
    <w:p>
      <w:pPr>
        <w:keepLines/>
        <w:spacing w:after="80"/>
      </w:pPr>
      <w:r>
        <w:rPr>
          <w:color w:val="000000"/>
        </w:rPr>
        <w:t>G5  Gong (2026a). About language support in Gong. Listing a language does not establish accuracy on local mixed-language calls.</w:t>
      </w:r>
    </w:p>
    <w:p>
      <w:pPr>
        <w:keepLines/>
        <w:spacing w:after="80"/>
      </w:pPr>
      <w:r>
        <w:rPr>
          <w:color w:val="000000"/>
        </w:rPr>
        <w:t>G6  Gong (2026e). Plans and seats. No exact price or contract terms verified.</w:t>
      </w:r>
    </w:p>
    <w:p>
      <w:pPr>
        <w:keepLines/>
        <w:spacing w:after="80"/>
      </w:pPr>
      <w:r>
        <w:rPr>
          <w:color w:val="000000"/>
        </w:rPr>
        <w:t>S1  Salesloft (2026a). Clari + Salesloft defines the next era of AI conversation intelligence, turning buyer signals into revenue actions. Vendor announcement; rollout/package availability requires confirmation.</w:t>
      </w:r>
    </w:p>
    <w:p>
      <w:pPr>
        <w:keepLines/>
        <w:spacing w:after="80"/>
      </w:pPr>
      <w:r>
        <w:rPr>
          <w:color w:val="000000"/>
        </w:rPr>
        <w:t>S2  Salesloft (2026b). Conversation Intelligence: Call review page UI reference. Search index exposed substantive support text; direct page rendered CSS/loading error.</w:t>
      </w:r>
    </w:p>
    <w:p>
      <w:pPr>
        <w:keepLines/>
        <w:spacing w:after="80"/>
      </w:pPr>
      <w:r>
        <w:rPr>
          <w:color w:val="000000"/>
        </w:rPr>
        <w:t>S3  Salesloft (2026d). Integrate Salesforce with Conversation Intelligence. Indexed official text gives September 30, 2026; direct retrieval remained limited. The fully supported-CRM statement applies to this integration.</w:t>
      </w:r>
    </w:p>
    <w:p>
      <w:pPr>
        <w:keepLines/>
        <w:spacing w:after="80"/>
      </w:pPr>
      <w:r>
        <w:rPr>
          <w:color w:val="000000"/>
        </w:rPr>
        <w:t>S4  Salesloft (2026e). Set up topics and filters in Conversation Intelligence. Historical source retained; not freshly verified on 23 October and not relied on for the revised aggregate/access claims.</w:t>
      </w:r>
    </w:p>
    <w:p>
      <w:pPr>
        <w:keepLines/>
        <w:spacing w:after="80"/>
      </w:pPr>
      <w:r>
        <w:rPr>
          <w:color w:val="000000"/>
        </w:rPr>
        <w:t>S5  Salesloft (2026c). Conversations transcripts. Kazakh not listed; old/new unified product parity not verified. Do not state unsupported.</w:t>
      </w:r>
    </w:p>
    <w:p>
      <w:pPr>
        <w:keepLines/>
        <w:spacing w:after="80"/>
      </w:pPr>
      <w:r>
        <w:rPr>
          <w:color w:val="000000"/>
        </w:rPr>
        <w:t>S6  Salesloft (n.d.-a). AI-powered conversational intelligence. Conflicts with longer legacy support language list; avoided assigning a language count to current unified product.</w:t>
      </w:r>
    </w:p>
    <w:p>
      <w:pPr/>
      <w:r>
        <w:rPr>
          <w:color w:val="000000"/>
        </w:rPr>
        <w:t>S7  Salesloft (n.d.-b). Conversation intelligence in Salesloft. Official indexed content supports integrated-product access and topic filtering. Direct retrieval returned a loading/CSS error; no reliable page date or authenticated feature test was available.</w:t>
      </w:r>
    </w:p>
    <w:p>
      <w:pPr/>
      <w:r>
        <w:rPr>
          <w:color w:val="000000"/>
        </w:rPr>
        <w:t>The 23 October review used official indexed content where direct support pages failed. Preserve Salesloft’s legacy/new-product language distinction. Gong/HubSpot transcription listings do not establish every analysis feature or local accuracy; Microsoft omissions describe the reviewed table. No paid-account, vendor-accuracy, ROI or price benchmark was performed.</w:t>
      </w:r>
    </w:p>
    <w:p>
      <w:pPr>
        <w:keepLines/>
        <w:spacing w:after="80"/>
      </w:pPr>
      <w:r>
        <w:rPr>
          <w:color w:val="000000"/>
        </w:rPr>
        <w:t>H1  HubSpot (2026b). Review call recordings and transcripts. Some conferencing recordings are meeting records; feature gates matter.</w:t>
      </w:r>
    </w:p>
    <w:p>
      <w:pPr>
        <w:keepLines/>
        <w:spacing w:after="80"/>
      </w:pPr>
      <w:r>
        <w:rPr>
          <w:color w:val="000000"/>
        </w:rPr>
        <w:t>H2  HubSpot (2026a). HubSpot language offerings. UI language availability is a different section and not conflated with transcription.</w:t>
      </w:r>
    </w:p>
    <w:p>
      <w:pPr>
        <w:keepLines/>
        <w:spacing w:after="80"/>
      </w:pPr>
      <w:r>
        <w:rPr>
          <w:color w:val="000000"/>
        </w:rPr>
        <w:t>D1  Microsoft (2026a). Conversation intelligence FAQs. Some data updates can take up to 12 hours; not claiming all dashboards are live.</w:t>
      </w:r>
    </w:p>
    <w:p>
      <w:pPr>
        <w:keepLines/>
        <w:spacing w:after="80"/>
      </w:pPr>
      <w:r>
        <w:rPr>
          <w:color w:val="000000"/>
        </w:rPr>
        <w:t>D2  Microsoft (2025). View and understand the call summary page. Authorization notice appeared, but substantive indexed/page text accessible.</w:t>
      </w:r>
    </w:p>
    <w:p>
      <w:pPr>
        <w:keepLines/>
        <w:spacing w:after="80"/>
      </w:pPr>
      <w:r>
        <w:rPr>
          <w:color w:val="000000"/>
        </w:rPr>
        <w:t>D3  Microsoft (2026c). Languages supported for conversation intelligence. Absence from this matrix is documented evidence status, not claim of universal product unavailability.</w:t>
      </w:r>
    </w:p>
    <w:p>
      <w:pPr>
        <w:keepLines/>
        <w:spacing w:after="80"/>
      </w:pPr>
      <w:r>
        <w:rPr>
          <w:color w:val="000000"/>
        </w:rPr>
        <w:t>D4  Microsoft (2026d). View and understand the home page. Do not interpret observed talk ratios as causal recommendations.</w:t>
      </w:r>
    </w:p>
    <w:p>
      <w:pPr>
        <w:keepLines/>
        <w:spacing w:after="80"/>
      </w:pPr>
      <w:r>
        <w:rPr>
          <w:color w:val="000000"/>
        </w:rPr>
        <w:t>D5  Microsoft (2026b). Enable and configure Sales Insights features. License/capacity conditions may change; no price comparison made.</w:t>
      </w:r>
    </w:p>
    <w:p>
      <w:pPr>
        <w:keepLines/>
        <w:spacing w:after="80"/>
      </w:pPr>
      <w:r>
        <w:rPr>
          <w:color w:val="000000"/>
        </w:rPr>
        <w:t>T1  FastAPI (n.d.-b). Features. Framework performance marketing not used.</w:t>
      </w:r>
    </w:p>
    <w:p>
      <w:pPr>
        <w:keepLines/>
        <w:spacing w:after="80"/>
      </w:pPr>
      <w:r>
        <w:rPr>
          <w:color w:val="000000"/>
        </w:rPr>
        <w:t>T2  Django Software Foundation (n.d.). Django at a glance. No comparative framework speed conclusion.</w:t>
      </w:r>
    </w:p>
    <w:p>
      <w:pPr>
        <w:keepLines/>
        <w:spacing w:after="80"/>
      </w:pPr>
      <w:r>
        <w:rPr>
          <w:color w:val="000000"/>
        </w:rPr>
        <w:t>T3  NestJS (n.d.). First steps. Python worker separation is project-specific architectural inference.</w:t>
      </w:r>
    </w:p>
    <w:p>
      <w:pPr>
        <w:keepLines/>
        <w:spacing w:after="80"/>
      </w:pPr>
      <w:r>
        <w:rPr>
          <w:color w:val="000000"/>
        </w:rPr>
        <w:t>T4  PostgreSQL Global Development Group (n.d.-a). 5.5. Constraints. No database benchmark performed.</w:t>
      </w:r>
    </w:p>
    <w:p>
      <w:pPr>
        <w:keepLines/>
        <w:spacing w:after="80"/>
      </w:pPr>
      <w:r>
        <w:rPr>
          <w:color w:val="000000"/>
        </w:rPr>
        <w:t>T5  PostgreSQL Global Development Group (n.d.-b). 8.14. JSON types. Does not establish query speed for proposed application.</w:t>
      </w:r>
    </w:p>
    <w:p>
      <w:pPr>
        <w:keepLines/>
        <w:spacing w:after="80"/>
      </w:pPr>
      <w:r>
        <w:rPr>
          <w:color w:val="000000"/>
        </w:rPr>
        <w:t>T6  SQLite (n.d.). Appropriate uses for SQLite. SQLite may be sufficient for a small demonstration.</w:t>
      </w:r>
    </w:p>
    <w:p>
      <w:pPr>
        <w:keepLines/>
        <w:spacing w:after="80"/>
      </w:pPr>
      <w:r>
        <w:rPr>
          <w:color w:val="000000"/>
        </w:rPr>
        <w:t>T7  MongoDB (n.d.). Data modeling in MongoDB. Not claiming MongoDB cannot join or transact.</w:t>
      </w:r>
    </w:p>
    <w:p>
      <w:pPr>
        <w:keepLines/>
        <w:spacing w:after="80"/>
      </w:pPr>
      <w:r>
        <w:rPr>
          <w:color w:val="000000"/>
        </w:rPr>
        <w:t>T8  OpenAI (n.d.). Whisper. No application-specific WER or local latency yet measured.</w:t>
      </w:r>
    </w:p>
    <w:p>
      <w:pPr>
        <w:keepLines/>
        <w:spacing w:after="80"/>
      </w:pPr>
      <w:r>
        <w:rPr>
          <w:color w:val="000000"/>
        </w:rPr>
        <w:t>T9  Microsoft (2026e). What is speech to text? Latest page October 19 2026. Exact language/region model must be checked before selecting.</w:t>
      </w:r>
    </w:p>
    <w:p>
      <w:pPr>
        <w:keepLines/>
        <w:spacing w:after="80"/>
      </w:pPr>
      <w:r>
        <w:rPr>
          <w:color w:val="000000"/>
        </w:rPr>
        <w:t>T10  Google Cloud (2026b). Transcribe long audio files into text. Quota/pricing not compared.</w:t>
      </w:r>
    </w:p>
    <w:p>
      <w:pPr>
        <w:keepLines/>
        <w:spacing w:after="80"/>
      </w:pPr>
      <w:r>
        <w:rPr>
          <w:color w:val="000000"/>
        </w:rPr>
        <w:t>T11  Google Cloud (2026a). Cloud Speech-to-Text V2 supported languages. Feature availability varies; language list alone cannot rank accuracy.</w:t>
      </w:r>
    </w:p>
    <w:p>
      <w:pPr>
        <w:keepLines/>
        <w:spacing w:after="80"/>
      </w:pPr>
      <w:r>
        <w:rPr>
          <w:color w:val="000000"/>
        </w:rPr>
        <w:t>T12  FastAPI (n.d.-a). Background tasks. In-process execution does not itself supply durable queue behavior.</w:t>
      </w:r>
    </w:p>
    <w:p>
      <w:pPr>
        <w:keepLines/>
        <w:spacing w:after="80"/>
      </w:pPr>
      <w:r>
        <w:rPr>
          <w:color w:val="000000"/>
        </w:rPr>
        <w:t>T13  Celery (n.d.). Introduction to Celery. Delivery/retry/result durability requires explicit configuration; no exactly-once guarantee claimed.</w:t>
      </w:r>
    </w:p>
    <w:p>
      <w:r>
        <w:rPr>
          <w:color w:val="000000"/>
        </w:rPr>
        <w:t>Current materials are in main after PRs 2–6. Bekzat’s PR 5 records eight backend design findings and updated contracts, requirements and component diagram; Diasbek reviewed it, while Dameli’s substantive SASTT-4 acceptance remains pending. YouTrack has 12 assigned Open issues. Technical checks do not establish stakeholder confirmation, supervisor feedback or completed model/user studies. Verify reviewer access and fix the reviewed submission tag before sending the final links.</w:t>
      </w:r>
    </w:p>
    <w:p>
      <w:pPr>
        <w:pStyle w:val="Heading1"/>
        <w:pageBreakBefore/>
        <w:jc w:val="center"/>
      </w:pPr>
      <w:r>
        <w:rPr>
          <w:color w:val="000000"/>
        </w:rPr>
        <w:t>References</w:t>
      </w:r>
    </w:p>
    <w:p>
      <w:pPr>
        <w:keepNext w:val="0"/>
        <w:keepLines/>
        <w:pageBreakBefore w:val="0"/>
        <w:spacing w:line="480" w:lineRule="auto" w:before="0" w:after="0"/>
        <w:ind w:left="720" w:hanging="720"/>
      </w:pPr>
      <w:r>
        <w:rPr>
          <w:rFonts w:ascii="Arial" w:hAnsi="Arial"/>
          <w:i w:val="0"/>
          <w:color w:val="000000"/>
          <w:sz w:val="22"/>
          <w:sz w:val="22"/>
        </w:rPr>
        <w:t xml:space="preserve">Asi, A., Wang, S., Eisenstadt, R., Geckt, D., Kuper, Y., Mao, Y., &amp; Ronen, R. (2022). An end-to-end dialogue summarization system for sales calls. </w:t>
      </w:r>
      <w:r>
        <w:rPr>
          <w:rFonts w:ascii="Arial" w:hAnsi="Arial"/>
          <w:i w:val="0"/>
          <w:color w:val="000000"/>
          <w:sz w:val="22"/>
          <w:sz w:val="22"/>
        </w:rPr>
        <w:t xml:space="preserve">In A. Loukina, R. Gangadharaiah, &amp; B. Min (Eds.), </w:t>
      </w:r>
      <w:r>
        <w:rPr>
          <w:rFonts w:ascii="Arial" w:hAnsi="Arial"/>
          <w:i/>
          <w:color w:val="000000"/>
          <w:sz w:val="22"/>
          <w:sz w:val="22"/>
        </w:rPr>
        <w:t>Proceedings of the 2022 Conference of the North American Chapter of the Association for Computational Linguistics: Human Language Technologies: Industry Track</w:t>
      </w:r>
      <w:r>
        <w:rPr>
          <w:rFonts w:ascii="Arial" w:hAnsi="Arial"/>
          <w:i w:val="0"/>
          <w:color w:val="000000"/>
          <w:sz w:val="22"/>
          <w:sz w:val="22"/>
        </w:rPr>
        <w:t xml:space="preserve"> (pp. 45–53). Association for Computational Linguistics. </w:t>
      </w:r>
      <w:hyperlink r:id="rId72">
        <w:r>
          <w:rPr>
            <w:color w:val="000000"/>
            <w:sz w:val="22"/>
          </w:rPr>
          <w:t>https://doi.org/10.18653/v1/2022.naacl-industry.6</w:t>
        </w:r>
      </w:hyperlink>
    </w:p>
    <w:p>
      <w:pPr>
        <w:keepNext w:val="0"/>
        <w:keepLines/>
        <w:pageBreakBefore w:val="0"/>
        <w:spacing w:line="480" w:lineRule="auto" w:before="0" w:after="0"/>
        <w:ind w:left="720" w:hanging="720"/>
      </w:pPr>
      <w:r>
        <w:rPr>
          <w:rFonts w:ascii="Arial" w:hAnsi="Arial"/>
          <w:i w:val="0"/>
          <w:color w:val="000000"/>
          <w:sz w:val="22"/>
          <w:sz w:val="22"/>
        </w:rPr>
        <w:t xml:space="preserve">Bain, M., Huh, J., Han, T., &amp; Zisserman, A. (2023). WhisperX: Time-accurate speech transcription of long-form audio. </w:t>
      </w:r>
      <w:r>
        <w:rPr>
          <w:rFonts w:ascii="Arial" w:hAnsi="Arial"/>
          <w:i w:val="0"/>
          <w:color w:val="000000"/>
          <w:sz w:val="22"/>
          <w:sz w:val="22"/>
        </w:rPr>
        <w:t xml:space="preserve">In </w:t>
      </w:r>
      <w:r>
        <w:rPr>
          <w:rFonts w:ascii="Arial" w:hAnsi="Arial"/>
          <w:i/>
          <w:color w:val="000000"/>
          <w:sz w:val="22"/>
          <w:sz w:val="22"/>
        </w:rPr>
        <w:t>Interspeech 2023</w:t>
      </w:r>
      <w:r>
        <w:rPr>
          <w:rFonts w:ascii="Arial" w:hAnsi="Arial"/>
          <w:i w:val="0"/>
          <w:color w:val="000000"/>
          <w:sz w:val="22"/>
          <w:sz w:val="22"/>
        </w:rPr>
        <w:t xml:space="preserve"> (pp. 4489–4493). International Speech Communication Association. </w:t>
      </w:r>
      <w:hyperlink r:id="rId73">
        <w:r>
          <w:rPr>
            <w:color w:val="000000"/>
            <w:sz w:val="22"/>
          </w:rPr>
          <w:t>https://doi.org/10.21437/Interspeech.2023-78</w:t>
        </w:r>
      </w:hyperlink>
    </w:p>
    <w:p>
      <w:pPr>
        <w:keepNext w:val="0"/>
        <w:keepLines/>
        <w:pageBreakBefore w:val="0"/>
        <w:spacing w:line="480" w:lineRule="auto" w:before="0" w:after="0"/>
        <w:ind w:left="720" w:hanging="720"/>
      </w:pPr>
      <w:r>
        <w:rPr>
          <w:rFonts w:ascii="Arial" w:hAnsi="Arial"/>
          <w:i w:val="0"/>
          <w:color w:val="000000"/>
          <w:sz w:val="22"/>
          <w:sz w:val="22"/>
        </w:rPr>
        <w:t xml:space="preserve">Bredin, H. (2023). pyannote.audio 2.1 speaker diarization pipeline: Principle, benchmark, and recipe. </w:t>
      </w:r>
      <w:r>
        <w:rPr>
          <w:rFonts w:ascii="Arial" w:hAnsi="Arial"/>
          <w:i w:val="0"/>
          <w:color w:val="000000"/>
          <w:sz w:val="22"/>
          <w:sz w:val="22"/>
        </w:rPr>
        <w:t xml:space="preserve">In </w:t>
      </w:r>
      <w:r>
        <w:rPr>
          <w:rFonts w:ascii="Arial" w:hAnsi="Arial"/>
          <w:i/>
          <w:color w:val="000000"/>
          <w:sz w:val="22"/>
          <w:sz w:val="22"/>
        </w:rPr>
        <w:t>Interspeech 2023</w:t>
      </w:r>
      <w:r>
        <w:rPr>
          <w:rFonts w:ascii="Arial" w:hAnsi="Arial"/>
          <w:i w:val="0"/>
          <w:color w:val="000000"/>
          <w:sz w:val="22"/>
          <w:sz w:val="22"/>
        </w:rPr>
        <w:t xml:space="preserve"> (pp. 1983–1987). International Speech Communication Association. </w:t>
      </w:r>
      <w:hyperlink r:id="rId74">
        <w:r>
          <w:rPr>
            <w:color w:val="000000"/>
            <w:sz w:val="22"/>
          </w:rPr>
          <w:t>https://doi.org/10.21437/Interspeech.2023-105</w:t>
        </w:r>
      </w:hyperlink>
    </w:p>
    <w:p>
      <w:pPr>
        <w:keepNext w:val="0"/>
        <w:keepLines/>
        <w:pageBreakBefore w:val="0"/>
        <w:spacing w:line="480" w:lineRule="auto" w:before="0" w:after="0"/>
        <w:ind w:left="720" w:hanging="720"/>
      </w:pPr>
      <w:r>
        <w:rPr>
          <w:rFonts w:ascii="Arial" w:hAnsi="Arial"/>
          <w:i w:val="0"/>
          <w:color w:val="000000"/>
          <w:sz w:val="22"/>
          <w:sz w:val="22"/>
        </w:rPr>
        <w:t xml:space="preserve">Celery. (n.d.). </w:t>
      </w:r>
      <w:r>
        <w:rPr>
          <w:rFonts w:ascii="Arial" w:hAnsi="Arial"/>
          <w:i/>
          <w:color w:val="000000"/>
          <w:sz w:val="22"/>
          <w:sz w:val="22"/>
        </w:rPr>
        <w:t>Introduction to Celery</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71">
        <w:r>
          <w:rPr>
            <w:color w:val="000000"/>
            <w:sz w:val="22"/>
          </w:rPr>
          <w:t>https://docs.celeryq.dev/en/stable/getting-started/introduction.html</w:t>
        </w:r>
      </w:hyperlink>
    </w:p>
    <w:p>
      <w:pPr>
        <w:keepNext w:val="0"/>
        <w:keepLines/>
        <w:pageBreakBefore w:val="0"/>
        <w:spacing w:line="480" w:lineRule="auto" w:before="0" w:after="0"/>
        <w:ind w:left="720" w:hanging="720"/>
      </w:pPr>
      <w:r>
        <w:rPr>
          <w:rFonts w:ascii="Arial" w:hAnsi="Arial"/>
          <w:i w:val="0"/>
          <w:color w:val="000000"/>
          <w:sz w:val="22"/>
          <w:sz w:val="22"/>
        </w:rPr>
        <w:t xml:space="preserve">Django Software Foundation. (n.d.). </w:t>
      </w:r>
      <w:r>
        <w:rPr>
          <w:rFonts w:ascii="Arial" w:hAnsi="Arial"/>
          <w:i/>
          <w:color w:val="000000"/>
          <w:sz w:val="22"/>
          <w:sz w:val="22"/>
        </w:rPr>
        <w:t>Django at a glance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0">
        <w:r>
          <w:rPr>
            <w:color w:val="000000"/>
            <w:sz w:val="22"/>
          </w:rPr>
          <w:t>https://docs.djangoproject.com/en/6.1/intro/overview/</w:t>
        </w:r>
      </w:hyperlink>
    </w:p>
    <w:p>
      <w:pPr>
        <w:keepNext w:val="0"/>
        <w:keepLines/>
        <w:pageBreakBefore w:val="0"/>
        <w:spacing w:line="480" w:lineRule="auto" w:before="0" w:after="0"/>
        <w:ind w:left="720" w:hanging="720"/>
      </w:pPr>
      <w:r>
        <w:rPr>
          <w:rFonts w:ascii="Arial" w:hAnsi="Arial"/>
          <w:i w:val="0"/>
          <w:color w:val="000000"/>
          <w:sz w:val="22"/>
          <w:sz w:val="22"/>
        </w:rPr>
        <w:t xml:space="preserve">FastAPI. (n.d.-a). </w:t>
      </w:r>
      <w:r>
        <w:rPr>
          <w:rFonts w:ascii="Arial" w:hAnsi="Arial"/>
          <w:i/>
          <w:color w:val="000000"/>
          <w:sz w:val="22"/>
          <w:sz w:val="22"/>
        </w:rPr>
        <w:t>Background tasks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70">
        <w:r>
          <w:rPr>
            <w:color w:val="000000"/>
            <w:sz w:val="22"/>
          </w:rPr>
          <w:t>https://fastapi.tiangolo.com/tutorial/background-tasks/</w:t>
        </w:r>
      </w:hyperlink>
    </w:p>
    <w:p>
      <w:pPr>
        <w:keepNext w:val="0"/>
        <w:keepLines/>
        <w:pageBreakBefore w:val="0"/>
        <w:spacing w:line="480" w:lineRule="auto" w:before="0" w:after="0"/>
        <w:ind w:left="720" w:hanging="720"/>
      </w:pPr>
      <w:r>
        <w:rPr>
          <w:rFonts w:ascii="Arial" w:hAnsi="Arial"/>
          <w:i w:val="0"/>
          <w:color w:val="000000"/>
          <w:sz w:val="22"/>
          <w:sz w:val="22"/>
        </w:rPr>
        <w:t xml:space="preserve">FastAPI. (n.d.-b). </w:t>
      </w:r>
      <w:r>
        <w:rPr>
          <w:rFonts w:ascii="Arial" w:hAnsi="Arial"/>
          <w:i/>
          <w:color w:val="000000"/>
          <w:sz w:val="22"/>
          <w:sz w:val="22"/>
        </w:rPr>
        <w:t>Features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59">
        <w:r>
          <w:rPr>
            <w:color w:val="000000"/>
            <w:sz w:val="22"/>
          </w:rPr>
          <w:t>https://fastapi.tiangolo.com/features/</w:t>
        </w:r>
      </w:hyperlink>
    </w:p>
    <w:p>
      <w:pPr>
        <w:keepNext w:val="0"/>
        <w:keepLines/>
        <w:pageBreakBefore w:val="0"/>
        <w:spacing w:line="480" w:lineRule="auto" w:before="0" w:after="0"/>
        <w:ind w:left="720" w:hanging="720"/>
      </w:pPr>
      <w:r>
        <w:rPr>
          <w:rFonts w:ascii="Arial" w:hAnsi="Arial"/>
          <w:i w:val="0"/>
          <w:color w:val="000000"/>
          <w:sz w:val="22"/>
          <w:sz w:val="22"/>
        </w:rPr>
        <w:t xml:space="preserve">Fu, X.-Y., Chen, C., Laskar, M. T. R., Gardiner, S., Hiranandani, P., &amp; TN, S. B. (2022). Entity-level sentiment analysis in contact center telephone conversations. </w:t>
      </w:r>
      <w:r>
        <w:rPr>
          <w:rFonts w:ascii="Arial" w:hAnsi="Arial"/>
          <w:i w:val="0"/>
          <w:color w:val="000000"/>
          <w:sz w:val="22"/>
          <w:sz w:val="22"/>
        </w:rPr>
        <w:t xml:space="preserve">In Y. Li &amp; A. Lazaridou (Eds.), </w:t>
      </w:r>
      <w:r>
        <w:rPr>
          <w:rFonts w:ascii="Arial" w:hAnsi="Arial"/>
          <w:i/>
          <w:color w:val="000000"/>
          <w:sz w:val="22"/>
          <w:sz w:val="22"/>
        </w:rPr>
        <w:t>Proceedings of the 2022 Conference on Empirical Methods in Natural Language Processing: Industry Track</w:t>
      </w:r>
      <w:r>
        <w:rPr>
          <w:rFonts w:ascii="Arial" w:hAnsi="Arial"/>
          <w:i w:val="0"/>
          <w:color w:val="000000"/>
          <w:sz w:val="22"/>
          <w:sz w:val="22"/>
        </w:rPr>
        <w:t xml:space="preserve"> (pp. 484–491). Association for Computational Linguistics. </w:t>
      </w:r>
      <w:hyperlink r:id="rId75">
        <w:r>
          <w:rPr>
            <w:color w:val="000000"/>
            <w:sz w:val="22"/>
          </w:rPr>
          <w:t>https://doi.org/10.18653/v1/2022.emnlp-industry.49</w:t>
        </w:r>
      </w:hyperlink>
    </w:p>
    <w:p>
      <w:pPr>
        <w:keepNext w:val="0"/>
        <w:keepLines/>
        <w:pageBreakBefore w:val="0"/>
        <w:spacing w:line="480" w:lineRule="auto" w:before="0" w:after="0"/>
        <w:ind w:left="720" w:hanging="720"/>
      </w:pPr>
      <w:r>
        <w:rPr>
          <w:rFonts w:ascii="Arial" w:hAnsi="Arial"/>
          <w:i w:val="0"/>
          <w:color w:val="000000"/>
          <w:sz w:val="22"/>
          <w:sz w:val="22"/>
        </w:rPr>
        <w:t xml:space="preserve">Gong. (n.d.). </w:t>
      </w:r>
      <w:r>
        <w:rPr>
          <w:rFonts w:ascii="Arial" w:hAnsi="Arial"/>
          <w:i/>
          <w:color w:val="000000"/>
          <w:sz w:val="22"/>
          <w:sz w:val="22"/>
        </w:rPr>
        <w:t>Conversation intelligence software that turns every call into revenue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0">
        <w:r>
          <w:rPr>
            <w:color w:val="000000"/>
            <w:sz w:val="22"/>
          </w:rPr>
          <w:t>https://www.gong.io/conversation-intelligence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(2026a, July 13). </w:t>
      </w:r>
      <w:r>
        <w:rPr>
          <w:rFonts w:ascii="Arial" w:hAnsi="Arial"/>
          <w:i/>
          <w:color w:val="000000"/>
          <w:sz w:val="22"/>
          <w:sz w:val="22"/>
        </w:rPr>
        <w:t>About language support in Gong</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4">
        <w:r>
          <w:rPr>
            <w:color w:val="000000"/>
            <w:sz w:val="22"/>
          </w:rPr>
          <w:t>https://help.gong.io/docs/what-languages-are-supported-in-gong</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(2026b, June 30). </w:t>
      </w:r>
      <w:r>
        <w:rPr>
          <w:rFonts w:ascii="Arial" w:hAnsi="Arial"/>
          <w:i/>
          <w:color w:val="000000"/>
          <w:sz w:val="22"/>
          <w:sz w:val="22"/>
        </w:rPr>
        <w:t>Analyze team performance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76">
        <w:r>
          <w:rPr>
            <w:color w:val="000000"/>
            <w:sz w:val="22"/>
          </w:rPr>
          <w:t>https://help.gong.io/docs/analyze-team-performance</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(2026c, January 8). </w:t>
      </w:r>
      <w:r>
        <w:rPr>
          <w:rFonts w:ascii="Arial" w:hAnsi="Arial"/>
          <w:i/>
          <w:color w:val="000000"/>
          <w:sz w:val="22"/>
          <w:sz w:val="22"/>
        </w:rPr>
        <w:t>CRM integrations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2">
        <w:r>
          <w:rPr>
            <w:color w:val="000000"/>
            <w:sz w:val="22"/>
          </w:rPr>
          <w:t>https://help.gong.io/docs/crm-integrations</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(2026d, September 10). </w:t>
      </w:r>
      <w:r>
        <w:rPr>
          <w:rFonts w:ascii="Arial" w:hAnsi="Arial"/>
          <w:i/>
          <w:color w:val="000000"/>
          <w:sz w:val="22"/>
          <w:sz w:val="22"/>
        </w:rPr>
        <w:t>Explore call content</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1">
        <w:r>
          <w:rPr>
            <w:color w:val="000000"/>
            <w:sz w:val="22"/>
          </w:rPr>
          <w:t>https://help.gong.io/docs/explore-call-content</w:t>
        </w:r>
      </w:hyperlink>
    </w:p>
    <w:p>
      <w:pPr>
        <w:keepNext w:val="0"/>
        <w:keepLines/>
        <w:pageBreakBefore w:val="0"/>
        <w:spacing w:line="480" w:lineRule="auto" w:before="0" w:after="0"/>
        <w:ind w:left="720" w:hanging="720"/>
      </w:pPr>
      <w:r>
        <w:rPr>
          <w:rFonts w:ascii="Arial" w:hAnsi="Arial"/>
          <w:i w:val="0"/>
          <w:color w:val="000000"/>
          <w:sz w:val="22"/>
          <w:sz w:val="22"/>
        </w:rPr>
        <w:t xml:space="preserve">Gong. (2026e, January 8). </w:t>
      </w:r>
      <w:r>
        <w:rPr>
          <w:rFonts w:ascii="Arial" w:hAnsi="Arial"/>
          <w:i/>
          <w:color w:val="000000"/>
          <w:sz w:val="22"/>
          <w:sz w:val="22"/>
        </w:rPr>
        <w:t>Plans and seats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45">
        <w:r>
          <w:rPr>
            <w:color w:val="000000"/>
            <w:sz w:val="22"/>
          </w:rPr>
          <w:t>https://help.gong.io/docs/plans-and-seats</w:t>
        </w:r>
      </w:hyperlink>
    </w:p>
    <w:p>
      <w:pPr>
        <w:keepNext w:val="0"/>
        <w:keepLines/>
        <w:pageBreakBefore w:val="0"/>
        <w:spacing w:line="480" w:lineRule="auto" w:before="0" w:after="0"/>
        <w:ind w:left="720" w:hanging="720"/>
      </w:pPr>
      <w:r>
        <w:rPr>
          <w:rFonts w:ascii="Arial" w:hAnsi="Arial"/>
          <w:i w:val="0"/>
          <w:color w:val="000000"/>
          <w:sz w:val="22"/>
          <w:sz w:val="22"/>
        </w:rPr>
        <w:t xml:space="preserve">Good, V., Bhattacharya, A., Hochstein, B. W., &amp; Voorhees, C. M. (2026). Determining the quality of B2C sales leads from online chats. </w:t>
      </w:r>
      <w:r>
        <w:rPr>
          <w:rFonts w:ascii="Arial" w:hAnsi="Arial"/>
          <w:i/>
          <w:color w:val="000000"/>
          <w:sz w:val="22"/>
          <w:sz w:val="22"/>
        </w:rPr>
        <w:t>International Journal of Research in Marketing, 43</w:t>
      </w:r>
      <w:r>
        <w:rPr>
          <w:rFonts w:ascii="Arial" w:hAnsi="Arial"/>
          <w:i w:val="0"/>
          <w:color w:val="000000"/>
          <w:sz w:val="22"/>
          <w:sz w:val="22"/>
        </w:rPr>
        <w:t>(2)</w:t>
      </w:r>
      <w:r>
        <w:rPr>
          <w:rFonts w:ascii="Arial" w:hAnsi="Arial"/>
          <w:i w:val="0"/>
          <w:color w:val="000000"/>
          <w:sz w:val="22"/>
          <w:sz w:val="22"/>
        </w:rPr>
        <w:t xml:space="preserve">, 383–403. </w:t>
      </w:r>
      <w:hyperlink r:id="rId33">
        <w:r>
          <w:rPr>
            <w:color w:val="000000"/>
            <w:sz w:val="22"/>
          </w:rPr>
          <w:t>https://doi.org/10.1016/j.ijresmar.2025.07.001</w:t>
        </w:r>
      </w:hyperlink>
    </w:p>
    <w:p>
      <w:pPr>
        <w:keepNext w:val="0"/>
        <w:keepLines/>
        <w:pageBreakBefore w:val="0"/>
        <w:spacing w:line="480" w:lineRule="auto" w:before="0" w:after="0"/>
        <w:ind w:left="720" w:hanging="720"/>
      </w:pPr>
      <w:r>
        <w:rPr>
          <w:rFonts w:ascii="Arial" w:hAnsi="Arial"/>
          <w:i w:val="0"/>
          <w:color w:val="000000"/>
          <w:sz w:val="22"/>
          <w:sz w:val="22"/>
        </w:rPr>
        <w:t xml:space="preserve">Google Cloud. (2026a, October 22). </w:t>
      </w:r>
      <w:r>
        <w:rPr>
          <w:rFonts w:ascii="Arial" w:hAnsi="Arial"/>
          <w:i/>
          <w:color w:val="000000"/>
          <w:sz w:val="22"/>
          <w:sz w:val="22"/>
        </w:rPr>
        <w:t>Cloud Speech-to-Text V2 supported languages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9">
        <w:r>
          <w:rPr>
            <w:color w:val="000000"/>
            <w:sz w:val="22"/>
          </w:rPr>
          <w:t>https://docs.cloud.google.com/speech-to-text/docs/speech-to-text-supported-languages</w:t>
        </w:r>
      </w:hyperlink>
    </w:p>
    <w:p>
      <w:pPr>
        <w:keepNext w:val="0"/>
        <w:keepLines/>
        <w:pageBreakBefore w:val="0"/>
        <w:spacing w:line="480" w:lineRule="auto" w:before="0" w:after="0"/>
        <w:ind w:left="720" w:hanging="720"/>
      </w:pPr>
      <w:r>
        <w:rPr>
          <w:rFonts w:ascii="Arial" w:hAnsi="Arial"/>
          <w:i w:val="0"/>
          <w:color w:val="000000"/>
          <w:sz w:val="22"/>
          <w:sz w:val="22"/>
        </w:rPr>
        <w:t xml:space="preserve">Google Cloud. (2026b, October 22). </w:t>
      </w:r>
      <w:r>
        <w:rPr>
          <w:rFonts w:ascii="Arial" w:hAnsi="Arial"/>
          <w:i/>
          <w:color w:val="000000"/>
          <w:sz w:val="22"/>
          <w:sz w:val="22"/>
        </w:rPr>
        <w:t>Transcribe long audio files into text</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77">
        <w:r>
          <w:rPr>
            <w:color w:val="000000"/>
            <w:sz w:val="22"/>
          </w:rPr>
          <w:t>https://docs.cloud.google.com/speech-to-text/docs/batch-recognize</w:t>
        </w:r>
      </w:hyperlink>
    </w:p>
    <w:p>
      <w:pPr>
        <w:keepNext w:val="0"/>
        <w:keepLines/>
        <w:pageBreakBefore w:val="0"/>
        <w:spacing w:line="480" w:lineRule="auto" w:before="0" w:after="0"/>
        <w:ind w:left="720" w:hanging="720"/>
      </w:pPr>
      <w:r>
        <w:rPr>
          <w:rFonts w:ascii="Arial" w:hAnsi="Arial"/>
          <w:i w:val="0"/>
          <w:color w:val="000000"/>
          <w:sz w:val="22"/>
          <w:sz w:val="22"/>
        </w:rPr>
        <w:t xml:space="preserve">HubSpot. (2026a, September 4). </w:t>
      </w:r>
      <w:r>
        <w:rPr>
          <w:rFonts w:ascii="Arial" w:hAnsi="Arial"/>
          <w:i/>
          <w:color w:val="000000"/>
          <w:sz w:val="22"/>
          <w:sz w:val="22"/>
        </w:rPr>
        <w:t>HubSpot language offerings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53">
        <w:r>
          <w:rPr>
            <w:color w:val="000000"/>
            <w:sz w:val="22"/>
          </w:rPr>
          <w:t>https://knowledge.hubspot.com/help-and-resources/hubspot-language-offerings</w:t>
        </w:r>
      </w:hyperlink>
    </w:p>
    <w:p>
      <w:pPr>
        <w:keepNext w:val="0"/>
        <w:keepLines/>
        <w:pageBreakBefore w:val="0"/>
        <w:spacing w:line="480" w:lineRule="auto" w:before="0" w:after="0"/>
        <w:ind w:left="720" w:hanging="720"/>
      </w:pPr>
      <w:r>
        <w:rPr>
          <w:rFonts w:ascii="Arial" w:hAnsi="Arial"/>
          <w:i w:val="0"/>
          <w:color w:val="000000"/>
          <w:sz w:val="22"/>
          <w:sz w:val="22"/>
        </w:rPr>
        <w:t xml:space="preserve">HubSpot. (2026b, October 9). </w:t>
      </w:r>
      <w:r>
        <w:rPr>
          <w:rFonts w:ascii="Arial" w:hAnsi="Arial"/>
          <w:i/>
          <w:color w:val="000000"/>
          <w:sz w:val="22"/>
          <w:sz w:val="22"/>
        </w:rPr>
        <w:t>Review call recordings and transcripts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52">
        <w:r>
          <w:rPr>
            <w:color w:val="000000"/>
            <w:sz w:val="22"/>
          </w:rPr>
          <w:t>https://knowledge.hubspot.com/calling/review-call-recordings-and-transcripts</w:t>
        </w:r>
      </w:hyperlink>
    </w:p>
    <w:p>
      <w:pPr>
        <w:keepNext w:val="0"/>
        <w:keepLines/>
        <w:pageBreakBefore w:val="0"/>
        <w:spacing w:line="480" w:lineRule="auto" w:before="0" w:after="0"/>
        <w:ind w:left="720" w:hanging="720"/>
      </w:pPr>
      <w:r>
        <w:rPr>
          <w:rFonts w:ascii="Arial" w:hAnsi="Arial"/>
          <w:i w:val="0"/>
          <w:color w:val="000000"/>
          <w:sz w:val="22"/>
          <w:sz w:val="22"/>
        </w:rPr>
        <w:t xml:space="preserve">Humă, B., &amp; Stokoe, E. (2023). Resistance in business-to-business “cold” sales calls. </w:t>
      </w:r>
      <w:r>
        <w:rPr>
          <w:rFonts w:ascii="Arial" w:hAnsi="Arial"/>
          <w:i/>
          <w:color w:val="000000"/>
          <w:sz w:val="22"/>
          <w:sz w:val="22"/>
        </w:rPr>
        <w:t>Journal of Language and Social Psychology, 42</w:t>
      </w:r>
      <w:r>
        <w:rPr>
          <w:rFonts w:ascii="Arial" w:hAnsi="Arial"/>
          <w:i w:val="0"/>
          <w:color w:val="000000"/>
          <w:sz w:val="22"/>
          <w:sz w:val="22"/>
        </w:rPr>
        <w:t>(5–6)</w:t>
      </w:r>
      <w:r>
        <w:rPr>
          <w:rFonts w:ascii="Arial" w:hAnsi="Arial"/>
          <w:i w:val="0"/>
          <w:color w:val="000000"/>
          <w:sz w:val="22"/>
          <w:sz w:val="22"/>
        </w:rPr>
        <w:t xml:space="preserve">, 630–652. </w:t>
      </w:r>
      <w:hyperlink r:id="rId35">
        <w:r>
          <w:rPr>
            <w:color w:val="000000"/>
            <w:sz w:val="22"/>
          </w:rPr>
          <w:t>https://doi.org/10.1177/0261927X231185520</w:t>
        </w:r>
      </w:hyperlink>
    </w:p>
    <w:p>
      <w:pPr>
        <w:keepNext w:val="0"/>
        <w:keepLines/>
        <w:pageBreakBefore w:val="0"/>
        <w:spacing w:line="480" w:lineRule="auto" w:before="0" w:after="0"/>
        <w:ind w:left="720" w:hanging="720"/>
      </w:pPr>
      <w:r>
        <w:rPr>
          <w:rFonts w:ascii="Arial" w:hAnsi="Arial"/>
          <w:i w:val="0"/>
          <w:color w:val="000000"/>
          <w:sz w:val="22"/>
          <w:sz w:val="22"/>
        </w:rPr>
        <w:t xml:space="preserve">Koenecke, A., Choi, A. S. G., Mei, K. X., Schellmann, H., &amp; Sloane, M. (2024). Careless Whisper: Speech-to-text hallucination harms. </w:t>
      </w:r>
      <w:r>
        <w:rPr>
          <w:rFonts w:ascii="Arial" w:hAnsi="Arial"/>
          <w:i w:val="0"/>
          <w:color w:val="000000"/>
          <w:sz w:val="22"/>
          <w:sz w:val="22"/>
        </w:rPr>
        <w:t xml:space="preserve">In </w:t>
      </w:r>
      <w:r>
        <w:rPr>
          <w:rFonts w:ascii="Arial" w:hAnsi="Arial"/>
          <w:i/>
          <w:color w:val="000000"/>
          <w:sz w:val="22"/>
          <w:sz w:val="22"/>
        </w:rPr>
        <w:t>Proceedings of the 2024 ACM Conference on Fairness, Accountability, and Transparency</w:t>
      </w:r>
      <w:r>
        <w:rPr>
          <w:rFonts w:ascii="Arial" w:hAnsi="Arial"/>
          <w:i w:val="0"/>
          <w:color w:val="000000"/>
          <w:sz w:val="22"/>
          <w:sz w:val="22"/>
        </w:rPr>
        <w:t xml:space="preserve"> (pp. 1672–1681). Association for Computing Machinery. </w:t>
      </w:r>
      <w:hyperlink r:id="rId25">
        <w:r>
          <w:rPr>
            <w:color w:val="000000"/>
            <w:sz w:val="22"/>
          </w:rPr>
          <w:t>https://doi.org/10.1145/3630106.3658996</w:t>
        </w:r>
      </w:hyperlink>
    </w:p>
    <w:p>
      <w:pPr>
        <w:keepNext w:val="0"/>
        <w:keepLines/>
        <w:pageBreakBefore w:val="0"/>
        <w:spacing w:line="480" w:lineRule="auto" w:before="0" w:after="0"/>
        <w:ind w:left="720" w:hanging="720"/>
      </w:pPr>
      <w:r>
        <w:rPr>
          <w:rFonts w:ascii="Arial" w:hAnsi="Arial"/>
          <w:i w:val="0"/>
          <w:color w:val="000000"/>
          <w:sz w:val="22"/>
          <w:sz w:val="22"/>
        </w:rPr>
        <w:t xml:space="preserve">Mäntyvaara, J., Nevalainen, P., Glavatskiy, K., &amp; Heikkonen, J. (2026). AI-assisted sales coaching framework: Empirically-derived models for B2B communication analysis. </w:t>
      </w:r>
      <w:r>
        <w:rPr>
          <w:rFonts w:ascii="Arial" w:hAnsi="Arial"/>
          <w:i/>
          <w:color w:val="000000"/>
          <w:sz w:val="22"/>
          <w:sz w:val="22"/>
        </w:rPr>
        <w:t>Array, 30</w:t>
      </w:r>
      <w:r>
        <w:rPr>
          <w:rFonts w:ascii="Arial" w:hAnsi="Arial"/>
          <w:i w:val="0"/>
          <w:color w:val="000000"/>
          <w:sz w:val="22"/>
          <w:sz w:val="22"/>
        </w:rPr>
        <w:t xml:space="preserve">, Article 100755. </w:t>
      </w:r>
      <w:hyperlink r:id="rId27">
        <w:r>
          <w:rPr>
            <w:color w:val="000000"/>
            <w:sz w:val="22"/>
          </w:rPr>
          <w:t>https://doi.org/10.1016/j.array.2026.100755</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(2025, January 29). </w:t>
      </w:r>
      <w:r>
        <w:rPr>
          <w:rFonts w:ascii="Arial" w:hAnsi="Arial"/>
          <w:i/>
          <w:color w:val="000000"/>
          <w:sz w:val="22"/>
          <w:sz w:val="22"/>
        </w:rPr>
        <w:t>View and understand the call summary page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55">
        <w:r>
          <w:rPr>
            <w:color w:val="000000"/>
            <w:sz w:val="22"/>
          </w:rPr>
          <w:t>https://learn.microsoft.com/en-us/dynamics365/sales/view-and-understand-call-summary-sales-app</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(2026a, July 7). </w:t>
      </w:r>
      <w:r>
        <w:rPr>
          <w:rFonts w:ascii="Arial" w:hAnsi="Arial"/>
          <w:i/>
          <w:color w:val="000000"/>
          <w:sz w:val="22"/>
          <w:sz w:val="22"/>
        </w:rPr>
        <w:t>Conversation intelligence FAQs</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54">
        <w:r>
          <w:rPr>
            <w:color w:val="000000"/>
            <w:sz w:val="22"/>
          </w:rPr>
          <w:t>https://learn.microsoft.com/en-us/dynamics365/sales/faq-conversation-intelligence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(2026b, February 27). </w:t>
      </w:r>
      <w:r>
        <w:rPr>
          <w:rFonts w:ascii="Arial" w:hAnsi="Arial"/>
          <w:i/>
          <w:color w:val="000000"/>
          <w:sz w:val="22"/>
          <w:sz w:val="22"/>
        </w:rPr>
        <w:t>Enable and configure Sales Insights features</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58">
        <w:r>
          <w:rPr>
            <w:color w:val="000000"/>
            <w:sz w:val="22"/>
          </w:rPr>
          <w:t>https://learn.microsoft.com/en-us/dynamics365/sales/intro-admin-guide-sales-insights</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(2026c, May 29). </w:t>
      </w:r>
      <w:r>
        <w:rPr>
          <w:rFonts w:ascii="Arial" w:hAnsi="Arial"/>
          <w:i/>
          <w:color w:val="000000"/>
          <w:sz w:val="22"/>
          <w:sz w:val="22"/>
        </w:rPr>
        <w:t>Languages supported for conversation intelligence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56">
        <w:r>
          <w:rPr>
            <w:color w:val="000000"/>
            <w:sz w:val="22"/>
          </w:rPr>
          <w:t>https://learn.microsoft.com/en-us/dynamics365/sales/language-support-conversation-intelligence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(2026d, May 29). </w:t>
      </w:r>
      <w:r>
        <w:rPr>
          <w:rFonts w:ascii="Arial" w:hAnsi="Arial"/>
          <w:i/>
          <w:color w:val="000000"/>
          <w:sz w:val="22"/>
          <w:sz w:val="22"/>
        </w:rPr>
        <w:t>View and understand the home page</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57">
        <w:r>
          <w:rPr>
            <w:color w:val="000000"/>
            <w:sz w:val="22"/>
          </w:rPr>
          <w:t>https://learn.microsoft.com/en-us/dynamics365/sales/dynamics365-sales-insights-app-home-page</w:t>
        </w:r>
      </w:hyperlink>
    </w:p>
    <w:p>
      <w:pPr>
        <w:keepNext w:val="0"/>
        <w:keepLines/>
        <w:pageBreakBefore w:val="0"/>
        <w:spacing w:line="480" w:lineRule="auto" w:before="0" w:after="0"/>
        <w:ind w:left="720" w:hanging="720"/>
      </w:pPr>
      <w:r>
        <w:rPr>
          <w:rFonts w:ascii="Arial" w:hAnsi="Arial"/>
          <w:i w:val="0"/>
          <w:color w:val="000000"/>
          <w:sz w:val="22"/>
          <w:sz w:val="22"/>
        </w:rPr>
        <w:t xml:space="preserve">Microsoft. (2026e, October 19). </w:t>
      </w:r>
      <w:r>
        <w:rPr>
          <w:rFonts w:ascii="Arial" w:hAnsi="Arial"/>
          <w:i/>
          <w:color w:val="000000"/>
          <w:sz w:val="22"/>
          <w:sz w:val="22"/>
        </w:rPr>
        <w:t>What is speech to text?</w:t>
      </w:r>
      <w:r>
        <w:rPr>
          <w:rFonts w:ascii="Arial" w:hAnsi="Arial"/>
          <w:i w:val="0"/>
          <w:color w:val="000000"/>
          <w:sz w:val="22"/>
          <w:sz w:val="22"/>
        </w:rPr>
        <w:t xml:space="preserve"> </w:t>
      </w:r>
      <w:r>
        <w:rPr>
          <w:rFonts w:ascii="Arial" w:hAnsi="Arial"/>
          <w:i w:val="0"/>
          <w:color w:val="000000"/>
          <w:sz w:val="22"/>
          <w:sz w:val="22"/>
        </w:rPr>
        <w:t xml:space="preserve">Microsoft Learn. </w:t>
      </w:r>
      <w:r>
        <w:rPr>
          <w:rFonts w:ascii="Arial" w:hAnsi="Arial"/>
          <w:i w:val="0"/>
          <w:color w:val="000000"/>
          <w:sz w:val="22"/>
          <w:sz w:val="22"/>
        </w:rPr>
        <w:t xml:space="preserve">Retrieved October 23, 2026, from </w:t>
      </w:r>
      <w:hyperlink r:id="rId67">
        <w:r>
          <w:rPr>
            <w:color w:val="000000"/>
            <w:sz w:val="22"/>
          </w:rPr>
          <w:t>https://learn.microsoft.com/en-us/azure/ai-services/speech-service/speech-to-text</w:t>
        </w:r>
      </w:hyperlink>
    </w:p>
    <w:p>
      <w:pPr>
        <w:keepNext w:val="0"/>
        <w:keepLines/>
        <w:pageBreakBefore w:val="0"/>
        <w:spacing w:line="480" w:lineRule="auto" w:before="0" w:after="0"/>
        <w:ind w:left="720" w:hanging="720"/>
      </w:pPr>
      <w:r>
        <w:rPr>
          <w:rFonts w:ascii="Arial" w:hAnsi="Arial"/>
          <w:i w:val="0"/>
          <w:color w:val="000000"/>
          <w:sz w:val="22"/>
          <w:sz w:val="22"/>
        </w:rPr>
        <w:t xml:space="preserve">MongoDB. (n.d.). </w:t>
      </w:r>
      <w:r>
        <w:rPr>
          <w:rFonts w:ascii="Arial" w:hAnsi="Arial"/>
          <w:i/>
          <w:color w:val="000000"/>
          <w:sz w:val="22"/>
          <w:sz w:val="22"/>
        </w:rPr>
        <w:t>Data modeling in MongoDB</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5">
        <w:r>
          <w:rPr>
            <w:color w:val="000000"/>
            <w:sz w:val="22"/>
          </w:rPr>
          <w:t>https://www.mongodb.com/docs/manual/data-modeling/</w:t>
        </w:r>
      </w:hyperlink>
    </w:p>
    <w:p>
      <w:pPr>
        <w:keepNext w:val="0"/>
        <w:keepLines/>
        <w:pageBreakBefore w:val="0"/>
        <w:spacing w:line="480" w:lineRule="auto" w:before="0" w:after="0"/>
        <w:ind w:left="720" w:hanging="720"/>
      </w:pPr>
      <w:r>
        <w:rPr>
          <w:rFonts w:ascii="Arial" w:hAnsi="Arial"/>
          <w:i w:val="0"/>
          <w:color w:val="000000"/>
          <w:sz w:val="22"/>
          <w:sz w:val="22"/>
        </w:rPr>
        <w:t xml:space="preserve">Moro, S., Rita, P., &amp; Cortez, P. (2014). </w:t>
      </w:r>
      <w:r>
        <w:rPr>
          <w:rFonts w:ascii="Arial" w:hAnsi="Arial"/>
          <w:i/>
          <w:color w:val="000000"/>
          <w:sz w:val="22"/>
          <w:sz w:val="22"/>
        </w:rPr>
        <w:t>Bank marketing</w:t>
      </w:r>
      <w:r>
        <w:rPr>
          <w:rFonts w:ascii="Arial" w:hAnsi="Arial"/>
          <w:i w:val="0"/>
          <w:color w:val="000000"/>
          <w:sz w:val="22"/>
          <w:sz w:val="22"/>
        </w:rPr>
        <w:t xml:space="preserve"> [Data set]. UCI Machine Learning Repository. </w:t>
      </w:r>
      <w:hyperlink r:id="rId78">
        <w:r>
          <w:rPr>
            <w:color w:val="000000"/>
            <w:sz w:val="22"/>
          </w:rPr>
          <w:t>https://doi.org/10.24432/C5K306</w:t>
        </w:r>
      </w:hyperlink>
    </w:p>
    <w:p>
      <w:pPr>
        <w:keepNext w:val="0"/>
        <w:keepLines/>
        <w:pageBreakBefore w:val="0"/>
        <w:spacing w:line="480" w:lineRule="auto" w:before="0" w:after="0"/>
        <w:ind w:left="720" w:hanging="720"/>
      </w:pPr>
      <w:r>
        <w:rPr>
          <w:rFonts w:ascii="Arial" w:hAnsi="Arial"/>
          <w:i w:val="0"/>
          <w:color w:val="000000"/>
          <w:sz w:val="22"/>
          <w:sz w:val="22"/>
        </w:rPr>
        <w:t xml:space="preserve">Mussakhojayeva, S., Khassanov, Y., &amp; Atakan Varol, H. (2022). KSC2: An industrial-scale open-source Kazakh speech corpus. </w:t>
      </w:r>
      <w:r>
        <w:rPr>
          <w:rFonts w:ascii="Arial" w:hAnsi="Arial"/>
          <w:i w:val="0"/>
          <w:color w:val="000000"/>
          <w:sz w:val="22"/>
          <w:sz w:val="22"/>
        </w:rPr>
        <w:t xml:space="preserve">In </w:t>
      </w:r>
      <w:r>
        <w:rPr>
          <w:rFonts w:ascii="Arial" w:hAnsi="Arial"/>
          <w:i/>
          <w:color w:val="000000"/>
          <w:sz w:val="22"/>
          <w:sz w:val="22"/>
        </w:rPr>
        <w:t>Interspeech 2022</w:t>
      </w:r>
      <w:r>
        <w:rPr>
          <w:rFonts w:ascii="Arial" w:hAnsi="Arial"/>
          <w:i w:val="0"/>
          <w:color w:val="000000"/>
          <w:sz w:val="22"/>
          <w:sz w:val="22"/>
        </w:rPr>
        <w:t xml:space="preserve"> (pp. 1367–1371). International Speech Communication Association. </w:t>
      </w:r>
      <w:hyperlink r:id="rId79">
        <w:r>
          <w:rPr>
            <w:color w:val="000000"/>
            <w:sz w:val="22"/>
          </w:rPr>
          <w:t>https://doi.org/10.21437/Interspeech.2022-421</w:t>
        </w:r>
      </w:hyperlink>
    </w:p>
    <w:p>
      <w:pPr>
        <w:keepNext w:val="0"/>
        <w:keepLines/>
        <w:pageBreakBefore w:val="0"/>
        <w:spacing w:line="480" w:lineRule="auto" w:before="0" w:after="0"/>
        <w:ind w:left="720" w:hanging="720"/>
      </w:pPr>
      <w:r>
        <w:rPr>
          <w:rFonts w:ascii="Arial" w:hAnsi="Arial"/>
          <w:i w:val="0"/>
          <w:color w:val="000000"/>
          <w:sz w:val="22"/>
          <w:sz w:val="22"/>
        </w:rPr>
        <w:t xml:space="preserve">NestJS. (n.d.). </w:t>
      </w:r>
      <w:r>
        <w:rPr>
          <w:rFonts w:ascii="Arial" w:hAnsi="Arial"/>
          <w:i/>
          <w:color w:val="000000"/>
          <w:sz w:val="22"/>
          <w:sz w:val="22"/>
        </w:rPr>
        <w:t>First steps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1">
        <w:r>
          <w:rPr>
            <w:color w:val="000000"/>
            <w:sz w:val="22"/>
          </w:rPr>
          <w:t>https://docs.nestjs.com/first-steps</w:t>
        </w:r>
      </w:hyperlink>
    </w:p>
    <w:p>
      <w:pPr>
        <w:keepNext w:val="0"/>
        <w:keepLines/>
        <w:pageBreakBefore w:val="0"/>
        <w:spacing w:line="480" w:lineRule="auto" w:before="0" w:after="0"/>
        <w:ind w:left="720" w:hanging="720"/>
      </w:pPr>
      <w:r>
        <w:rPr>
          <w:rFonts w:ascii="Arial" w:hAnsi="Arial"/>
          <w:i w:val="0"/>
          <w:color w:val="000000"/>
          <w:sz w:val="22"/>
          <w:sz w:val="22"/>
        </w:rPr>
        <w:t xml:space="preserve">OpenAI. (n.d.). </w:t>
      </w:r>
      <w:r>
        <w:rPr>
          <w:rFonts w:ascii="Arial" w:hAnsi="Arial"/>
          <w:i/>
          <w:color w:val="000000"/>
          <w:sz w:val="22"/>
          <w:sz w:val="22"/>
        </w:rPr>
        <w:t>Whisper</w:t>
      </w:r>
      <w:r>
        <w:rPr>
          <w:rFonts w:ascii="Arial" w:hAnsi="Arial"/>
          <w:i w:val="0"/>
          <w:color w:val="000000"/>
          <w:sz w:val="22"/>
          <w:sz w:val="22"/>
        </w:rPr>
        <w:t xml:space="preserve"> [Computer software]</w:t>
      </w:r>
      <w:r>
        <w:rPr>
          <w:rFonts w:ascii="Arial" w:hAnsi="Arial"/>
          <w:i w:val="0"/>
          <w:color w:val="000000"/>
          <w:sz w:val="22"/>
          <w:sz w:val="22"/>
        </w:rPr>
        <w:t xml:space="preserve">. </w:t>
      </w:r>
      <w:r>
        <w:rPr>
          <w:rFonts w:ascii="Arial" w:hAnsi="Arial"/>
          <w:i w:val="0"/>
          <w:color w:val="000000"/>
          <w:sz w:val="22"/>
          <w:sz w:val="22"/>
        </w:rPr>
        <w:t xml:space="preserve">GitHub. </w:t>
      </w:r>
      <w:r>
        <w:rPr>
          <w:rFonts w:ascii="Arial" w:hAnsi="Arial"/>
          <w:i w:val="0"/>
          <w:color w:val="000000"/>
          <w:sz w:val="22"/>
          <w:sz w:val="22"/>
        </w:rPr>
        <w:t xml:space="preserve">Retrieved October 23, 2026, from </w:t>
      </w:r>
      <w:hyperlink r:id="rId66">
        <w:r>
          <w:rPr>
            <w:color w:val="000000"/>
            <w:sz w:val="22"/>
          </w:rPr>
          <w:t>https://github.com/openai/whisper</w:t>
        </w:r>
      </w:hyperlink>
    </w:p>
    <w:p>
      <w:pPr>
        <w:keepNext w:val="0"/>
        <w:keepLines/>
        <w:pageBreakBefore w:val="0"/>
        <w:spacing w:line="480" w:lineRule="auto" w:before="0" w:after="0"/>
        <w:ind w:left="720" w:hanging="720"/>
      </w:pPr>
      <w:r>
        <w:rPr>
          <w:rFonts w:ascii="Arial" w:hAnsi="Arial"/>
          <w:i w:val="0"/>
          <w:color w:val="000000"/>
          <w:sz w:val="22"/>
          <w:sz w:val="22"/>
        </w:rPr>
        <w:t xml:space="preserve">PostgreSQL Global Development Group. (n.d.-a). </w:t>
      </w:r>
      <w:r>
        <w:rPr>
          <w:rFonts w:ascii="Arial" w:hAnsi="Arial"/>
          <w:i/>
          <w:color w:val="000000"/>
          <w:sz w:val="22"/>
          <w:sz w:val="22"/>
        </w:rPr>
        <w:t>5.5. Constraints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2">
        <w:r>
          <w:rPr>
            <w:color w:val="000000"/>
            <w:sz w:val="22"/>
          </w:rPr>
          <w:t>https://www.postgresql.org/docs/current/ddl-constraints.html</w:t>
        </w:r>
      </w:hyperlink>
    </w:p>
    <w:p>
      <w:pPr>
        <w:keepNext w:val="0"/>
        <w:keepLines/>
        <w:pageBreakBefore w:val="0"/>
        <w:spacing w:line="480" w:lineRule="auto" w:before="0" w:after="0"/>
        <w:ind w:left="720" w:hanging="720"/>
      </w:pPr>
      <w:r>
        <w:rPr>
          <w:rFonts w:ascii="Arial" w:hAnsi="Arial"/>
          <w:i w:val="0"/>
          <w:color w:val="000000"/>
          <w:sz w:val="22"/>
          <w:sz w:val="22"/>
        </w:rPr>
        <w:t xml:space="preserve">PostgreSQL Global Development Group. (n.d.-b). </w:t>
      </w:r>
      <w:r>
        <w:rPr>
          <w:rFonts w:ascii="Arial" w:hAnsi="Arial"/>
          <w:i/>
          <w:color w:val="000000"/>
          <w:sz w:val="22"/>
          <w:sz w:val="22"/>
        </w:rPr>
        <w:t>8.14. JSON types</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3">
        <w:r>
          <w:rPr>
            <w:color w:val="000000"/>
            <w:sz w:val="22"/>
          </w:rPr>
          <w:t>https://www.postgresql.org/docs/current/datatype-json.html</w:t>
        </w:r>
      </w:hyperlink>
    </w:p>
    <w:p>
      <w:pPr>
        <w:keepNext w:val="0"/>
        <w:keepLines/>
        <w:pageBreakBefore w:val="0"/>
        <w:spacing w:line="480" w:lineRule="auto" w:before="0" w:after="0"/>
        <w:ind w:left="720" w:hanging="720"/>
      </w:pPr>
      <w:r>
        <w:rPr>
          <w:rFonts w:ascii="Arial" w:hAnsi="Arial"/>
          <w:i w:val="0"/>
          <w:color w:val="000000"/>
          <w:sz w:val="22"/>
          <w:sz w:val="22"/>
        </w:rPr>
        <w:t xml:space="preserve">Radford, A., Kim, J. W., Xu, T., Brockman, G., McLeavey, C., &amp; Sutskever, I. (2023). Robust speech recognition via large-scale weak supervision. </w:t>
      </w:r>
      <w:r>
        <w:rPr>
          <w:rFonts w:ascii="Arial" w:hAnsi="Arial"/>
          <w:i w:val="0"/>
          <w:color w:val="000000"/>
          <w:sz w:val="22"/>
          <w:sz w:val="22"/>
        </w:rPr>
        <w:t xml:space="preserve">In A. Krause, E. Brunskill, K. Cho, B. Engelhardt, S. Sabato, &amp; J. Scarlett (Eds.), </w:t>
      </w:r>
      <w:r>
        <w:rPr>
          <w:rFonts w:ascii="Arial" w:hAnsi="Arial"/>
          <w:i/>
          <w:color w:val="000000"/>
          <w:sz w:val="22"/>
          <w:sz w:val="22"/>
        </w:rPr>
        <w:t>Proceedings of the 40th International Conference on Machine Learning</w:t>
      </w:r>
      <w:r>
        <w:rPr>
          <w:rFonts w:ascii="Arial" w:hAnsi="Arial"/>
          <w:i w:val="0"/>
          <w:color w:val="000000"/>
          <w:sz w:val="22"/>
          <w:sz w:val="22"/>
        </w:rPr>
        <w:t xml:space="preserve"> (Vol. 202, pp. 28492–28518). PMLR. </w:t>
      </w:r>
      <w:hyperlink r:id="rId11">
        <w:r>
          <w:rPr>
            <w:color w:val="000000"/>
            <w:sz w:val="22"/>
          </w:rPr>
          <w:t>https://proceedings.mlr.press/v202/radford23a.html</w:t>
        </w:r>
      </w:hyperlink>
    </w:p>
    <w:p>
      <w:pPr>
        <w:keepNext w:val="0"/>
        <w:keepLines/>
        <w:pageBreakBefore w:val="0"/>
        <w:spacing w:line="480" w:lineRule="auto" w:before="0" w:after="0"/>
        <w:ind w:left="720" w:hanging="720"/>
      </w:pPr>
      <w:r>
        <w:rPr>
          <w:color w:val="000000"/>
        </w:rPr>
        <w:t xml:space="preserve">Salesloft. (n.d.-a). </w:t>
      </w:r>
      <w:r>
        <w:rPr>
          <w:i/>
          <w:color w:val="000000"/>
        </w:rPr>
        <w:t>AI-powered conversational intelligence</w:t>
      </w:r>
      <w:r>
        <w:rPr>
          <w:color w:val="000000"/>
        </w:rPr>
        <w:t xml:space="preserve">. Retrieved October 23, 2026, from </w:t>
      </w:r>
      <w:hyperlink r:id="rId51">
        <w:r>
          <w:rPr>
            <w:color w:val="000000"/>
          </w:rPr>
          <w:t>https://www.salesloft.com/lp/conversational-intelligence</w:t>
        </w:r>
      </w:hyperlink>
    </w:p>
    <w:p>
      <w:pPr>
        <w:keepNext w:val="0"/>
        <w:keepLines/>
        <w:pageBreakBefore w:val="0"/>
        <w:spacing w:line="480" w:lineRule="auto" w:before="0" w:after="0"/>
        <w:ind w:left="720" w:hanging="720"/>
      </w:pPr>
      <w:r>
        <w:rPr>
          <w:color w:val="000000"/>
        </w:rPr>
        <w:t xml:space="preserve">Salesloft. (n.d.-b). </w:t>
      </w:r>
      <w:r>
        <w:rPr>
          <w:i/>
          <w:color w:val="000000"/>
        </w:rPr>
        <w:t>Conversation intelligence in Salesloft</w:t>
      </w:r>
      <w:r>
        <w:rPr>
          <w:color w:val="000000"/>
        </w:rPr>
        <w:t xml:space="preserve">. Retrieved October 23, 2026, from </w:t>
      </w:r>
      <w:hyperlink r:id="rId82">
        <w:r>
          <w:rPr>
            <w:color w:val="000000"/>
          </w:rPr>
          <w:t>https://help.salesloft.com/s/article/Conversation-Intelligence-in-Salesloft?language=en_US</w:t>
        </w:r>
      </w:hyperlink>
    </w:p>
    <w:p>
      <w:pPr>
        <w:keepNext w:val="0"/>
        <w:keepLines/>
        <w:pageBreakBefore w:val="0"/>
        <w:spacing w:line="480" w:lineRule="auto" w:before="0" w:after="0"/>
        <w:ind w:left="720" w:hanging="720"/>
      </w:pPr>
      <w:r>
        <w:rPr>
          <w:color w:val="000000"/>
        </w:rPr>
        <w:t xml:space="preserve">Salesloft. (2026a, July 14). </w:t>
      </w:r>
      <w:r>
        <w:rPr>
          <w:i/>
          <w:color w:val="000000"/>
        </w:rPr>
        <w:t>Clari + Salesloft defines the next era of AI conversation intelligence, turning buyer signals into revenue actions</w:t>
      </w:r>
      <w:r>
        <w:rPr>
          <w:color w:val="000000"/>
        </w:rPr>
        <w:t xml:space="preserve"> [Press release]. </w:t>
      </w:r>
      <w:hyperlink r:id="rId46">
        <w:r>
          <w:rPr>
            <w:color w:val="000000"/>
          </w:rPr>
          <w:t>https://www.salesloft.com/company/newsroom/salesloft-conversation-intelligence</w:t>
        </w:r>
      </w:hyperlink>
    </w:p>
    <w:p>
      <w:pPr>
        <w:keepNext w:val="0"/>
        <w:keepLines/>
        <w:pageBreakBefore w:val="0"/>
        <w:spacing w:line="480" w:lineRule="auto" w:before="0" w:after="0"/>
        <w:ind w:left="720" w:hanging="720"/>
      </w:pPr>
      <w:r>
        <w:rPr>
          <w:color w:val="000000"/>
        </w:rPr>
        <w:t xml:space="preserve">Salesloft. (2026b, September 29). </w:t>
      </w:r>
      <w:r>
        <w:rPr>
          <w:i/>
          <w:color w:val="000000"/>
        </w:rPr>
        <w:t>Conversation Intelligence: Call review page UI reference</w:t>
      </w:r>
      <w:r>
        <w:rPr>
          <w:color w:val="000000"/>
        </w:rPr>
        <w:t xml:space="preserve">. Retrieved October 23, 2026, from </w:t>
      </w:r>
      <w:hyperlink r:id="rId47">
        <w:r>
          <w:rPr>
            <w:color w:val="000000"/>
          </w:rPr>
          <w:t>https://help.salesloft.com/s/article/Conversation-Intelligence-Call-Review-Page-UI-Reference?language=en_US</w:t>
        </w:r>
      </w:hyperlink>
    </w:p>
    <w:p>
      <w:pPr>
        <w:keepNext w:val="0"/>
        <w:keepLines/>
        <w:pageBreakBefore w:val="0"/>
        <w:spacing w:line="480" w:lineRule="auto" w:before="0" w:after="0"/>
        <w:ind w:left="720" w:hanging="720"/>
      </w:pPr>
      <w:r>
        <w:rPr>
          <w:color w:val="000000"/>
        </w:rPr>
        <w:t xml:space="preserve">Salesloft. (2026c, April 14). </w:t>
      </w:r>
      <w:r>
        <w:rPr>
          <w:i/>
          <w:color w:val="000000"/>
        </w:rPr>
        <w:t>Conversations transcripts</w:t>
      </w:r>
      <w:r>
        <w:rPr>
          <w:color w:val="000000"/>
        </w:rPr>
        <w:t xml:space="preserve">. Retrieved October 23, 2026, from </w:t>
      </w:r>
      <w:hyperlink r:id="rId50">
        <w:r>
          <w:rPr>
            <w:color w:val="000000"/>
          </w:rPr>
          <w:t>https://help.salesloft.com/s/article/Conversations-Transcripts?language=en_US</w:t>
        </w:r>
      </w:hyperlink>
    </w:p>
    <w:p>
      <w:pPr>
        <w:keepNext w:val="0"/>
        <w:keepLines/>
        <w:pageBreakBefore w:val="0"/>
        <w:spacing w:line="480" w:lineRule="auto" w:before="0" w:after="0"/>
        <w:ind w:left="720" w:hanging="720"/>
      </w:pPr>
      <w:r>
        <w:rPr>
          <w:color w:val="000000"/>
        </w:rPr>
        <w:t xml:space="preserve">Salesloft. (2026d, September 30). </w:t>
      </w:r>
      <w:r>
        <w:rPr>
          <w:i/>
          <w:color w:val="000000"/>
        </w:rPr>
        <w:t>Integrate Salesforce with Conversation Intelligence</w:t>
      </w:r>
      <w:r>
        <w:rPr>
          <w:color w:val="000000"/>
        </w:rPr>
        <w:t xml:space="preserve">. Retrieved October 23, 2026, from </w:t>
      </w:r>
      <w:hyperlink r:id="rId48">
        <w:r>
          <w:rPr>
            <w:color w:val="000000"/>
          </w:rPr>
          <w:t>https://help.salesloft.com/s/article/Integrate-Salesforce-with-Conversation-Intelligence?language=en_US</w:t>
        </w:r>
      </w:hyperlink>
    </w:p>
    <w:p>
      <w:pPr>
        <w:keepNext w:val="0"/>
        <w:keepLines/>
        <w:pageBreakBefore w:val="0"/>
        <w:spacing w:line="480" w:lineRule="auto" w:before="0" w:after="0"/>
        <w:ind w:left="720" w:hanging="720"/>
      </w:pPr>
      <w:r>
        <w:rPr>
          <w:color w:val="000000"/>
        </w:rPr>
        <w:t xml:space="preserve">Salesloft. (2026e, October 1). </w:t>
      </w:r>
      <w:r>
        <w:rPr>
          <w:i/>
          <w:color w:val="000000"/>
        </w:rPr>
        <w:t>Set up topics and filters in Conversation Intelligence</w:t>
      </w:r>
      <w:r>
        <w:rPr>
          <w:color w:val="000000"/>
        </w:rPr>
        <w:t xml:space="preserve">. Retrieved October 23, 2026, from </w:t>
      </w:r>
      <w:hyperlink r:id="rId49">
        <w:r>
          <w:rPr>
            <w:color w:val="000000"/>
          </w:rPr>
          <w:t>https://help.salesloft.com/s/article/Set-Up-Topics-and-Filters-in-Conversation-Intelligence?language=en_US</w:t>
        </w:r>
      </w:hyperlink>
    </w:p>
    <w:p>
      <w:pPr>
        <w:keepNext w:val="0"/>
        <w:keepLines/>
        <w:pageBreakBefore w:val="0"/>
        <w:spacing w:line="480" w:lineRule="auto" w:before="0" w:after="0"/>
        <w:ind w:left="720" w:hanging="720"/>
      </w:pPr>
      <w:r>
        <w:rPr>
          <w:rFonts w:ascii="Arial" w:hAnsi="Arial"/>
          <w:i w:val="0"/>
          <w:color w:val="000000"/>
          <w:sz w:val="22"/>
          <w:sz w:val="22"/>
        </w:rPr>
        <w:t xml:space="preserve">Song, Y., Zhao, X., Jiang, D., Huang, X., Zhao, W., Xu, Q., Wong, R. C.-W., &amp; Yang, Q. (2021). SmartSales: An AI-powered telemarketing coaching system in FinTech. </w:t>
      </w:r>
      <w:r>
        <w:rPr>
          <w:rFonts w:ascii="Arial" w:hAnsi="Arial"/>
          <w:i w:val="0"/>
          <w:color w:val="000000"/>
          <w:sz w:val="22"/>
          <w:sz w:val="22"/>
        </w:rPr>
        <w:t xml:space="preserve">In </w:t>
      </w:r>
      <w:r>
        <w:rPr>
          <w:rFonts w:ascii="Arial" w:hAnsi="Arial"/>
          <w:i/>
          <w:color w:val="000000"/>
          <w:sz w:val="22"/>
          <w:sz w:val="22"/>
        </w:rPr>
        <w:t>Proceedings of the 29th ACM International Conference on Multimedia</w:t>
      </w:r>
      <w:r>
        <w:rPr>
          <w:rFonts w:ascii="Arial" w:hAnsi="Arial"/>
          <w:i w:val="0"/>
          <w:color w:val="000000"/>
          <w:sz w:val="22"/>
          <w:sz w:val="22"/>
        </w:rPr>
        <w:t xml:space="preserve"> (pp. 2774–2776). Association for Computing Machinery. </w:t>
      </w:r>
      <w:hyperlink r:id="rId37">
        <w:r>
          <w:rPr>
            <w:color w:val="000000"/>
            <w:sz w:val="22"/>
          </w:rPr>
          <w:t>https://doi.org/10.1145/3474085.3478555</w:t>
        </w:r>
      </w:hyperlink>
    </w:p>
    <w:p>
      <w:pPr>
        <w:keepNext w:val="0"/>
        <w:keepLines/>
        <w:pageBreakBefore w:val="0"/>
        <w:spacing w:line="480" w:lineRule="auto" w:before="0" w:after="0"/>
        <w:ind w:left="720" w:hanging="720"/>
      </w:pPr>
      <w:r>
        <w:rPr>
          <w:rFonts w:ascii="Arial" w:hAnsi="Arial"/>
          <w:i w:val="0"/>
          <w:color w:val="000000"/>
          <w:sz w:val="22"/>
          <w:sz w:val="22"/>
        </w:rPr>
        <w:t xml:space="preserve">SQLite. (n.d.). </w:t>
      </w:r>
      <w:r>
        <w:rPr>
          <w:rFonts w:ascii="Arial" w:hAnsi="Arial"/>
          <w:i/>
          <w:color w:val="000000"/>
          <w:sz w:val="22"/>
          <w:sz w:val="22"/>
        </w:rPr>
        <w:t>Appropriate uses for SQLite</w:t>
      </w:r>
      <w:r>
        <w:rPr>
          <w:rFonts w:ascii="Arial" w:hAnsi="Arial"/>
          <w:i w:val="0"/>
          <w:color w:val="000000"/>
          <w:sz w:val="22"/>
          <w:sz w:val="22"/>
        </w:rPr>
        <w:t xml:space="preserve">. </w:t>
      </w:r>
      <w:r>
        <w:rPr>
          <w:rFonts w:ascii="Arial" w:hAnsi="Arial"/>
          <w:i w:val="0"/>
          <w:color w:val="000000"/>
          <w:sz w:val="22"/>
          <w:sz w:val="22"/>
        </w:rPr>
        <w:t xml:space="preserve">Retrieved October 23, 2026, from </w:t>
      </w:r>
      <w:hyperlink r:id="rId64">
        <w:r>
          <w:rPr>
            <w:color w:val="000000"/>
            <w:sz w:val="22"/>
          </w:rPr>
          <w:t>https://www.sqlite.org/whentouse.html</w:t>
        </w:r>
      </w:hyperlink>
    </w:p>
    <w:p>
      <w:pPr>
        <w:keepNext w:val="0"/>
        <w:keepLines/>
        <w:pageBreakBefore w:val="0"/>
        <w:spacing w:line="480" w:lineRule="auto" w:before="0" w:after="0"/>
        <w:ind w:left="720" w:hanging="720"/>
      </w:pPr>
      <w:r>
        <w:rPr>
          <w:rFonts w:ascii="Arial" w:hAnsi="Arial"/>
          <w:i w:val="0"/>
          <w:color w:val="000000"/>
          <w:sz w:val="22"/>
          <w:sz w:val="22"/>
        </w:rPr>
        <w:t xml:space="preserve">Stock, J., Klakow, D., &amp; Petukhova, V. (2024). Annotating customer-oriented behaviour in call centre sales dialogues. </w:t>
      </w:r>
      <w:r>
        <w:rPr>
          <w:rFonts w:ascii="Arial" w:hAnsi="Arial"/>
          <w:i w:val="0"/>
          <w:color w:val="000000"/>
          <w:sz w:val="22"/>
          <w:sz w:val="22"/>
        </w:rPr>
        <w:t xml:space="preserve">In N. Calzolari, M.-Y. Kan, V. Hoste, A. Lenci, S. Sakti, &amp; N. Xue (Eds.), </w:t>
      </w:r>
      <w:r>
        <w:rPr>
          <w:rFonts w:ascii="Arial" w:hAnsi="Arial"/>
          <w:i/>
          <w:color w:val="000000"/>
          <w:sz w:val="22"/>
          <w:sz w:val="22"/>
        </w:rPr>
        <w:t>Proceedings of the 2024 Joint International Conference on Computational Linguistics, Language Resources and Evaluation (LREC-COLING 2024)</w:t>
      </w:r>
      <w:r>
        <w:rPr>
          <w:rFonts w:ascii="Arial" w:hAnsi="Arial"/>
          <w:i w:val="0"/>
          <w:color w:val="000000"/>
          <w:sz w:val="22"/>
          <w:sz w:val="22"/>
        </w:rPr>
        <w:t xml:space="preserve"> (pp. 1197–1208). ELRA and ICCL. </w:t>
      </w:r>
      <w:hyperlink r:id="rId29">
        <w:r>
          <w:rPr>
            <w:color w:val="000000"/>
            <w:sz w:val="22"/>
          </w:rPr>
          <w:t>https://aclanthology.org/2024.lrec-main.107/</w:t>
        </w:r>
      </w:hyperlink>
    </w:p>
    <w:p>
      <w:pPr>
        <w:keepNext w:val="0"/>
        <w:keepLines/>
        <w:pageBreakBefore w:val="0"/>
        <w:spacing w:line="480" w:lineRule="auto" w:before="0" w:after="0"/>
        <w:ind w:left="720" w:hanging="720"/>
      </w:pPr>
      <w:r>
        <w:rPr>
          <w:rFonts w:ascii="Arial" w:hAnsi="Arial"/>
          <w:i w:val="0"/>
          <w:color w:val="000000"/>
          <w:sz w:val="22"/>
          <w:sz w:val="22"/>
        </w:rPr>
        <w:t xml:space="preserve">Tang, X., Nair, A., Wang, B., Wang, B., Desai, J., Wade, A., Li, H., Celikyilmaz, A., Mehdad, Y., &amp; Radev, D. (2022). CONFIT: Toward faithful dialogue summarization with linguistically-informed contrastive fine-tuning. </w:t>
      </w:r>
      <w:r>
        <w:rPr>
          <w:rFonts w:ascii="Arial" w:hAnsi="Arial"/>
          <w:i w:val="0"/>
          <w:color w:val="000000"/>
          <w:sz w:val="22"/>
          <w:sz w:val="22"/>
        </w:rPr>
        <w:t xml:space="preserve">In M. Carpuat, M.-C. de Marneffe, &amp; I. V. Meza Ruiz (Eds.), </w:t>
      </w:r>
      <w:r>
        <w:rPr>
          <w:rFonts w:ascii="Arial" w:hAnsi="Arial"/>
          <w:i/>
          <w:color w:val="000000"/>
          <w:sz w:val="22"/>
          <w:sz w:val="22"/>
        </w:rPr>
        <w:t>Proceedings of the 2022 Conference of the North American Chapter of the Association for Computational Linguistics: Human Language Technologies</w:t>
      </w:r>
      <w:r>
        <w:rPr>
          <w:rFonts w:ascii="Arial" w:hAnsi="Arial"/>
          <w:i w:val="0"/>
          <w:color w:val="000000"/>
          <w:sz w:val="22"/>
          <w:sz w:val="22"/>
        </w:rPr>
        <w:t xml:space="preserve"> (pp. 5657–5668). Association for Computational Linguistics. </w:t>
      </w:r>
      <w:hyperlink r:id="rId80">
        <w:r>
          <w:rPr>
            <w:color w:val="000000"/>
            <w:sz w:val="22"/>
          </w:rPr>
          <w:t>https://doi.org/10.18653/v1/2022.naacl-main.415</w:t>
        </w:r>
      </w:hyperlink>
    </w:p>
    <w:p>
      <w:pPr>
        <w:keepNext w:val="0"/>
        <w:keepLines/>
        <w:pageBreakBefore w:val="0"/>
        <w:spacing w:line="480" w:lineRule="auto" w:before="0" w:after="0"/>
        <w:ind w:left="720" w:hanging="720"/>
      </w:pPr>
      <w:r>
        <w:rPr>
          <w:rFonts w:ascii="Arial" w:hAnsi="Arial"/>
          <w:i w:val="0"/>
          <w:color w:val="000000"/>
          <w:sz w:val="22"/>
          <w:sz w:val="22"/>
        </w:rPr>
        <w:t xml:space="preserve">Vieira, V. A., Silva, J. D. da, Faia, V. da S., &amp; Gabler, C. (2024). Drivers of industrial sales performance in the agent-buyer chat channel: The role of social and functional content, message valence, and synchronicity. </w:t>
      </w:r>
      <w:r>
        <w:rPr>
          <w:rFonts w:ascii="Arial" w:hAnsi="Arial"/>
          <w:i/>
          <w:color w:val="000000"/>
          <w:sz w:val="22"/>
          <w:sz w:val="22"/>
        </w:rPr>
        <w:t>Journal of Retailing and Consumer Services, 78</w:t>
      </w:r>
      <w:r>
        <w:rPr>
          <w:rFonts w:ascii="Arial" w:hAnsi="Arial"/>
          <w:i w:val="0"/>
          <w:color w:val="000000"/>
          <w:sz w:val="22"/>
          <w:sz w:val="22"/>
        </w:rPr>
        <w:t xml:space="preserve">, Article 103774. </w:t>
      </w:r>
      <w:hyperlink r:id="rId34">
        <w:r>
          <w:rPr>
            <w:color w:val="000000"/>
            <w:sz w:val="22"/>
          </w:rPr>
          <w:t>https://doi.org/10.1016/j.jretconser.2024.103774</w:t>
        </w:r>
      </w:hyperlink>
    </w:p>
    <w:p>
      <w:pPr>
        <w:keepNext w:val="0"/>
        <w:keepLines/>
        <w:pageBreakBefore w:val="0"/>
        <w:spacing w:line="480" w:lineRule="auto" w:before="0" w:after="0"/>
        <w:ind w:left="720" w:hanging="720"/>
      </w:pPr>
      <w:r>
        <w:rPr>
          <w:rFonts w:ascii="Arial" w:hAnsi="Arial"/>
          <w:i w:val="0"/>
          <w:color w:val="000000"/>
          <w:sz w:val="22"/>
          <w:sz w:val="22"/>
        </w:rPr>
        <w:t xml:space="preserve">Zhong, M., Yin, D., Yu, T., Zaidi, A., Mutuma, M., Jha, R., Awadallah, A. H., Celikyilmaz, A., Liu, Y., Qiu, X., &amp; Radev, D. (2021). QMSum: A new benchmark for query-based multi-domain meeting summarization. </w:t>
      </w:r>
      <w:r>
        <w:rPr>
          <w:rFonts w:ascii="Arial" w:hAnsi="Arial"/>
          <w:i w:val="0"/>
          <w:color w:val="000000"/>
          <w:sz w:val="22"/>
          <w:sz w:val="22"/>
        </w:rPr>
        <w:t xml:space="preserve">In K. Toutanova, A. Rumshisky, L. Zettlemoyer, D. Hakkani-Tur, I. Beltagy, S. Bethard, R. Cotterell, T. Chakraborty, &amp; Y. Zhou (Eds.), </w:t>
      </w:r>
      <w:r>
        <w:rPr>
          <w:rFonts w:ascii="Arial" w:hAnsi="Arial"/>
          <w:i/>
          <w:color w:val="000000"/>
          <w:sz w:val="22"/>
          <w:sz w:val="22"/>
        </w:rPr>
        <w:t>Proceedings of the 2021 Conference of the North American Chapter of the Association for Computational Linguistics: Human Language Technologies</w:t>
      </w:r>
      <w:r>
        <w:rPr>
          <w:rFonts w:ascii="Arial" w:hAnsi="Arial"/>
          <w:i w:val="0"/>
          <w:color w:val="000000"/>
          <w:sz w:val="22"/>
          <w:sz w:val="22"/>
        </w:rPr>
        <w:t xml:space="preserve"> (pp. 5905–5921). Association for Computational Linguistics. </w:t>
      </w:r>
      <w:hyperlink r:id="rId81">
        <w:r>
          <w:rPr>
            <w:color w:val="000000"/>
            <w:sz w:val="22"/>
          </w:rPr>
          <w:t>https://doi.org/10.18653/v1/2021.naacl-main.472</w:t>
        </w:r>
      </w:hyperlink>
    </w:p>
    <w:sectPr w:rsidR="00FC693F" w:rsidRPr="0006063C" w:rsidSect="00034616">
      <w:headerReference w:type="default" r:id="rId9"/>
      <w:footerReference w:type="default" r:id="rId10"/>
      <w:pgSz w:w="11909" w:h="16834"/>
      <w:pgMar w:top="1008" w:right="1051" w:bottom="1008"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color w:val="000000"/>
      </w:rPr>
      <w:t xml:space="preserve">23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Sales analytics supporting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80" w:after="2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202/radford23a.html" TargetMode="External"/><Relationship Id="rId12" Type="http://schemas.openxmlformats.org/officeDocument/2006/relationships/hyperlink" Target="https://proceedings.mlr.press/v202/radford23a/radford23a.pdf" TargetMode="External"/><Relationship Id="rId13" Type="http://schemas.openxmlformats.org/officeDocument/2006/relationships/hyperlink" Target="https://www.isca-archive.org/interspeech_2023/bain23_interspeech.html" TargetMode="External"/><Relationship Id="rId14" Type="http://schemas.openxmlformats.org/officeDocument/2006/relationships/hyperlink" Target="https://www.isca-archive.org/interspeech_2023/bain23_interspeech.pdf" TargetMode="External"/><Relationship Id="rId15" Type="http://schemas.openxmlformats.org/officeDocument/2006/relationships/hyperlink" Target="https://www.isca-archive.org/interspeech_2023/bredin23_interspeech.html" TargetMode="External"/><Relationship Id="rId16" Type="http://schemas.openxmlformats.org/officeDocument/2006/relationships/hyperlink" Target="https://www.isca-archive.org/interspeech_2023/bredin23_interspeech.pdf" TargetMode="External"/><Relationship Id="rId17" Type="http://schemas.openxmlformats.org/officeDocument/2006/relationships/hyperlink" Target="https://www.isca-archive.org/interspeech_2022/mussakhojayeva22_interspeech.html" TargetMode="External"/><Relationship Id="rId18" Type="http://schemas.openxmlformats.org/officeDocument/2006/relationships/hyperlink" Target="https://www.isca-archive.org/interspeech_2022/mussakhojayeva22_interspeech.pdf" TargetMode="External"/><Relationship Id="rId19" Type="http://schemas.openxmlformats.org/officeDocument/2006/relationships/hyperlink" Target="https://aclanthology.org/2022.naacl-industry.6/" TargetMode="External"/><Relationship Id="rId20" Type="http://schemas.openxmlformats.org/officeDocument/2006/relationships/hyperlink" Target="https://aclanthology.org/2022.naacl-industry.6.pdf" TargetMode="External"/><Relationship Id="rId21" Type="http://schemas.openxmlformats.org/officeDocument/2006/relationships/hyperlink" Target="https://aclanthology.org/2021.naacl-main.472/" TargetMode="External"/><Relationship Id="rId22" Type="http://schemas.openxmlformats.org/officeDocument/2006/relationships/hyperlink" Target="https://aclanthology.org/2021.naacl-main.472.pdf" TargetMode="External"/><Relationship Id="rId23" Type="http://schemas.openxmlformats.org/officeDocument/2006/relationships/hyperlink" Target="https://aclanthology.org/2022.naacl-main.415/" TargetMode="External"/><Relationship Id="rId24" Type="http://schemas.openxmlformats.org/officeDocument/2006/relationships/hyperlink" Target="https://aclanthology.org/2022.naacl-main.415.pdf" TargetMode="External"/><Relationship Id="rId25" Type="http://schemas.openxmlformats.org/officeDocument/2006/relationships/hyperlink" Target="https://doi.org/10.1145/3630106.3658996" TargetMode="External"/><Relationship Id="rId26" Type="http://schemas.openxmlformats.org/officeDocument/2006/relationships/hyperlink" Target="https://arxiv.org/pdf/2402.08021" TargetMode="External"/><Relationship Id="rId27" Type="http://schemas.openxmlformats.org/officeDocument/2006/relationships/hyperlink" Target="https://doi.org/10.1016/j.array.2026.100755" TargetMode="External"/><Relationship Id="rId28" Type="http://schemas.openxmlformats.org/officeDocument/2006/relationships/hyperlink" Target="https://www.utupub.fi/server/api/core/bitstreams/fbdc5c09-9228-4426-806b-9bd6e0b1197d/content" TargetMode="External"/><Relationship Id="rId29" Type="http://schemas.openxmlformats.org/officeDocument/2006/relationships/hyperlink" Target="https://aclanthology.org/2024.lrec-main.107/" TargetMode="External"/><Relationship Id="rId30" Type="http://schemas.openxmlformats.org/officeDocument/2006/relationships/hyperlink" Target="https://aclanthology.org/2024.lrec-main.107.pdf" TargetMode="External"/><Relationship Id="rId31" Type="http://schemas.openxmlformats.org/officeDocument/2006/relationships/hyperlink" Target="https://aclanthology.org/2022.emnlp-industry.49/" TargetMode="External"/><Relationship Id="rId32" Type="http://schemas.openxmlformats.org/officeDocument/2006/relationships/hyperlink" Target="https://aclanthology.org/2022.emnlp-industry.49.pdf" TargetMode="External"/><Relationship Id="rId33" Type="http://schemas.openxmlformats.org/officeDocument/2006/relationships/hyperlink" Target="https://doi.org/10.1016/j.ijresmar.2025.07.001" TargetMode="External"/><Relationship Id="rId34" Type="http://schemas.openxmlformats.org/officeDocument/2006/relationships/hyperlink" Target="https://doi.org/10.1016/j.jretconser.2024.103774" TargetMode="External"/><Relationship Id="rId35" Type="http://schemas.openxmlformats.org/officeDocument/2006/relationships/hyperlink" Target="https://doi.org/10.1177/0261927X231185520" TargetMode="External"/><Relationship Id="rId36" Type="http://schemas.openxmlformats.org/officeDocument/2006/relationships/hyperlink" Target="https://journals.sagepub.com/doi/10.1177/0261927X231185520" TargetMode="External"/><Relationship Id="rId37" Type="http://schemas.openxmlformats.org/officeDocument/2006/relationships/hyperlink" Target="https://doi.org/10.1145/3474085.3478555" TargetMode="External"/><Relationship Id="rId38" Type="http://schemas.openxmlformats.org/officeDocument/2006/relationships/hyperlink" Target="https://home.cse.ust.hk/~raywong/paper/mm21-smartSales.pdf" TargetMode="External"/><Relationship Id="rId39" Type="http://schemas.openxmlformats.org/officeDocument/2006/relationships/image" Target="media/image1.png"/><Relationship Id="rId40" Type="http://schemas.openxmlformats.org/officeDocument/2006/relationships/hyperlink" Target="https://www.gong.io/conversation-intelligence" TargetMode="External"/><Relationship Id="rId41" Type="http://schemas.openxmlformats.org/officeDocument/2006/relationships/hyperlink" Target="https://help.gong.io/docs/explore-call-content" TargetMode="External"/><Relationship Id="rId42" Type="http://schemas.openxmlformats.org/officeDocument/2006/relationships/hyperlink" Target="https://help.gong.io/docs/crm-integrations" TargetMode="External"/><Relationship Id="rId43" Type="http://schemas.openxmlformats.org/officeDocument/2006/relationships/hyperlink" Target="https://help.gong.io/docs/en/analyze-team-performance" TargetMode="External"/><Relationship Id="rId44" Type="http://schemas.openxmlformats.org/officeDocument/2006/relationships/hyperlink" Target="https://help.gong.io/docs/what-languages-are-supported-in-gong" TargetMode="External"/><Relationship Id="rId45" Type="http://schemas.openxmlformats.org/officeDocument/2006/relationships/hyperlink" Target="https://help.gong.io/docs/plans-and-seats" TargetMode="External"/><Relationship Id="rId46" Type="http://schemas.openxmlformats.org/officeDocument/2006/relationships/hyperlink" Target="https://www.salesloft.com/company/newsroom/salesloft-conversation-intelligence" TargetMode="External"/><Relationship Id="rId47" Type="http://schemas.openxmlformats.org/officeDocument/2006/relationships/hyperlink" Target="https://help.salesloft.com/s/article/Conversation-Intelligence-Call-Review-Page-UI-Reference?language=en_US" TargetMode="External"/><Relationship Id="rId48" Type="http://schemas.openxmlformats.org/officeDocument/2006/relationships/hyperlink" Target="https://help.salesloft.com/s/article/Integrate-Salesforce-with-Conversation-Intelligence?language=en_US" TargetMode="External"/><Relationship Id="rId49" Type="http://schemas.openxmlformats.org/officeDocument/2006/relationships/hyperlink" Target="https://help.salesloft.com/s/article/Set-Up-Topics-and-Filters-in-Conversation-Intelligence?language=en_US" TargetMode="External"/><Relationship Id="rId50" Type="http://schemas.openxmlformats.org/officeDocument/2006/relationships/hyperlink" Target="https://help.salesloft.com/s/article/Conversations-Transcripts?language=en_US" TargetMode="External"/><Relationship Id="rId51" Type="http://schemas.openxmlformats.org/officeDocument/2006/relationships/hyperlink" Target="https://www.salesloft.com/lp/conversational-intelligence" TargetMode="External"/><Relationship Id="rId52" Type="http://schemas.openxmlformats.org/officeDocument/2006/relationships/hyperlink" Target="https://knowledge.hubspot.com/calling/review-call-recordings-and-transcripts" TargetMode="External"/><Relationship Id="rId53" Type="http://schemas.openxmlformats.org/officeDocument/2006/relationships/hyperlink" Target="https://knowledge.hubspot.com/help-and-resources/hubspot-language-offerings" TargetMode="External"/><Relationship Id="rId54" Type="http://schemas.openxmlformats.org/officeDocument/2006/relationships/hyperlink" Target="https://learn.microsoft.com/en-us/dynamics365/sales/faq-conversation-intelligence" TargetMode="External"/><Relationship Id="rId55" Type="http://schemas.openxmlformats.org/officeDocument/2006/relationships/hyperlink" Target="https://learn.microsoft.com/en-us/dynamics365/sales/view-and-understand-call-summary-sales-app" TargetMode="External"/><Relationship Id="rId56" Type="http://schemas.openxmlformats.org/officeDocument/2006/relationships/hyperlink" Target="https://learn.microsoft.com/en-us/dynamics365/sales/language-support-conversation-intelligence" TargetMode="External"/><Relationship Id="rId57" Type="http://schemas.openxmlformats.org/officeDocument/2006/relationships/hyperlink" Target="https://learn.microsoft.com/en-us/dynamics365/sales/dynamics365-sales-insights-app-home-page" TargetMode="External"/><Relationship Id="rId58" Type="http://schemas.openxmlformats.org/officeDocument/2006/relationships/hyperlink" Target="https://learn.microsoft.com/en-us/dynamics365/sales/intro-admin-guide-sales-insights" TargetMode="External"/><Relationship Id="rId59" Type="http://schemas.openxmlformats.org/officeDocument/2006/relationships/hyperlink" Target="https://fastapi.tiangolo.com/features/" TargetMode="External"/><Relationship Id="rId60" Type="http://schemas.openxmlformats.org/officeDocument/2006/relationships/hyperlink" Target="https://docs.djangoproject.com/en/6.1/intro/overview/" TargetMode="External"/><Relationship Id="rId61" Type="http://schemas.openxmlformats.org/officeDocument/2006/relationships/hyperlink" Target="https://docs.nestjs.com/first-steps" TargetMode="External"/><Relationship Id="rId62" Type="http://schemas.openxmlformats.org/officeDocument/2006/relationships/hyperlink" Target="https://www.postgresql.org/docs/current/ddl-constraints.html" TargetMode="External"/><Relationship Id="rId63" Type="http://schemas.openxmlformats.org/officeDocument/2006/relationships/hyperlink" Target="https://www.postgresql.org/docs/current/datatype-json.html" TargetMode="External"/><Relationship Id="rId64" Type="http://schemas.openxmlformats.org/officeDocument/2006/relationships/hyperlink" Target="https://www.sqlite.org/whentouse.html" TargetMode="External"/><Relationship Id="rId65" Type="http://schemas.openxmlformats.org/officeDocument/2006/relationships/hyperlink" Target="https://www.mongodb.com/docs/manual/data-modeling/" TargetMode="External"/><Relationship Id="rId66" Type="http://schemas.openxmlformats.org/officeDocument/2006/relationships/hyperlink" Target="https://github.com/openai/whisper" TargetMode="External"/><Relationship Id="rId67" Type="http://schemas.openxmlformats.org/officeDocument/2006/relationships/hyperlink" Target="https://learn.microsoft.com/en-us/azure/ai-services/speech-service/speech-to-text" TargetMode="External"/><Relationship Id="rId68" Type="http://schemas.openxmlformats.org/officeDocument/2006/relationships/hyperlink" Target="https://cloud.google.com/speech-to-text/docs/batch-recognize" TargetMode="External"/><Relationship Id="rId69" Type="http://schemas.openxmlformats.org/officeDocument/2006/relationships/hyperlink" Target="https://docs.cloud.google.com/speech-to-text/docs/speech-to-text-supported-languages" TargetMode="External"/><Relationship Id="rId70" Type="http://schemas.openxmlformats.org/officeDocument/2006/relationships/hyperlink" Target="https://fastapi.tiangolo.com/tutorial/background-tasks/" TargetMode="External"/><Relationship Id="rId71" Type="http://schemas.openxmlformats.org/officeDocument/2006/relationships/hyperlink" Target="https://docs.celeryq.dev/en/stable/getting-started/introduction.html" TargetMode="External"/><Relationship Id="rId72" Type="http://schemas.openxmlformats.org/officeDocument/2006/relationships/hyperlink" Target="https://doi.org/10.18653/v1/2022.naacl-industry.6" TargetMode="External"/><Relationship Id="rId73" Type="http://schemas.openxmlformats.org/officeDocument/2006/relationships/hyperlink" Target="https://doi.org/10.21437/Interspeech.2023-78" TargetMode="External"/><Relationship Id="rId74" Type="http://schemas.openxmlformats.org/officeDocument/2006/relationships/hyperlink" Target="https://doi.org/10.21437/Interspeech.2023-105" TargetMode="External"/><Relationship Id="rId75" Type="http://schemas.openxmlformats.org/officeDocument/2006/relationships/hyperlink" Target="https://doi.org/10.18653/v1/2022.emnlp-industry.49" TargetMode="External"/><Relationship Id="rId76" Type="http://schemas.openxmlformats.org/officeDocument/2006/relationships/hyperlink" Target="https://help.gong.io/docs/analyze-team-performance" TargetMode="External"/><Relationship Id="rId77" Type="http://schemas.openxmlformats.org/officeDocument/2006/relationships/hyperlink" Target="https://docs.cloud.google.com/speech-to-text/docs/batch-recognize" TargetMode="External"/><Relationship Id="rId78" Type="http://schemas.openxmlformats.org/officeDocument/2006/relationships/hyperlink" Target="https://doi.org/10.24432/C5K306" TargetMode="External"/><Relationship Id="rId79" Type="http://schemas.openxmlformats.org/officeDocument/2006/relationships/hyperlink" Target="https://doi.org/10.21437/Interspeech.2022-421" TargetMode="External"/><Relationship Id="rId80" Type="http://schemas.openxmlformats.org/officeDocument/2006/relationships/hyperlink" Target="https://doi.org/10.18653/v1/2022.naacl-main.415" TargetMode="External"/><Relationship Id="rId81" Type="http://schemas.openxmlformats.org/officeDocument/2006/relationships/hyperlink" Target="https://doi.org/10.18653/v1/2021.naacl-main.472" TargetMode="External"/><Relationship Id="rId82" Type="http://schemas.openxmlformats.org/officeDocument/2006/relationships/hyperlink" Target="https://help.salesloft.com/s/article/Conversation-Intelligence-in-Salesloft?language=en_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analytics supporting appendices</dc:title>
  <dc:subject>24 October 2026 research and design checkpoint</dc:subject>
  <dc:creator>Project team draft for review</dc:creator>
  <cp:keywords/>
  <dc:description>Prepared research and design draft; stakeholder and supervisor evidence pending.</dc:description>
  <cp:lastModifiedBy/>
  <cp:revision>1</cp:revision>
  <dcterms:created xsi:type="dcterms:W3CDTF">2013-12-23T23:15:00Z</dcterms:created>
  <dcterms:modified xsi:type="dcterms:W3CDTF">2013-12-23T23:15:00Z</dcterms:modified>
  <cp:category/>
</cp:coreProperties>
</file>