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Prepared 22 October 2026</w:t>
      </w:r>
    </w:p>
    <w:p>
      <w:pPr>
        <w:pStyle w:val="Heading1"/>
      </w:pPr>
      <w:r>
        <w:rPr>
          <w:color w:val="000000"/>
        </w:rPr>
        <w:t>1 Project proposal</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At this checkpoint, the completed work consists of desk research, public-data profiling and initial design and UX materials. Interviews, pilot recording access and supervisor feedback remain pending. A complete application is not required on 24 October.</w:t>
      </w:r>
    </w:p>
    <w:p>
      <w:pPr>
        <w:pStyle w:val="Heading1"/>
        <w:pageBreakBefore/>
      </w:pPr>
      <w: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t>We profiled the UCI Bank Marketing file bank-additional-full.csv. It contains 41,188 records, 20 input variables and 4,640 positive term-deposit subscription outcomes: 11.27% positive. Always predicting the negative class would give 88.73% accuracy. This simple calculation explains why a future outcome model should not be judged on accuracy alone (Moro et al., 2014).</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r>
        <w:rPr>
          <w:color w:val="000000"/>
        </w:rPr>
        <w:t>The brief requires 3–5 representative discussions or a substantive agreement with an actual client. Neither has been completed yet. We will record observations, self-reports and assumptions separately, then use confirmed findings to revise the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sectPr>
          <w:footerReference w:type="default" r:id="rId10"/>
          <w:headerReference w:type="default" r:id="rId9"/>
          <w:pgSz w:w="11909" w:h="16834"/>
          <w:pgMar w:top="1008" w:right="1008" w:bottom="1008" w:left="1008" w:header="432" w:footer="432" w:gutter="0"/>
          <w:cols w:space="720" w:num="1"/>
          <w:docGrid w:linePitch="360"/>
        </w:sectPr>
      </w:pPr>
    </w:p>
    <w:p>
      <w:pPr>
        <w:pStyle w:val="Heading1"/>
      </w:pPr>
      <w:r>
        <w:t>3 Literature review</w:t>
      </w:r>
    </w:p>
    <w:p>
      <w:r>
        <w:t>The review covers 15 scientific publications, including 13 from 2022–2026 and two 2021 foundations. Good et al. (2026) and Vieira et al. (2024) were reviewed through abstracts/previews only. The table summarizes the design implications; Appendix A retains full analysis and claim locations. L01–L15 are analysis IDs, not citation numbers.</w:t>
      </w:r>
    </w:p>
    <w:tbl>
      <w:tblPr>
        <w:tblStyle w:val="TableGrid"/>
        <w:tblW w:type="auto" w:w="0"/>
        <w:tblLayout w:type="fixed"/>
        <w:tblLook w:firstColumn="1" w:firstRow="1" w:lastColumn="0" w:lastRow="0" w:noHBand="0" w:noVBand="1" w:val="04A0"/>
      </w:tblPr>
      <w:tblGrid>
        <w:gridCol w:w="576"/>
        <w:gridCol w:w="5472"/>
        <w:gridCol w:w="8914"/>
      </w:tblGrid>
      <w:tr>
        <w:trPr>
          <w:tblHeader/>
        </w:trPr>
        <w:tc>
          <w:tcPr>
            <w:tcW w:type="dxa" w:w="576"/>
            <w:tcMar>
              <w:top w:w="35" w:type="dxa"/>
              <w:bottom w:w="35" w:type="dxa"/>
            </w:tcMar>
          </w:tcPr>
          <w:p>
            <w:pPr>
              <w:spacing w:line="247" w:lineRule="auto" w:after="20" w:before="0"/>
            </w:pPr>
            <w:r>
              <w:rPr>
                <w:rFonts w:ascii="Arial" w:hAnsi="Arial"/>
                <w:b/>
                <w:sz w:val="18"/>
              </w:rPr>
              <w:t>ID</w:t>
            </w:r>
          </w:p>
        </w:tc>
        <w:tc>
          <w:tcPr>
            <w:tcW w:type="dxa" w:w="5472"/>
            <w:tcMar>
              <w:top w:w="35" w:type="dxa"/>
              <w:bottom w:w="35" w:type="dxa"/>
            </w:tcMar>
          </w:tcPr>
          <w:p>
            <w:pPr>
              <w:spacing w:line="247" w:lineRule="auto" w:after="20" w:before="0"/>
            </w:pPr>
            <w:r>
              <w:rPr>
                <w:rFonts w:ascii="Arial" w:hAnsi="Arial"/>
                <w:b/>
                <w:sz w:val="18"/>
              </w:rPr>
              <w:t>Study</w:t>
            </w:r>
          </w:p>
        </w:tc>
        <w:tc>
          <w:tcPr>
            <w:tcW w:type="dxa" w:w="8914"/>
            <w:tcMar>
              <w:top w:w="35" w:type="dxa"/>
              <w:bottom w:w="35" w:type="dxa"/>
            </w:tcMar>
          </w:tcPr>
          <w:p>
            <w:pPr>
              <w:spacing w:line="247" w:lineRule="auto" w:after="20" w:before="0"/>
            </w:pPr>
            <w:r>
              <w:rPr>
                <w:rFonts w:ascii="Arial" w:hAnsi="Arial"/>
                <w:b/>
                <w:sz w:val="18"/>
              </w:rPr>
              <w:t>Finding and design implication</w:t>
            </w:r>
          </w:p>
        </w:tc>
      </w:tr>
      <w:tr>
        <w:tc>
          <w:tcPr>
            <w:tcW w:type="dxa" w:w="576"/>
            <w:tcMar>
              <w:top w:w="35" w:type="dxa"/>
              <w:bottom w:w="35" w:type="dxa"/>
            </w:tcMar>
          </w:tcPr>
          <w:p>
            <w:pPr>
              <w:spacing w:line="247" w:lineRule="auto" w:after="20" w:before="0"/>
            </w:pPr>
            <w:r>
              <w:rPr>
                <w:rFonts w:ascii="Arial" w:hAnsi="Arial"/>
                <w:sz w:val="18"/>
              </w:rPr>
              <w:t>L01</w:t>
            </w:r>
          </w:p>
        </w:tc>
        <w:tc>
          <w:tcPr>
            <w:tcW w:type="dxa" w:w="5472"/>
            <w:tcMar>
              <w:top w:w="35" w:type="dxa"/>
              <w:bottom w:w="35" w:type="dxa"/>
            </w:tcMar>
          </w:tcPr>
          <w:p>
            <w:pPr>
              <w:spacing w:line="247" w:lineRule="auto" w:after="20" w:before="0"/>
            </w:pPr>
            <w:r>
              <w:rPr>
                <w:rFonts w:ascii="Arial" w:hAnsi="Arial"/>
                <w:sz w:val="18"/>
              </w:rPr>
              <w:t>Radford et al. (2023)</w:t>
              <w:br/>
              <w:t>Whisper: weakly supervised speech recognition</w:t>
            </w:r>
          </w:p>
        </w:tc>
        <w:tc>
          <w:tcPr>
            <w:tcW w:type="dxa" w:w="8914"/>
            <w:tcMar>
              <w:top w:w="35" w:type="dxa"/>
              <w:bottom w:w="35" w:type="dxa"/>
            </w:tcMar>
          </w:tcPr>
          <w:p>
            <w:pPr>
              <w:spacing w:line="247" w:lineRule="auto" w:after="20" w:before="0"/>
            </w:pPr>
            <w:r>
              <w:rPr>
                <w:rFonts w:ascii="Arial" w:hAnsi="Arial"/>
                <w:sz w:val="18"/>
              </w:rPr>
              <w:t>Broad multilingual transfer; local accuracy is unverified. Measure each language and business entity.</w:t>
            </w:r>
          </w:p>
        </w:tc>
      </w:tr>
      <w:tr>
        <w:tc>
          <w:tcPr>
            <w:tcW w:type="dxa" w:w="576"/>
            <w:tcMar>
              <w:top w:w="35" w:type="dxa"/>
              <w:bottom w:w="35" w:type="dxa"/>
            </w:tcMar>
          </w:tcPr>
          <w:p>
            <w:pPr>
              <w:spacing w:line="247" w:lineRule="auto" w:after="20" w:before="0"/>
            </w:pPr>
            <w:r>
              <w:rPr>
                <w:rFonts w:ascii="Arial" w:hAnsi="Arial"/>
                <w:sz w:val="18"/>
              </w:rPr>
              <w:t>L02</w:t>
            </w:r>
          </w:p>
        </w:tc>
        <w:tc>
          <w:tcPr>
            <w:tcW w:type="dxa" w:w="5472"/>
            <w:tcMar>
              <w:top w:w="35" w:type="dxa"/>
              <w:bottom w:w="35" w:type="dxa"/>
            </w:tcMar>
          </w:tcPr>
          <w:p>
            <w:pPr>
              <w:spacing w:line="247" w:lineRule="auto" w:after="20" w:before="0"/>
            </w:pPr>
            <w:r>
              <w:rPr>
                <w:rFonts w:ascii="Arial" w:hAnsi="Arial"/>
                <w:sz w:val="18"/>
              </w:rPr>
              <w:t>Bain et al. (2023)</w:t>
              <w:br/>
              <w:t>WhisperX: accurate transcription timing</w:t>
            </w:r>
          </w:p>
        </w:tc>
        <w:tc>
          <w:tcPr>
            <w:tcW w:type="dxa" w:w="8914"/>
            <w:tcMar>
              <w:top w:w="35" w:type="dxa"/>
              <w:bottom w:w="35" w:type="dxa"/>
            </w:tcMar>
          </w:tcPr>
          <w:p>
            <w:pPr>
              <w:spacing w:line="247" w:lineRule="auto" w:after="20" w:before="0"/>
            </w:pPr>
            <w:r>
              <w:rPr>
                <w:rFonts w:ascii="Arial" w:hAnsi="Arial"/>
                <w:sz w:val="18"/>
              </w:rPr>
              <w:t>Timing/alignment depends on language models. Validate source timestamps on local calls.</w:t>
            </w:r>
          </w:p>
        </w:tc>
      </w:tr>
      <w:tr>
        <w:tc>
          <w:tcPr>
            <w:tcW w:type="dxa" w:w="576"/>
            <w:tcMar>
              <w:top w:w="35" w:type="dxa"/>
              <w:bottom w:w="35" w:type="dxa"/>
            </w:tcMar>
          </w:tcPr>
          <w:p>
            <w:pPr>
              <w:spacing w:line="247" w:lineRule="auto" w:after="20" w:before="0"/>
            </w:pPr>
            <w:r>
              <w:rPr>
                <w:rFonts w:ascii="Arial" w:hAnsi="Arial"/>
                <w:sz w:val="18"/>
              </w:rPr>
              <w:t>L03</w:t>
            </w:r>
          </w:p>
        </w:tc>
        <w:tc>
          <w:tcPr>
            <w:tcW w:type="dxa" w:w="5472"/>
            <w:tcMar>
              <w:top w:w="35" w:type="dxa"/>
              <w:bottom w:w="35" w:type="dxa"/>
            </w:tcMar>
          </w:tcPr>
          <w:p>
            <w:pPr>
              <w:spacing w:line="247" w:lineRule="auto" w:after="20" w:before="0"/>
            </w:pPr>
            <w:r>
              <w:rPr>
                <w:rFonts w:ascii="Arial" w:hAnsi="Arial"/>
                <w:sz w:val="18"/>
              </w:rPr>
              <w:t>Bredin (2023)</w:t>
              <w:br/>
              <w:t>pyannote.audio 2.1: speaker diarization</w:t>
            </w:r>
          </w:p>
        </w:tc>
        <w:tc>
          <w:tcPr>
            <w:tcW w:type="dxa" w:w="8914"/>
            <w:tcMar>
              <w:top w:w="35" w:type="dxa"/>
              <w:bottom w:w="35" w:type="dxa"/>
            </w:tcMar>
          </w:tcPr>
          <w:p>
            <w:pPr>
              <w:spacing w:line="247" w:lineRule="auto" w:after="20" w:before="0"/>
            </w:pPr>
            <w:r>
              <w:rPr>
                <w:rFonts w:ascii="Arial" w:hAnsi="Arial"/>
                <w:sz w:val="18"/>
              </w:rPr>
              <w:t>Diarization varies with acoustic domain. Confirm salesperson/customer roles separately.</w:t>
            </w:r>
          </w:p>
        </w:tc>
      </w:tr>
      <w:tr>
        <w:tc>
          <w:tcPr>
            <w:tcW w:type="dxa" w:w="576"/>
            <w:tcMar>
              <w:top w:w="35" w:type="dxa"/>
              <w:bottom w:w="35" w:type="dxa"/>
            </w:tcMar>
          </w:tcPr>
          <w:p>
            <w:pPr>
              <w:spacing w:line="247" w:lineRule="auto" w:after="20" w:before="0"/>
            </w:pPr>
            <w:r>
              <w:rPr>
                <w:rFonts w:ascii="Arial" w:hAnsi="Arial"/>
                <w:sz w:val="18"/>
              </w:rPr>
              <w:t>L04</w:t>
            </w:r>
          </w:p>
        </w:tc>
        <w:tc>
          <w:tcPr>
            <w:tcW w:type="dxa" w:w="5472"/>
            <w:tcMar>
              <w:top w:w="35" w:type="dxa"/>
              <w:bottom w:w="35" w:type="dxa"/>
            </w:tcMar>
          </w:tcPr>
          <w:p>
            <w:pPr>
              <w:spacing w:line="247" w:lineRule="auto" w:after="20" w:before="0"/>
            </w:pPr>
            <w:r>
              <w:rPr>
                <w:rFonts w:ascii="Arial" w:hAnsi="Arial"/>
                <w:sz w:val="18"/>
              </w:rPr>
              <w:t>Mussakhojayeva et al. (2022)</w:t>
              <w:br/>
              <w:t>KSC2: Kazakh speech corpus</w:t>
            </w:r>
          </w:p>
        </w:tc>
        <w:tc>
          <w:tcPr>
            <w:tcW w:type="dxa" w:w="8914"/>
            <w:tcMar>
              <w:top w:w="35" w:type="dxa"/>
              <w:bottom w:w="35" w:type="dxa"/>
            </w:tcMar>
          </w:tcPr>
          <w:p>
            <w:pPr>
              <w:spacing w:line="247" w:lineRule="auto" w:after="20" w:before="0"/>
            </w:pPr>
            <w:r>
              <w:rPr>
                <w:rFonts w:ascii="Arial" w:hAnsi="Arial"/>
                <w:sz w:val="18"/>
              </w:rPr>
              <w:t>Spontaneous-subset WER is 27.0–36.8%. Use a separate local sales-speech evaluation.</w:t>
            </w:r>
          </w:p>
        </w:tc>
      </w:tr>
      <w:tr>
        <w:tc>
          <w:tcPr>
            <w:tcW w:type="dxa" w:w="576"/>
            <w:tcMar>
              <w:top w:w="35" w:type="dxa"/>
              <w:bottom w:w="35" w:type="dxa"/>
            </w:tcMar>
          </w:tcPr>
          <w:p>
            <w:pPr>
              <w:spacing w:line="247" w:lineRule="auto" w:after="20" w:before="0"/>
            </w:pPr>
            <w:r>
              <w:rPr>
                <w:rFonts w:ascii="Arial" w:hAnsi="Arial"/>
                <w:sz w:val="18"/>
              </w:rPr>
              <w:t>L05</w:t>
            </w:r>
          </w:p>
        </w:tc>
        <w:tc>
          <w:tcPr>
            <w:tcW w:type="dxa" w:w="5472"/>
            <w:tcMar>
              <w:top w:w="35" w:type="dxa"/>
              <w:bottom w:w="35" w:type="dxa"/>
            </w:tcMar>
          </w:tcPr>
          <w:p>
            <w:pPr>
              <w:spacing w:line="247" w:lineRule="auto" w:after="20" w:before="0"/>
            </w:pPr>
            <w:r>
              <w:rPr>
                <w:rFonts w:ascii="Arial" w:hAnsi="Arial"/>
                <w:sz w:val="18"/>
              </w:rPr>
              <w:t>Asi et al. (2022)</w:t>
              <w:br/>
              <w:t>Sales-call dialogue summarization system</w:t>
            </w:r>
          </w:p>
        </w:tc>
        <w:tc>
          <w:tcPr>
            <w:tcW w:type="dxa" w:w="8914"/>
            <w:tcMar>
              <w:top w:w="35" w:type="dxa"/>
              <w:bottom w:w="35" w:type="dxa"/>
            </w:tcMar>
          </w:tcPr>
          <w:p>
            <w:pPr>
              <w:spacing w:line="247" w:lineRule="auto" w:after="20" w:before="0"/>
            </w:pPr>
            <w:r>
              <w:rPr>
                <w:rFonts w:ascii="Arial" w:hAnsi="Arial"/>
                <w:sz w:val="18"/>
              </w:rPr>
              <w:t>Pseudo-only ROUGE gains conflict with automatic FactCC. Check source support and permit human correction.</w:t>
            </w:r>
          </w:p>
        </w:tc>
      </w:tr>
      <w:tr>
        <w:tc>
          <w:tcPr>
            <w:tcW w:type="dxa" w:w="576"/>
            <w:tcMar>
              <w:top w:w="35" w:type="dxa"/>
              <w:bottom w:w="35" w:type="dxa"/>
            </w:tcMar>
          </w:tcPr>
          <w:p>
            <w:pPr>
              <w:spacing w:line="247" w:lineRule="auto" w:after="20" w:before="0"/>
            </w:pPr>
            <w:r>
              <w:rPr>
                <w:rFonts w:ascii="Arial" w:hAnsi="Arial"/>
                <w:sz w:val="18"/>
              </w:rPr>
              <w:t>L06</w:t>
            </w:r>
          </w:p>
        </w:tc>
        <w:tc>
          <w:tcPr>
            <w:tcW w:type="dxa" w:w="5472"/>
            <w:tcMar>
              <w:top w:w="35" w:type="dxa"/>
              <w:bottom w:w="35" w:type="dxa"/>
            </w:tcMar>
          </w:tcPr>
          <w:p>
            <w:pPr>
              <w:spacing w:line="247" w:lineRule="auto" w:after="20" w:before="0"/>
            </w:pPr>
            <w:r>
              <w:rPr>
                <w:rFonts w:ascii="Arial" w:hAnsi="Arial"/>
                <w:sz w:val="18"/>
              </w:rPr>
              <w:t>Zhong et al. (2021)</w:t>
              <w:br/>
              <w:t>QMSum: query-based meeting summaries</w:t>
            </w:r>
          </w:p>
        </w:tc>
        <w:tc>
          <w:tcPr>
            <w:tcW w:type="dxa" w:w="8914"/>
            <w:tcMar>
              <w:top w:w="35" w:type="dxa"/>
              <w:bottom w:w="35" w:type="dxa"/>
            </w:tcMar>
          </w:tcPr>
          <w:p>
            <w:pPr>
              <w:spacing w:line="247" w:lineRule="auto" w:after="20" w:before="0"/>
            </w:pPr>
            <w:r>
              <w:rPr>
                <w:rFonts w:ascii="Arial" w:hAnsi="Arial"/>
                <w:sz w:val="18"/>
              </w:rPr>
              <w:t>Retrieval helps query-based meeting summaries. Retrieve evidence before producing a highlight.</w:t>
            </w:r>
          </w:p>
        </w:tc>
      </w:tr>
      <w:tr>
        <w:tc>
          <w:tcPr>
            <w:tcW w:type="dxa" w:w="576"/>
            <w:tcMar>
              <w:top w:w="35" w:type="dxa"/>
              <w:bottom w:w="35" w:type="dxa"/>
            </w:tcMar>
          </w:tcPr>
          <w:p>
            <w:pPr>
              <w:spacing w:line="247" w:lineRule="auto" w:after="20" w:before="0"/>
            </w:pPr>
            <w:r>
              <w:rPr>
                <w:rFonts w:ascii="Arial" w:hAnsi="Arial"/>
                <w:sz w:val="18"/>
              </w:rPr>
              <w:t>L07</w:t>
            </w:r>
          </w:p>
        </w:tc>
        <w:tc>
          <w:tcPr>
            <w:tcW w:type="dxa" w:w="5472"/>
            <w:tcMar>
              <w:top w:w="35" w:type="dxa"/>
              <w:bottom w:w="35" w:type="dxa"/>
            </w:tcMar>
          </w:tcPr>
          <w:p>
            <w:pPr>
              <w:spacing w:line="247" w:lineRule="auto" w:after="20" w:before="0"/>
            </w:pPr>
            <w:r>
              <w:rPr>
                <w:rFonts w:ascii="Arial" w:hAnsi="Arial"/>
                <w:sz w:val="18"/>
              </w:rPr>
              <w:t>Tang et al. (2022)</w:t>
              <w:br/>
              <w:t>CONFIT: faithful dialogue summarization</w:t>
            </w:r>
          </w:p>
        </w:tc>
        <w:tc>
          <w:tcPr>
            <w:tcW w:type="dxa" w:w="8914"/>
            <w:tcMar>
              <w:top w:w="35" w:type="dxa"/>
              <w:bottom w:w="35" w:type="dxa"/>
            </w:tcMar>
          </w:tcPr>
          <w:p>
            <w:pPr>
              <w:spacing w:line="247" w:lineRule="auto" w:after="20" w:before="0"/>
            </w:pPr>
            <w:r>
              <w:rPr>
                <w:rFonts w:ascii="Arial" w:hAnsi="Arial"/>
                <w:sz w:val="18"/>
              </w:rPr>
              <w:t>Faithfulness gains have small, uneven human evaluation. Audit entities, negation, reference and modality.</w:t>
            </w:r>
          </w:p>
        </w:tc>
      </w:tr>
      <w:tr>
        <w:tc>
          <w:tcPr>
            <w:tcW w:type="dxa" w:w="576"/>
            <w:tcMar>
              <w:top w:w="35" w:type="dxa"/>
              <w:bottom w:w="35" w:type="dxa"/>
            </w:tcMar>
          </w:tcPr>
          <w:p>
            <w:pPr>
              <w:spacing w:line="247" w:lineRule="auto" w:after="20" w:before="0"/>
            </w:pPr>
            <w:r>
              <w:rPr>
                <w:rFonts w:ascii="Arial" w:hAnsi="Arial"/>
                <w:sz w:val="18"/>
              </w:rPr>
              <w:t>L08</w:t>
            </w:r>
          </w:p>
        </w:tc>
        <w:tc>
          <w:tcPr>
            <w:tcW w:type="dxa" w:w="5472"/>
            <w:tcMar>
              <w:top w:w="35" w:type="dxa"/>
              <w:bottom w:w="35" w:type="dxa"/>
            </w:tcMar>
          </w:tcPr>
          <w:p>
            <w:pPr>
              <w:spacing w:line="247" w:lineRule="auto" w:after="20" w:before="0"/>
            </w:pPr>
            <w:r>
              <w:rPr>
                <w:rFonts w:ascii="Arial" w:hAnsi="Arial"/>
                <w:sz w:val="18"/>
              </w:rPr>
              <w:t>Koenecke et al. (2024)</w:t>
              <w:br/>
              <w:t>Careless Whisper: hallucination harms</w:t>
            </w:r>
          </w:p>
        </w:tc>
        <w:tc>
          <w:tcPr>
            <w:tcW w:type="dxa" w:w="8914"/>
            <w:tcMar>
              <w:top w:w="35" w:type="dxa"/>
              <w:bottom w:w="35" w:type="dxa"/>
            </w:tcMar>
          </w:tcPr>
          <w:p>
            <w:pPr>
              <w:spacing w:line="247" w:lineRule="auto" w:after="20" w:before="0"/>
            </w:pPr>
            <w:r>
              <w:rPr>
                <w:rFonts w:ascii="Arial" w:hAnsi="Arial"/>
                <w:sz w:val="18"/>
              </w:rPr>
              <w:t>Historical ASR hallucinations show unsupported-text risk. Check original audio and silence controls.</w:t>
            </w:r>
          </w:p>
        </w:tc>
      </w:tr>
      <w:tr>
        <w:tc>
          <w:tcPr>
            <w:tcW w:type="dxa" w:w="576"/>
            <w:tcMar>
              <w:top w:w="35" w:type="dxa"/>
              <w:bottom w:w="35" w:type="dxa"/>
            </w:tcMar>
          </w:tcPr>
          <w:p>
            <w:pPr>
              <w:spacing w:line="247" w:lineRule="auto" w:after="20" w:before="0"/>
            </w:pPr>
            <w:r>
              <w:rPr>
                <w:rFonts w:ascii="Arial" w:hAnsi="Arial"/>
                <w:sz w:val="18"/>
              </w:rPr>
              <w:t>L09</w:t>
            </w:r>
          </w:p>
        </w:tc>
        <w:tc>
          <w:tcPr>
            <w:tcW w:type="dxa" w:w="5472"/>
            <w:tcMar>
              <w:top w:w="35" w:type="dxa"/>
              <w:bottom w:w="35" w:type="dxa"/>
            </w:tcMar>
          </w:tcPr>
          <w:p>
            <w:pPr>
              <w:spacing w:line="247" w:lineRule="auto" w:after="20" w:before="0"/>
            </w:pPr>
            <w:r>
              <w:rPr>
                <w:rFonts w:ascii="Arial" w:hAnsi="Arial"/>
                <w:sz w:val="18"/>
              </w:rPr>
              <w:t>Mäntyvaara et al. (2026)</w:t>
              <w:br/>
              <w:t>B2B sales-coaching analytics framework</w:t>
            </w:r>
          </w:p>
        </w:tc>
        <w:tc>
          <w:tcPr>
            <w:tcW w:type="dxa" w:w="8914"/>
            <w:tcMar>
              <w:top w:w="35" w:type="dxa"/>
              <w:bottom w:w="35" w:type="dxa"/>
            </w:tcMar>
          </w:tcPr>
          <w:p>
            <w:pPr>
              <w:spacing w:line="247" w:lineRule="auto" w:after="20" w:before="0"/>
            </w:pPr>
            <w:r>
              <w:rPr>
                <w:rFonts w:ascii="Arial" w:hAnsi="Arial"/>
                <w:sz w:val="18"/>
              </w:rPr>
              <w:t>Engineered rejection target raises circularity concerns. Define independent outcomes and leakage controls.</w:t>
            </w:r>
          </w:p>
        </w:tc>
      </w:tr>
      <w:tr>
        <w:tc>
          <w:tcPr>
            <w:tcW w:type="dxa" w:w="576"/>
            <w:tcMar>
              <w:top w:w="35" w:type="dxa"/>
              <w:bottom w:w="35" w:type="dxa"/>
            </w:tcMar>
          </w:tcPr>
          <w:p>
            <w:pPr>
              <w:spacing w:line="247" w:lineRule="auto" w:after="20" w:before="0"/>
            </w:pPr>
            <w:r>
              <w:rPr>
                <w:rFonts w:ascii="Arial" w:hAnsi="Arial"/>
                <w:sz w:val="18"/>
              </w:rPr>
              <w:t>L10</w:t>
            </w:r>
          </w:p>
        </w:tc>
        <w:tc>
          <w:tcPr>
            <w:tcW w:type="dxa" w:w="5472"/>
            <w:tcMar>
              <w:top w:w="35" w:type="dxa"/>
              <w:bottom w:w="35" w:type="dxa"/>
            </w:tcMar>
          </w:tcPr>
          <w:p>
            <w:pPr>
              <w:spacing w:line="247" w:lineRule="auto" w:after="20" w:before="0"/>
            </w:pPr>
            <w:r>
              <w:rPr>
                <w:rFonts w:ascii="Arial" w:hAnsi="Arial"/>
                <w:sz w:val="18"/>
              </w:rPr>
              <w:t>Stock et al. (2024)</w:t>
              <w:br/>
              <w:t>Customer-oriented behaviour in sales dialogues</w:t>
            </w:r>
          </w:p>
        </w:tc>
        <w:tc>
          <w:tcPr>
            <w:tcW w:type="dxa" w:w="8914"/>
            <w:tcMar>
              <w:top w:w="35" w:type="dxa"/>
              <w:bottom w:w="35" w:type="dxa"/>
            </w:tcMar>
          </w:tcPr>
          <w:p>
            <w:pPr>
              <w:spacing w:line="247" w:lineRule="auto" w:after="20" w:before="0"/>
            </w:pPr>
            <w:r>
              <w:rPr>
                <w:rFonts w:ascii="Arial" w:hAnsi="Arial"/>
                <w:sz w:val="18"/>
              </w:rPr>
              <w:t>German call annotations associate with customer ratings. Keep auditable dialogue-act labels and timestamps.</w:t>
            </w:r>
          </w:p>
        </w:tc>
      </w:tr>
      <w:tr>
        <w:tc>
          <w:tcPr>
            <w:tcW w:type="dxa" w:w="576"/>
            <w:tcMar>
              <w:top w:w="35" w:type="dxa"/>
              <w:bottom w:w="35" w:type="dxa"/>
            </w:tcMar>
          </w:tcPr>
          <w:p>
            <w:pPr>
              <w:spacing w:line="247" w:lineRule="auto" w:after="20" w:before="0"/>
            </w:pPr>
            <w:r>
              <w:rPr>
                <w:rFonts w:ascii="Arial" w:hAnsi="Arial"/>
                <w:sz w:val="18"/>
              </w:rPr>
              <w:t>L11</w:t>
            </w:r>
          </w:p>
        </w:tc>
        <w:tc>
          <w:tcPr>
            <w:tcW w:type="dxa" w:w="5472"/>
            <w:tcMar>
              <w:top w:w="35" w:type="dxa"/>
              <w:bottom w:w="35" w:type="dxa"/>
            </w:tcMar>
          </w:tcPr>
          <w:p>
            <w:pPr>
              <w:spacing w:line="247" w:lineRule="auto" w:after="20" w:before="0"/>
            </w:pPr>
            <w:r>
              <w:rPr>
                <w:rFonts w:ascii="Arial" w:hAnsi="Arial"/>
                <w:sz w:val="18"/>
              </w:rPr>
              <w:t>Fu et al. (2022)</w:t>
              <w:br/>
              <w:t>Entity sentiment in telephone conversations</w:t>
            </w:r>
          </w:p>
        </w:tc>
        <w:tc>
          <w:tcPr>
            <w:tcW w:type="dxa" w:w="8914"/>
            <w:tcMar>
              <w:top w:w="35" w:type="dxa"/>
              <w:bottom w:w="35" w:type="dxa"/>
            </w:tcMar>
          </w:tcPr>
          <w:p>
            <w:pPr>
              <w:spacing w:line="247" w:lineRule="auto" w:after="20" w:before="0"/>
            </w:pPr>
            <w:r>
              <w:rPr>
                <w:rFonts w:ascii="Arial" w:hAnsi="Arial"/>
                <w:sz w:val="18"/>
              </w:rPr>
              <w:t>Entity sentiment differs from intent or sales success. Show opinion spans; validate local transfer.</w:t>
            </w:r>
          </w:p>
        </w:tc>
      </w:tr>
      <w:tr>
        <w:tc>
          <w:tcPr>
            <w:tcW w:type="dxa" w:w="576"/>
            <w:tcMar>
              <w:top w:w="35" w:type="dxa"/>
              <w:bottom w:w="35" w:type="dxa"/>
            </w:tcMar>
          </w:tcPr>
          <w:p>
            <w:pPr>
              <w:spacing w:line="247" w:lineRule="auto" w:after="20" w:before="0"/>
            </w:pPr>
            <w:r>
              <w:rPr>
                <w:rFonts w:ascii="Arial" w:hAnsi="Arial"/>
                <w:sz w:val="18"/>
              </w:rPr>
              <w:t>L12</w:t>
            </w:r>
          </w:p>
        </w:tc>
        <w:tc>
          <w:tcPr>
            <w:tcW w:type="dxa" w:w="5472"/>
            <w:tcMar>
              <w:top w:w="35" w:type="dxa"/>
              <w:bottom w:w="35" w:type="dxa"/>
            </w:tcMar>
          </w:tcPr>
          <w:p>
            <w:pPr>
              <w:spacing w:line="247" w:lineRule="auto" w:after="20" w:before="0"/>
            </w:pPr>
            <w:r>
              <w:rPr>
                <w:rFonts w:ascii="Arial" w:hAnsi="Arial"/>
                <w:sz w:val="18"/>
              </w:rPr>
              <w:t>Good et al. (2026)</w:t>
              <w:br/>
              <w:t>Qualifying B2C leads from chats</w:t>
            </w:r>
          </w:p>
        </w:tc>
        <w:tc>
          <w:tcPr>
            <w:tcW w:type="dxa" w:w="8914"/>
            <w:tcMar>
              <w:top w:w="35" w:type="dxa"/>
              <w:bottom w:w="35" w:type="dxa"/>
            </w:tcMar>
          </w:tcPr>
          <w:p>
            <w:pPr>
              <w:spacing w:line="247" w:lineRule="auto" w:after="20" w:before="0"/>
            </w:pPr>
            <w:r>
              <w:rPr>
                <w:rFonts w:ascii="Arial" w:hAnsi="Arial"/>
                <w:sz w:val="18"/>
              </w:rPr>
              <w:t>Written B2C lead signals link chats with outcomes. Test lead features; speech transfer is unverified.</w:t>
            </w:r>
          </w:p>
        </w:tc>
      </w:tr>
      <w:tr>
        <w:tc>
          <w:tcPr>
            <w:tcW w:type="dxa" w:w="576"/>
            <w:tcMar>
              <w:top w:w="35" w:type="dxa"/>
              <w:bottom w:w="35" w:type="dxa"/>
            </w:tcMar>
          </w:tcPr>
          <w:p>
            <w:pPr>
              <w:spacing w:line="247" w:lineRule="auto" w:after="20" w:before="0"/>
            </w:pPr>
            <w:r>
              <w:rPr>
                <w:rFonts w:ascii="Arial" w:hAnsi="Arial"/>
                <w:sz w:val="18"/>
              </w:rPr>
              <w:t>L13</w:t>
            </w:r>
          </w:p>
        </w:tc>
        <w:tc>
          <w:tcPr>
            <w:tcW w:type="dxa" w:w="5472"/>
            <w:tcMar>
              <w:top w:w="35" w:type="dxa"/>
              <w:bottom w:w="35" w:type="dxa"/>
            </w:tcMar>
          </w:tcPr>
          <w:p>
            <w:pPr>
              <w:spacing w:line="247" w:lineRule="auto" w:after="20" w:before="0"/>
            </w:pPr>
            <w:r>
              <w:rPr>
                <w:rFonts w:ascii="Arial" w:hAnsi="Arial"/>
                <w:sz w:val="18"/>
              </w:rPr>
              <w:t>Vieira et al. (2024)</w:t>
              <w:br/>
              <w:t>B2B chat content and sales performance</w:t>
            </w:r>
          </w:p>
        </w:tc>
        <w:tc>
          <w:tcPr>
            <w:tcW w:type="dxa" w:w="8914"/>
            <w:tcMar>
              <w:top w:w="35" w:type="dxa"/>
              <w:bottom w:w="35" w:type="dxa"/>
            </w:tcMar>
          </w:tcPr>
          <w:p>
            <w:pPr>
              <w:spacing w:line="247" w:lineRule="auto" w:after="20" w:before="0"/>
            </w:pPr>
            <w:r>
              <w:rPr>
                <w:rFonts w:ascii="Arial" w:hAnsi="Arial"/>
                <w:sz w:val="18"/>
              </w:rPr>
              <w:t>B2B chat associations are observational. Separate revenue, frequency and conversion.</w:t>
            </w:r>
          </w:p>
        </w:tc>
      </w:tr>
      <w:tr>
        <w:tc>
          <w:tcPr>
            <w:tcW w:type="dxa" w:w="576"/>
            <w:tcMar>
              <w:top w:w="35" w:type="dxa"/>
              <w:bottom w:w="35" w:type="dxa"/>
            </w:tcMar>
          </w:tcPr>
          <w:p>
            <w:pPr>
              <w:spacing w:line="247" w:lineRule="auto" w:after="20" w:before="0"/>
            </w:pPr>
            <w:r>
              <w:rPr>
                <w:rFonts w:ascii="Arial" w:hAnsi="Arial"/>
                <w:sz w:val="18"/>
              </w:rPr>
              <w:t>L14</w:t>
            </w:r>
          </w:p>
        </w:tc>
        <w:tc>
          <w:tcPr>
            <w:tcW w:type="dxa" w:w="5472"/>
            <w:tcMar>
              <w:top w:w="35" w:type="dxa"/>
              <w:bottom w:w="35" w:type="dxa"/>
            </w:tcMar>
          </w:tcPr>
          <w:p>
            <w:pPr>
              <w:spacing w:line="247" w:lineRule="auto" w:after="20" w:before="0"/>
            </w:pPr>
            <w:r>
              <w:rPr>
                <w:rFonts w:ascii="Arial" w:hAnsi="Arial"/>
                <w:sz w:val="18"/>
              </w:rPr>
              <w:t>Humă and Stokoe (2023)</w:t>
              <w:br/>
              <w:t>Resistance in B2B cold calls</w:t>
            </w:r>
          </w:p>
        </w:tc>
        <w:tc>
          <w:tcPr>
            <w:tcW w:type="dxa" w:w="8914"/>
            <w:tcMar>
              <w:top w:w="35" w:type="dxa"/>
              <w:bottom w:w="35" w:type="dxa"/>
            </w:tcMar>
          </w:tcPr>
          <w:p>
            <w:pPr>
              <w:spacing w:line="247" w:lineRule="auto" w:after="20" w:before="0"/>
            </w:pPr>
            <w:r>
              <w:rPr>
                <w:rFonts w:ascii="Arial" w:hAnsi="Arial"/>
                <w:sz w:val="18"/>
              </w:rPr>
              <w:t>Resistance distinguishes ending from delaying a sale. Retain context and distinguish rejection/postponement.</w:t>
            </w:r>
          </w:p>
        </w:tc>
      </w:tr>
      <w:tr>
        <w:tc>
          <w:tcPr>
            <w:tcW w:type="dxa" w:w="576"/>
            <w:tcMar>
              <w:top w:w="35" w:type="dxa"/>
              <w:bottom w:w="35" w:type="dxa"/>
            </w:tcMar>
          </w:tcPr>
          <w:p>
            <w:pPr>
              <w:spacing w:line="247" w:lineRule="auto" w:after="20" w:before="0"/>
            </w:pPr>
            <w:r>
              <w:rPr>
                <w:rFonts w:ascii="Arial" w:hAnsi="Arial"/>
                <w:sz w:val="18"/>
              </w:rPr>
              <w:t>L15</w:t>
            </w:r>
          </w:p>
        </w:tc>
        <w:tc>
          <w:tcPr>
            <w:tcW w:type="dxa" w:w="5472"/>
            <w:tcMar>
              <w:top w:w="35" w:type="dxa"/>
              <w:bottom w:w="35" w:type="dxa"/>
            </w:tcMar>
          </w:tcPr>
          <w:p>
            <w:pPr>
              <w:spacing w:line="247" w:lineRule="auto" w:after="20" w:before="0"/>
            </w:pPr>
            <w:r>
              <w:rPr>
                <w:rFonts w:ascii="Arial" w:hAnsi="Arial"/>
                <w:sz w:val="18"/>
              </w:rPr>
              <w:t>Song et al. (2021)</w:t>
              <w:br/>
              <w:t>SmartSales: FinTech telemarketing coaching</w:t>
            </w:r>
          </w:p>
        </w:tc>
        <w:tc>
          <w:tcPr>
            <w:tcW w:type="dxa" w:w="8914"/>
            <w:tcMar>
              <w:top w:w="35" w:type="dxa"/>
              <w:bottom w:w="35" w:type="dxa"/>
            </w:tcMar>
          </w:tcPr>
          <w:p>
            <w:pPr>
              <w:spacing w:line="247" w:lineRule="auto" w:after="20" w:before="0"/>
            </w:pPr>
            <w:r>
              <w:rPr>
                <w:rFonts w:ascii="Arial" w:hAnsi="Arial"/>
                <w:sz w:val="18"/>
              </w:rPr>
              <w:t>FinTech integration demo does not prove sales uplift. Use as architecture precedent, not performance proof.</w:t>
            </w:r>
          </w:p>
        </w:tc>
      </w:tr>
    </w:tbl>
    <w:p>
      <w:pPr>
        <w:sectPr>
          <w:pgSz w:w="16834" w:h="11909" w:orient="landscape"/>
          <w:pgMar w:top="936" w:right="936" w:bottom="936" w:left="936" w:header="432" w:footer="432" w:gutter="0"/>
          <w:cols w:space="240" w:num="1"/>
          <w:docGrid w:linePitch="360"/>
        </w:sectPr>
      </w:pPr>
    </w:p>
    <w:p>
      <w:pPr>
        <w:pStyle w:val="Heading1"/>
      </w:pPr>
      <w:r>
        <w:t>4 Existing system comparison</w:t>
      </w:r>
    </w:p>
    <w:p>
      <w:r>
        <w:t>Four systems were compared against the same eight criteria: capture, transcript review, CRM linkage, derived insights, coaching, aggregate analysis, languages and access. These are documented capabilities, not independent benchmarks. Appendix G contains the complete matrix, citations and feature caveats.</w:t>
      </w:r>
    </w:p>
    <w:tbl>
      <w:tblPr>
        <w:tblStyle w:val="TableGrid"/>
        <w:tblW w:type="auto" w:w="0"/>
        <w:tblLayout w:type="fixed"/>
        <w:tblLook w:firstColumn="1" w:firstRow="1" w:lastColumn="0" w:lastRow="0" w:noHBand="0" w:noVBand="1" w:val="04A0"/>
      </w:tblPr>
      <w:tblGrid>
        <w:gridCol w:w="2880"/>
        <w:gridCol w:w="5976"/>
        <w:gridCol w:w="6106"/>
      </w:tblGrid>
      <w:tr>
        <w:trPr>
          <w:tblHeader/>
        </w:trPr>
        <w:tc>
          <w:tcPr>
            <w:tcW w:type="dxa" w:w="2880"/>
            <w:tcMar>
              <w:top w:w="35" w:type="dxa"/>
              <w:bottom w:w="35" w:type="dxa"/>
            </w:tcMar>
          </w:tcPr>
          <w:p>
            <w:pPr>
              <w:spacing w:line="247" w:lineRule="auto" w:after="20" w:before="0"/>
            </w:pPr>
            <w:r>
              <w:rPr>
                <w:rFonts w:ascii="Arial" w:hAnsi="Arial"/>
                <w:b/>
                <w:sz w:val="19"/>
              </w:rPr>
              <w:t>System</w:t>
            </w:r>
          </w:p>
        </w:tc>
        <w:tc>
          <w:tcPr>
            <w:tcW w:type="dxa" w:w="5976"/>
            <w:tcMar>
              <w:top w:w="35" w:type="dxa"/>
              <w:bottom w:w="35" w:type="dxa"/>
            </w:tcMar>
          </w:tcPr>
          <w:p>
            <w:pPr>
              <w:spacing w:line="247" w:lineRule="auto" w:after="20" w:before="0"/>
            </w:pPr>
            <w:r>
              <w:rPr>
                <w:rFonts w:ascii="Arial" w:hAnsi="Arial"/>
                <w:b/>
                <w:sz w:val="19"/>
              </w:rPr>
              <w:t>Documented capability summary</w:t>
            </w:r>
          </w:p>
        </w:tc>
        <w:tc>
          <w:tcPr>
            <w:tcW w:type="dxa" w:w="6106"/>
            <w:tcMar>
              <w:top w:w="35" w:type="dxa"/>
              <w:bottom w:w="35" w:type="dxa"/>
            </w:tcMar>
          </w:tcPr>
          <w:p>
            <w:pPr>
              <w:spacing w:line="247" w:lineRule="auto" w:after="20" w:before="0"/>
            </w:pPr>
            <w:r>
              <w:rPr>
                <w:rFonts w:ascii="Arial" w:hAnsi="Arial"/>
                <w:b/>
                <w:sz w:val="19"/>
              </w:rPr>
              <w:t>Limit relevant to this project</w:t>
            </w:r>
          </w:p>
        </w:tc>
      </w:tr>
      <w:tr>
        <w:tc>
          <w:tcPr>
            <w:tcW w:type="dxa" w:w="2880"/>
            <w:tcMar>
              <w:top w:w="35" w:type="dxa"/>
              <w:bottom w:w="35" w:type="dxa"/>
            </w:tcMar>
          </w:tcPr>
          <w:p>
            <w:pPr>
              <w:spacing w:line="247" w:lineRule="auto" w:after="20" w:before="0"/>
            </w:pPr>
            <w:r>
              <w:rPr>
                <w:rFonts w:ascii="Arial" w:hAnsi="Arial"/>
                <w:sz w:val="19"/>
              </w:rPr>
              <w:t>Gong</w:t>
            </w:r>
          </w:p>
        </w:tc>
        <w:tc>
          <w:tcPr>
            <w:tcW w:type="dxa" w:w="5976"/>
            <w:tcMar>
              <w:top w:w="35" w:type="dxa"/>
              <w:bottom w:w="35" w:type="dxa"/>
            </w:tcMar>
          </w:tcPr>
          <w:p>
            <w:pPr>
              <w:spacing w:line="247" w:lineRule="auto" w:after="20" w:before="0"/>
            </w:pPr>
            <w:r>
              <w:rPr>
                <w:rFonts w:ascii="Arial" w:hAnsi="Arial"/>
                <w:sz w:val="19"/>
              </w:rPr>
              <w:t>Call capture, transcript search, CRM links, topics and coaching.</w:t>
            </w:r>
          </w:p>
        </w:tc>
        <w:tc>
          <w:tcPr>
            <w:tcW w:type="dxa" w:w="6106"/>
            <w:tcMar>
              <w:top w:w="35" w:type="dxa"/>
              <w:bottom w:w="35" w:type="dxa"/>
            </w:tcMar>
          </w:tcPr>
          <w:p>
            <w:pPr>
              <w:spacing w:line="247" w:lineRule="auto" w:after="20" w:before="0"/>
            </w:pPr>
            <w:r>
              <w:rPr>
                <w:rFonts w:ascii="Arial" w:hAnsi="Arial"/>
                <w:sz w:val="19"/>
              </w:rPr>
              <w:t>Russian/Kazakh are listed; local accuracy and commercial access need checking.</w:t>
            </w:r>
          </w:p>
        </w:tc>
      </w:tr>
      <w:tr>
        <w:tc>
          <w:tcPr>
            <w:tcW w:type="dxa" w:w="2880"/>
            <w:tcMar>
              <w:top w:w="35" w:type="dxa"/>
              <w:bottom w:w="35" w:type="dxa"/>
            </w:tcMar>
          </w:tcPr>
          <w:p>
            <w:pPr>
              <w:spacing w:line="247" w:lineRule="auto" w:after="20" w:before="0"/>
            </w:pPr>
            <w:r>
              <w:rPr>
                <w:rFonts w:ascii="Arial" w:hAnsi="Arial"/>
                <w:sz w:val="19"/>
              </w:rPr>
              <w:t>Salesloft Conversation Intelligence</w:t>
            </w:r>
          </w:p>
        </w:tc>
        <w:tc>
          <w:tcPr>
            <w:tcW w:type="dxa" w:w="5976"/>
            <w:tcMar>
              <w:top w:w="35" w:type="dxa"/>
              <w:bottom w:w="35" w:type="dxa"/>
            </w:tcMar>
          </w:tcPr>
          <w:p>
            <w:pPr>
              <w:spacing w:line="247" w:lineRule="auto" w:after="20" w:before="0"/>
            </w:pPr>
            <w:r>
              <w:rPr>
                <w:rFonts w:ascii="Arial" w:hAnsi="Arial"/>
                <w:sz w:val="19"/>
              </w:rPr>
              <w:t>Call review, summaries/actions, coaching and cross-call topics.</w:t>
            </w:r>
          </w:p>
        </w:tc>
        <w:tc>
          <w:tcPr>
            <w:tcW w:type="dxa" w:w="6106"/>
            <w:tcMar>
              <w:top w:w="35" w:type="dxa"/>
              <w:bottom w:w="35" w:type="dxa"/>
            </w:tcMar>
          </w:tcPr>
          <w:p>
            <w:pPr>
              <w:spacing w:line="247" w:lineRule="auto" w:after="20" w:before="0"/>
            </w:pPr>
            <w:r>
              <w:rPr>
                <w:rFonts w:ascii="Arial" w:hAnsi="Arial"/>
                <w:sz w:val="19"/>
              </w:rPr>
              <w:t>Legacy/new product language parity and package conditions remain unverified.</w:t>
            </w:r>
          </w:p>
        </w:tc>
      </w:tr>
      <w:tr>
        <w:tc>
          <w:tcPr>
            <w:tcW w:type="dxa" w:w="2880"/>
            <w:tcMar>
              <w:top w:w="35" w:type="dxa"/>
              <w:bottom w:w="35" w:type="dxa"/>
            </w:tcMar>
          </w:tcPr>
          <w:p>
            <w:pPr>
              <w:spacing w:line="247" w:lineRule="auto" w:after="20" w:before="0"/>
            </w:pPr>
            <w:r>
              <w:rPr>
                <w:rFonts w:ascii="Arial" w:hAnsi="Arial"/>
                <w:sz w:val="19"/>
              </w:rPr>
              <w:t>HubSpot Conversation Intelligence</w:t>
            </w:r>
          </w:p>
        </w:tc>
        <w:tc>
          <w:tcPr>
            <w:tcW w:type="dxa" w:w="5976"/>
            <w:tcMar>
              <w:top w:w="35" w:type="dxa"/>
              <w:bottom w:w="35" w:type="dxa"/>
            </w:tcMar>
          </w:tcPr>
          <w:p>
            <w:pPr>
              <w:spacing w:line="247" w:lineRule="auto" w:after="20" w:before="0"/>
            </w:pPr>
            <w:r>
              <w:rPr>
                <w:rFonts w:ascii="Arial" w:hAnsi="Arial"/>
                <w:sz w:val="19"/>
              </w:rPr>
              <w:t>Associated CRM records, transcripts, comments and reporting.</w:t>
            </w:r>
          </w:p>
        </w:tc>
        <w:tc>
          <w:tcPr>
            <w:tcW w:type="dxa" w:w="6106"/>
            <w:tcMar>
              <w:top w:w="35" w:type="dxa"/>
              <w:bottom w:w="35" w:type="dxa"/>
            </w:tcMar>
          </w:tcPr>
          <w:p>
            <w:pPr>
              <w:spacing w:line="247" w:lineRule="auto" w:after="20" w:before="0"/>
            </w:pPr>
            <w:r>
              <w:rPr>
                <w:rFonts w:ascii="Arial" w:hAnsi="Arial"/>
                <w:sz w:val="19"/>
              </w:rPr>
              <w:t>Russian/Kazakh are listed; transcription and reporting depend on seats/tier.</w:t>
            </w:r>
          </w:p>
        </w:tc>
      </w:tr>
      <w:tr>
        <w:tc>
          <w:tcPr>
            <w:tcW w:type="dxa" w:w="2880"/>
            <w:tcMar>
              <w:top w:w="35" w:type="dxa"/>
              <w:bottom w:w="35" w:type="dxa"/>
            </w:tcMar>
          </w:tcPr>
          <w:p>
            <w:pPr>
              <w:spacing w:line="247" w:lineRule="auto" w:after="20" w:before="0"/>
            </w:pPr>
            <w:r>
              <w:rPr>
                <w:rFonts w:ascii="Arial" w:hAnsi="Arial"/>
                <w:sz w:val="19"/>
              </w:rPr>
              <w:t>Dynamics 365 Sales CI</w:t>
            </w:r>
          </w:p>
        </w:tc>
        <w:tc>
          <w:tcPr>
            <w:tcW w:type="dxa" w:w="5976"/>
            <w:tcMar>
              <w:top w:w="35" w:type="dxa"/>
              <w:bottom w:w="35" w:type="dxa"/>
            </w:tcMar>
          </w:tcPr>
          <w:p>
            <w:pPr>
              <w:spacing w:line="247" w:lineRule="auto" w:after="20" w:before="0"/>
            </w:pPr>
            <w:r>
              <w:rPr>
                <w:rFonts w:ascii="Arial" w:hAnsi="Arial"/>
                <w:sz w:val="19"/>
              </w:rPr>
              <w:t>Teams conversations, CRM summaries and manager dashboards.</w:t>
            </w:r>
          </w:p>
        </w:tc>
        <w:tc>
          <w:tcPr>
            <w:tcW w:type="dxa" w:w="6106"/>
            <w:tcMar>
              <w:top w:w="35" w:type="dxa"/>
              <w:bottom w:w="35" w:type="dxa"/>
            </w:tcMar>
          </w:tcPr>
          <w:p>
            <w:pPr>
              <w:spacing w:line="247" w:lineRule="auto" w:after="20" w:before="0"/>
            </w:pPr>
            <w:r>
              <w:rPr>
                <w:rFonts w:ascii="Arial" w:hAnsi="Arial"/>
                <w:sz w:val="19"/>
              </w:rPr>
              <w:t>Insights vary by language; Russian/Kazakh are absent from the reviewed CI matrix.</w:t>
            </w:r>
          </w:p>
        </w:tc>
      </w:tr>
    </w:tbl>
    <w:p>
      <w:pPr>
        <w:spacing w:after="100"/>
      </w:pPr>
      <w:r>
        <w:rPr>
          <w:sz w:val="19"/>
        </w:rPr>
        <w:t>Sources: (Gong, n.d., 2026a, 2026b, 2026c, 2026d, 2026e; HubSpot, 2026a, 2026b; Microsoft, 2025, 2026a, 2026b, 2026c, 2026d; Salesloft, n.d.-a, n.d.-b, 2026a, 2026b, 2026c, 2026d).</w:t>
      </w:r>
    </w:p>
    <w:p>
      <w:pPr>
        <w:pStyle w:val="Heading1"/>
      </w:pPr>
      <w:r>
        <w:t>5 Technology comparison</w:t>
      </w:r>
    </w:p>
    <w:tbl>
      <w:tblPr>
        <w:tblStyle w:val="TableGrid"/>
        <w:tblW w:type="auto" w:w="0"/>
        <w:tblLayout w:type="fixed"/>
        <w:tblLook w:firstColumn="1" w:firstRow="1" w:lastColumn="0" w:lastRow="0" w:noHBand="0" w:noVBand="1" w:val="04A0"/>
      </w:tblPr>
      <w:tblGrid>
        <w:gridCol w:w="2016"/>
        <w:gridCol w:w="4824"/>
        <w:gridCol w:w="8122"/>
      </w:tblGrid>
      <w:tr>
        <w:trPr>
          <w:tblHeader/>
        </w:trPr>
        <w:tc>
          <w:tcPr>
            <w:tcW w:type="dxa" w:w="2016"/>
            <w:tcMar>
              <w:top w:w="35" w:type="dxa"/>
              <w:bottom w:w="35" w:type="dxa"/>
            </w:tcMar>
          </w:tcPr>
          <w:p>
            <w:pPr>
              <w:spacing w:line="247" w:lineRule="auto" w:after="20" w:before="0"/>
            </w:pPr>
            <w:r>
              <w:rPr>
                <w:rFonts w:ascii="Arial" w:hAnsi="Arial"/>
                <w:b/>
                <w:sz w:val="19"/>
              </w:rPr>
              <w:t>Decision</w:t>
            </w:r>
          </w:p>
        </w:tc>
        <w:tc>
          <w:tcPr>
            <w:tcW w:type="dxa" w:w="4824"/>
            <w:tcMar>
              <w:top w:w="35" w:type="dxa"/>
              <w:bottom w:w="35" w:type="dxa"/>
            </w:tcMar>
          </w:tcPr>
          <w:p>
            <w:pPr>
              <w:spacing w:line="247" w:lineRule="auto" w:after="20" w:before="0"/>
            </w:pPr>
            <w:r>
              <w:rPr>
                <w:rFonts w:ascii="Arial" w:hAnsi="Arial"/>
                <w:b/>
                <w:sz w:val="19"/>
              </w:rPr>
              <w:t>Three alternatives</w:t>
            </w:r>
          </w:p>
        </w:tc>
        <w:tc>
          <w:tcPr>
            <w:tcW w:type="dxa" w:w="8122"/>
            <w:tcMar>
              <w:top w:w="35" w:type="dxa"/>
              <w:bottom w:w="35" w:type="dxa"/>
            </w:tcMar>
          </w:tcPr>
          <w:p>
            <w:pPr>
              <w:spacing w:line="247" w:lineRule="auto" w:after="20" w:before="0"/>
            </w:pPr>
            <w:r>
              <w:rPr>
                <w:rFonts w:ascii="Arial" w:hAnsi="Arial"/>
                <w:b/>
                <w:sz w:val="19"/>
              </w:rPr>
              <w:t>Proposed choice and reason</w:t>
            </w:r>
          </w:p>
        </w:tc>
      </w:tr>
      <w:tr>
        <w:tc>
          <w:tcPr>
            <w:tcW w:type="dxa" w:w="2016"/>
            <w:tcMar>
              <w:top w:w="35" w:type="dxa"/>
              <w:bottom w:w="35" w:type="dxa"/>
            </w:tcMar>
          </w:tcPr>
          <w:p>
            <w:pPr>
              <w:spacing w:line="247" w:lineRule="auto" w:after="20" w:before="0"/>
            </w:pPr>
            <w:r>
              <w:rPr>
                <w:rFonts w:ascii="Arial" w:hAnsi="Arial"/>
                <w:sz w:val="19"/>
              </w:rPr>
              <w:t>Backend</w:t>
            </w:r>
          </w:p>
        </w:tc>
        <w:tc>
          <w:tcPr>
            <w:tcW w:type="dxa" w:w="4824"/>
            <w:tcMar>
              <w:top w:w="35" w:type="dxa"/>
              <w:bottom w:w="35" w:type="dxa"/>
            </w:tcMar>
          </w:tcPr>
          <w:p>
            <w:pPr>
              <w:spacing w:line="247" w:lineRule="auto" w:after="20" w:before="0"/>
            </w:pPr>
            <w:r>
              <w:rPr>
                <w:rFonts w:ascii="Arial" w:hAnsi="Arial"/>
                <w:sz w:val="19"/>
              </w:rPr>
              <w:t>FastAPI; Django; NestJS</w:t>
            </w:r>
          </w:p>
        </w:tc>
        <w:tc>
          <w:tcPr>
            <w:tcW w:type="dxa" w:w="8122"/>
            <w:tcMar>
              <w:top w:w="35" w:type="dxa"/>
              <w:bottom w:w="35" w:type="dxa"/>
            </w:tcMar>
          </w:tcPr>
          <w:p>
            <w:pPr>
              <w:spacing w:line="247" w:lineRule="auto" w:after="20" w:before="0"/>
            </w:pPr>
            <w:r>
              <w:rPr>
                <w:rFonts w:ascii="Arial" w:hAnsi="Arial"/>
                <w:sz w:val="19"/>
              </w:rPr>
              <w:t>FastAPI keeps API and speech/evaluation tooling in Python.</w:t>
            </w:r>
          </w:p>
        </w:tc>
      </w:tr>
      <w:tr>
        <w:tc>
          <w:tcPr>
            <w:tcW w:type="dxa" w:w="2016"/>
            <w:tcMar>
              <w:top w:w="35" w:type="dxa"/>
              <w:bottom w:w="35" w:type="dxa"/>
            </w:tcMar>
          </w:tcPr>
          <w:p>
            <w:pPr>
              <w:spacing w:line="247" w:lineRule="auto" w:after="20" w:before="0"/>
            </w:pPr>
            <w:r>
              <w:rPr>
                <w:rFonts w:ascii="Arial" w:hAnsi="Arial"/>
                <w:sz w:val="19"/>
              </w:rPr>
              <w:t>Database</w:t>
            </w:r>
          </w:p>
        </w:tc>
        <w:tc>
          <w:tcPr>
            <w:tcW w:type="dxa" w:w="4824"/>
            <w:tcMar>
              <w:top w:w="35" w:type="dxa"/>
              <w:bottom w:w="35" w:type="dxa"/>
            </w:tcMar>
          </w:tcPr>
          <w:p>
            <w:pPr>
              <w:spacing w:line="247" w:lineRule="auto" w:after="20" w:before="0"/>
            </w:pPr>
            <w:r>
              <w:rPr>
                <w:rFonts w:ascii="Arial" w:hAnsi="Arial"/>
                <w:sz w:val="19"/>
              </w:rPr>
              <w:t>PostgreSQL; SQLite; MongoDB</w:t>
            </w:r>
          </w:p>
        </w:tc>
        <w:tc>
          <w:tcPr>
            <w:tcW w:type="dxa" w:w="8122"/>
            <w:tcMar>
              <w:top w:w="35" w:type="dxa"/>
              <w:bottom w:w="35" w:type="dxa"/>
            </w:tcMar>
          </w:tcPr>
          <w:p>
            <w:pPr>
              <w:spacing w:line="247" w:lineRule="auto" w:after="20" w:before="0"/>
            </w:pPr>
            <w:r>
              <w:rPr>
                <w:rFonts w:ascii="Arial" w:hAnsi="Arial"/>
                <w:sz w:val="19"/>
              </w:rPr>
              <w:t>PostgreSQL supports explicit shared deal/call relationships and JSON metadata.</w:t>
            </w:r>
          </w:p>
        </w:tc>
      </w:tr>
      <w:tr>
        <w:tc>
          <w:tcPr>
            <w:tcW w:type="dxa" w:w="2016"/>
            <w:tcMar>
              <w:top w:w="35" w:type="dxa"/>
              <w:bottom w:w="35" w:type="dxa"/>
            </w:tcMar>
          </w:tcPr>
          <w:p>
            <w:pPr>
              <w:spacing w:line="247" w:lineRule="auto" w:after="20" w:before="0"/>
            </w:pPr>
            <w:r>
              <w:rPr>
                <w:rFonts w:ascii="Arial" w:hAnsi="Arial"/>
                <w:sz w:val="19"/>
              </w:rPr>
              <w:t>Speech recognition</w:t>
            </w:r>
          </w:p>
        </w:tc>
        <w:tc>
          <w:tcPr>
            <w:tcW w:type="dxa" w:w="4824"/>
            <w:tcMar>
              <w:top w:w="35" w:type="dxa"/>
              <w:bottom w:w="35" w:type="dxa"/>
            </w:tcMar>
          </w:tcPr>
          <w:p>
            <w:pPr>
              <w:spacing w:line="247" w:lineRule="auto" w:after="20" w:before="0"/>
            </w:pPr>
            <w:r>
              <w:rPr>
                <w:rFonts w:ascii="Arial" w:hAnsi="Arial"/>
                <w:sz w:val="19"/>
              </w:rPr>
              <w:t>Local Whisper; Azure Speech; Google Cloud STT</w:t>
            </w:r>
          </w:p>
        </w:tc>
        <w:tc>
          <w:tcPr>
            <w:tcW w:type="dxa" w:w="8122"/>
            <w:tcMar>
              <w:top w:w="35" w:type="dxa"/>
              <w:bottom w:w="35" w:type="dxa"/>
            </w:tcMar>
          </w:tcPr>
          <w:p>
            <w:pPr>
              <w:spacing w:line="247" w:lineRule="auto" w:after="20" w:before="0"/>
            </w:pPr>
            <w:r>
              <w:rPr>
                <w:rFonts w:ascii="Arial" w:hAnsi="Arial"/>
                <w:sz w:val="19"/>
              </w:rPr>
              <w:t>Local Whisper baseline; compare quality and compute before choosing model size.</w:t>
            </w:r>
          </w:p>
        </w:tc>
      </w:tr>
      <w:tr>
        <w:tc>
          <w:tcPr>
            <w:tcW w:type="dxa" w:w="2016"/>
            <w:tcMar>
              <w:top w:w="35" w:type="dxa"/>
              <w:bottom w:w="35" w:type="dxa"/>
            </w:tcMar>
          </w:tcPr>
          <w:p>
            <w:pPr>
              <w:spacing w:line="247" w:lineRule="auto" w:after="20" w:before="0"/>
            </w:pPr>
            <w:r>
              <w:rPr>
                <w:rFonts w:ascii="Arial" w:hAnsi="Arial"/>
                <w:sz w:val="19"/>
              </w:rPr>
              <w:t>Job processing</w:t>
            </w:r>
          </w:p>
        </w:tc>
        <w:tc>
          <w:tcPr>
            <w:tcW w:type="dxa" w:w="4824"/>
            <w:tcMar>
              <w:top w:w="35" w:type="dxa"/>
              <w:bottom w:w="35" w:type="dxa"/>
            </w:tcMar>
          </w:tcPr>
          <w:p>
            <w:pPr>
              <w:spacing w:line="247" w:lineRule="auto" w:after="20" w:before="0"/>
            </w:pPr>
            <w:r>
              <w:rPr>
                <w:rFonts w:ascii="Arial" w:hAnsi="Arial"/>
                <w:sz w:val="19"/>
              </w:rPr>
              <w:t>Synchronous requests; FastAPI BackgroundTasks; Celery</w:t>
            </w:r>
          </w:p>
        </w:tc>
        <w:tc>
          <w:tcPr>
            <w:tcW w:type="dxa" w:w="8122"/>
            <w:tcMar>
              <w:top w:w="35" w:type="dxa"/>
              <w:bottom w:w="35" w:type="dxa"/>
            </w:tcMar>
          </w:tcPr>
          <w:p>
            <w:pPr>
              <w:spacing w:line="247" w:lineRule="auto" w:after="20" w:before="0"/>
            </w:pPr>
            <w:r>
              <w:rPr>
                <w:rFonts w:ascii="Arial" w:hAnsi="Arial"/>
                <w:sz w:val="19"/>
              </w:rPr>
              <w:t>Celery with Redis separates inference and recovery from dashboard requests.</w:t>
            </w:r>
          </w:p>
        </w:tc>
      </w:tr>
    </w:tbl>
    <w:p>
      <w:r>
        <w:rPr>
          <w:sz w:val="19"/>
        </w:rPr>
        <w:t>Technical sources: (Celery, n.d.; Django Software Foundation, n.d.; FastAPI, n.d.-a, n.d.-b; Google Cloud, 2026a, 2026b; Microsoft, 2026e; MongoDB, n.d.; NestJS, n.d.; OpenAI, n.d.; PostgreSQL Global Development Group, n.d.-a, n.d.-b; SQLite, n.d.). Appendix G preserves the full alternatives and evidence. Private local/S3-compatible audio storage, explicit permissions and reproducible benchmarks remain design requirements; no accuracy or cost winner is assumed.</w:t>
      </w:r>
    </w:p>
    <w:p>
      <w:pPr>
        <w:sectPr>
          <w:pgSz w:w="16834" w:h="11909" w:orient="landscape"/>
          <w:pgMar w:top="936" w:right="936" w:bottom="936" w:left="936" w:header="432" w:footer="432" w:gutter="0"/>
          <w:cols w:space="240" w:num="1"/>
          <w:docGrid w:linePitch="360"/>
        </w:sectPr>
      </w:pPr>
    </w:p>
    <w:p>
      <w:pPr>
        <w:pStyle w:val="Heading1"/>
      </w:pPr>
      <w:r>
        <w:t>6 Requirements specification</w:t>
      </w:r>
    </w:p>
    <w:p>
      <w:r>
        <w:t>All 26 requirements and acceptance tests are retained in Appendix B and docs/requirements.csv. Must items define the MVP; Should items may be revised after the pilot and Could items are optional. The grouped summary below preserves scope while avoiding repeated acceptance detail.</w:t>
      </w:r>
    </w:p>
    <w:tbl>
      <w:tblPr>
        <w:tblStyle w:val="TableGrid"/>
        <w:tblW w:type="auto" w:w="0"/>
        <w:tblLayout w:type="fixed"/>
        <w:tblLook w:firstColumn="1" w:firstRow="1" w:lastColumn="0" w:lastRow="0" w:noHBand="0" w:noVBand="1" w:val="04A0"/>
      </w:tblPr>
      <w:tblGrid>
        <w:gridCol w:w="1584"/>
        <w:gridCol w:w="3816"/>
        <w:gridCol w:w="4493"/>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3816"/>
            <w:tcMar>
              <w:top w:w="35" w:type="dxa"/>
              <w:bottom w:w="35" w:type="dxa"/>
            </w:tcMar>
          </w:tcPr>
          <w:p>
            <w:pPr>
              <w:spacing w:line="247" w:lineRule="auto" w:after="20" w:before="0"/>
            </w:pPr>
            <w:r>
              <w:rPr>
                <w:rFonts w:ascii="Arial" w:hAnsi="Arial"/>
                <w:b/>
                <w:sz w:val="19"/>
              </w:rPr>
              <w:t>Scope and priority</w:t>
            </w:r>
          </w:p>
        </w:tc>
        <w:tc>
          <w:tcPr>
            <w:tcW w:type="dxa" w:w="4493"/>
            <w:tcMar>
              <w:top w:w="35" w:type="dxa"/>
              <w:bottom w:w="35" w:type="dxa"/>
            </w:tcMar>
          </w:tcPr>
          <w:p>
            <w:pPr>
              <w:spacing w:line="247" w:lineRule="auto" w:after="20" w:before="0"/>
            </w:pPr>
            <w:r>
              <w:rPr>
                <w:rFonts w:ascii="Arial" w:hAnsi="Arial"/>
                <w:b/>
                <w:sz w:val="19"/>
              </w:rPr>
              <w:t>Acceptance evidence</w:t>
            </w:r>
          </w:p>
        </w:tc>
      </w:tr>
      <w:tr>
        <w:tc>
          <w:tcPr>
            <w:tcW w:type="dxa" w:w="1584"/>
            <w:tcMar>
              <w:top w:w="35" w:type="dxa"/>
              <w:bottom w:w="35" w:type="dxa"/>
            </w:tcMar>
          </w:tcPr>
          <w:p>
            <w:pPr>
              <w:spacing w:line="247" w:lineRule="auto" w:after="20" w:before="0"/>
            </w:pPr>
            <w:r>
              <w:rPr>
                <w:rFonts w:ascii="Arial" w:hAnsi="Arial"/>
                <w:sz w:val="19"/>
              </w:rPr>
              <w:t>FR01</w:t>
            </w:r>
          </w:p>
        </w:tc>
        <w:tc>
          <w:tcPr>
            <w:tcW w:type="dxa" w:w="3816"/>
            <w:tcMar>
              <w:top w:w="35" w:type="dxa"/>
              <w:bottom w:w="35" w:type="dxa"/>
            </w:tcMar>
          </w:tcPr>
          <w:p>
            <w:pPr>
              <w:spacing w:line="247" w:lineRule="auto" w:after="20" w:before="0"/>
            </w:pPr>
            <w:r>
              <w:rPr>
                <w:rFonts w:ascii="Arial" w:hAnsi="Arial"/>
                <w:sz w:val="19"/>
              </w:rPr>
              <w:t>Must: authentication and scoped access</w:t>
            </w:r>
          </w:p>
        </w:tc>
        <w:tc>
          <w:tcPr>
            <w:tcW w:type="dxa" w:w="4493"/>
            <w:tcMar>
              <w:top w:w="35" w:type="dxa"/>
              <w:bottom w:w="35" w:type="dxa"/>
            </w:tcMar>
          </w:tcPr>
          <w:p>
            <w:pPr>
              <w:spacing w:line="247" w:lineRule="auto" w:after="20" w:before="0"/>
            </w:pPr>
            <w:r>
              <w:rPr>
                <w:rFonts w:ascii="Arial" w:hAnsi="Arial"/>
                <w:sz w:val="19"/>
              </w:rPr>
              <w:t>401 without login; deny cross-team and direct-ID access.</w:t>
            </w:r>
          </w:p>
        </w:tc>
      </w:tr>
      <w:tr>
        <w:tc>
          <w:tcPr>
            <w:tcW w:type="dxa" w:w="1584"/>
            <w:tcMar>
              <w:top w:w="35" w:type="dxa"/>
              <w:bottom w:w="35" w:type="dxa"/>
            </w:tcMar>
          </w:tcPr>
          <w:p>
            <w:pPr>
              <w:spacing w:line="247" w:lineRule="auto" w:after="20" w:before="0"/>
            </w:pPr>
            <w:r>
              <w:rPr>
                <w:rFonts w:ascii="Arial" w:hAnsi="Arial"/>
                <w:sz w:val="19"/>
              </w:rPr>
              <w:t>FR02–FR03</w:t>
            </w:r>
          </w:p>
        </w:tc>
        <w:tc>
          <w:tcPr>
            <w:tcW w:type="dxa" w:w="3816"/>
            <w:tcMar>
              <w:top w:w="35" w:type="dxa"/>
              <w:bottom w:w="35" w:type="dxa"/>
            </w:tcMar>
          </w:tcPr>
          <w:p>
            <w:pPr>
              <w:spacing w:line="247" w:lineRule="auto" w:after="20" w:before="0"/>
            </w:pPr>
            <w:r>
              <w:rPr>
                <w:rFonts w:ascii="Arial" w:hAnsi="Arial"/>
                <w:sz w:val="19"/>
              </w:rPr>
              <w:t>Must: CSV import and explicit call/deal joins</w:t>
            </w:r>
          </w:p>
        </w:tc>
        <w:tc>
          <w:tcPr>
            <w:tcW w:type="dxa" w:w="4493"/>
            <w:tcMar>
              <w:top w:w="35" w:type="dxa"/>
              <w:bottom w:w="35" w:type="dxa"/>
            </w:tcMar>
          </w:tcPr>
          <w:p>
            <w:pPr>
              <w:spacing w:line="247" w:lineRule="auto" w:after="20" w:before="0"/>
            </w:pPr>
            <w:r>
              <w:rPr>
                <w:rFonts w:ascii="Arial" w:hAnsi="Arial"/>
                <w:sz w:val="19"/>
              </w:rPr>
              <w:t>Report invalid rows and missing links; repeated imports do not duplicate records.</w:t>
            </w:r>
          </w:p>
        </w:tc>
      </w:tr>
      <w:tr>
        <w:tc>
          <w:tcPr>
            <w:tcW w:type="dxa" w:w="1584"/>
            <w:tcMar>
              <w:top w:w="35" w:type="dxa"/>
              <w:bottom w:w="35" w:type="dxa"/>
            </w:tcMar>
          </w:tcPr>
          <w:p>
            <w:pPr>
              <w:spacing w:line="247" w:lineRule="auto" w:after="20" w:before="0"/>
            </w:pPr>
            <w:r>
              <w:rPr>
                <w:rFonts w:ascii="Arial" w:hAnsi="Arial"/>
                <w:sz w:val="19"/>
              </w:rPr>
              <w:t>FR04–FR05</w:t>
            </w:r>
          </w:p>
        </w:tc>
        <w:tc>
          <w:tcPr>
            <w:tcW w:type="dxa" w:w="3816"/>
            <w:tcMar>
              <w:top w:w="35" w:type="dxa"/>
              <w:bottom w:w="35" w:type="dxa"/>
            </w:tcMar>
          </w:tcPr>
          <w:p>
            <w:pPr>
              <w:spacing w:line="247" w:lineRule="auto" w:after="20" w:before="0"/>
            </w:pPr>
            <w:r>
              <w:rPr>
                <w:rFonts w:ascii="Arial" w:hAnsi="Arial"/>
                <w:sz w:val="19"/>
              </w:rPr>
              <w:t>Must: permitted audio and recoverable jobs</w:t>
            </w:r>
          </w:p>
        </w:tc>
        <w:tc>
          <w:tcPr>
            <w:tcW w:type="dxa" w:w="4493"/>
            <w:tcMar>
              <w:top w:w="35" w:type="dxa"/>
              <w:bottom w:w="35" w:type="dxa"/>
            </w:tcMar>
          </w:tcPr>
          <w:p>
            <w:pPr>
              <w:spacing w:line="247" w:lineRule="auto" w:after="20" w:before="0"/>
            </w:pPr>
            <w:r>
              <w:rPr>
                <w:rFonts w:ascii="Arial" w:hAnsi="Arial"/>
                <w:sz w:val="19"/>
              </w:rPr>
              <w:t>Validate size/duration; expose job ID, states, bounded retries and failures.</w:t>
            </w:r>
          </w:p>
        </w:tc>
      </w:tr>
      <w:tr>
        <w:tc>
          <w:tcPr>
            <w:tcW w:type="dxa" w:w="1584"/>
            <w:tcMar>
              <w:top w:w="35" w:type="dxa"/>
              <w:bottom w:w="35" w:type="dxa"/>
            </w:tcMar>
          </w:tcPr>
          <w:p>
            <w:pPr>
              <w:spacing w:line="247" w:lineRule="auto" w:after="20" w:before="0"/>
            </w:pPr>
            <w:r>
              <w:rPr>
                <w:rFonts w:ascii="Arial" w:hAnsi="Arial"/>
                <w:sz w:val="19"/>
              </w:rPr>
              <w:t>FR06–FR07</w:t>
            </w:r>
          </w:p>
        </w:tc>
        <w:tc>
          <w:tcPr>
            <w:tcW w:type="dxa" w:w="3816"/>
            <w:tcMar>
              <w:top w:w="35" w:type="dxa"/>
              <w:bottom w:w="35" w:type="dxa"/>
            </w:tcMar>
          </w:tcPr>
          <w:p>
            <w:pPr>
              <w:spacing w:line="247" w:lineRule="auto" w:after="20" w:before="0"/>
            </w:pPr>
            <w:r>
              <w:rPr>
                <w:rFonts w:ascii="Arial" w:hAnsi="Arial"/>
                <w:sz w:val="19"/>
              </w:rPr>
              <w:t>Must: versioned timestamps; Should: diarization</w:t>
            </w:r>
          </w:p>
        </w:tc>
        <w:tc>
          <w:tcPr>
            <w:tcW w:type="dxa" w:w="4493"/>
            <w:tcMar>
              <w:top w:w="35" w:type="dxa"/>
              <w:bottom w:w="35" w:type="dxa"/>
            </w:tcMar>
          </w:tcPr>
          <w:p>
            <w:pPr>
              <w:spacing w:line="247" w:lineRule="auto" w:after="20" w:before="0"/>
            </w:pPr>
            <w:r>
              <w:rPr>
                <w:rFonts w:ascii="Arial" w:hAnsi="Arial"/>
                <w:sz w:val="19"/>
              </w:rPr>
              <w:t>Valid segment times and model metadata; confirm speaker roles separately.</w:t>
            </w:r>
          </w:p>
        </w:tc>
      </w:tr>
      <w:tr>
        <w:tc>
          <w:tcPr>
            <w:tcW w:type="dxa" w:w="1584"/>
            <w:tcMar>
              <w:top w:w="35" w:type="dxa"/>
              <w:bottom w:w="35" w:type="dxa"/>
            </w:tcMar>
          </w:tcPr>
          <w:p>
            <w:pPr>
              <w:spacing w:line="247" w:lineRule="auto" w:after="20" w:before="0"/>
            </w:pPr>
            <w:r>
              <w:rPr>
                <w:rFonts w:ascii="Arial" w:hAnsi="Arial"/>
                <w:sz w:val="19"/>
              </w:rPr>
              <w:t>FR08–FR09</w:t>
            </w:r>
          </w:p>
        </w:tc>
        <w:tc>
          <w:tcPr>
            <w:tcW w:type="dxa" w:w="3816"/>
            <w:tcMar>
              <w:top w:w="35" w:type="dxa"/>
              <w:bottom w:w="35" w:type="dxa"/>
            </w:tcMar>
          </w:tcPr>
          <w:p>
            <w:pPr>
              <w:spacing w:line="247" w:lineRule="auto" w:after="20" w:before="0"/>
            </w:pPr>
            <w:r>
              <w:rPr>
                <w:rFonts w:ascii="Arial" w:hAnsi="Arial"/>
                <w:sz w:val="19"/>
              </w:rPr>
              <w:t>Must: supported extraction and human review</w:t>
            </w:r>
          </w:p>
        </w:tc>
        <w:tc>
          <w:tcPr>
            <w:tcW w:type="dxa" w:w="4493"/>
            <w:tcMar>
              <w:top w:w="35" w:type="dxa"/>
              <w:bottom w:w="35" w:type="dxa"/>
            </w:tcMar>
          </w:tcPr>
          <w:p>
            <w:pPr>
              <w:spacing w:line="247" w:lineRule="auto" w:after="20" w:before="0"/>
            </w:pPr>
            <w:r>
              <w:rPr>
                <w:rFonts w:ascii="Arial" w:hAnsi="Arial"/>
                <w:sz w:val="19"/>
              </w:rPr>
              <w:t>Valid evidence links, uncertainty, actor/time and old/new revision values.</w:t>
            </w:r>
          </w:p>
        </w:tc>
      </w:tr>
      <w:tr>
        <w:tc>
          <w:tcPr>
            <w:tcW w:type="dxa" w:w="1584"/>
            <w:tcMar>
              <w:top w:w="35" w:type="dxa"/>
              <w:bottom w:w="35" w:type="dxa"/>
            </w:tcMar>
          </w:tcPr>
          <w:p>
            <w:pPr>
              <w:spacing w:line="247" w:lineRule="auto" w:after="20" w:before="0"/>
            </w:pPr>
            <w:r>
              <w:rPr>
                <w:rFonts w:ascii="Arial" w:hAnsi="Arial"/>
                <w:sz w:val="19"/>
              </w:rPr>
              <w:t>FR10</w:t>
            </w:r>
          </w:p>
        </w:tc>
        <w:tc>
          <w:tcPr>
            <w:tcW w:type="dxa" w:w="3816"/>
            <w:tcMar>
              <w:top w:w="35" w:type="dxa"/>
              <w:bottom w:w="35" w:type="dxa"/>
            </w:tcMar>
          </w:tcPr>
          <w:p>
            <w:pPr>
              <w:spacing w:line="247" w:lineRule="auto" w:after="20" w:before="0"/>
            </w:pPr>
            <w:r>
              <w:rPr>
                <w:rFonts w:ascii="Arial" w:hAnsi="Arial"/>
                <w:sz w:val="19"/>
              </w:rPr>
              <w:t>Must: trustworthy dashboard</w:t>
            </w:r>
          </w:p>
        </w:tc>
        <w:tc>
          <w:tcPr>
            <w:tcW w:type="dxa" w:w="4493"/>
            <w:tcMar>
              <w:top w:w="35" w:type="dxa"/>
              <w:bottom w:w="35" w:type="dxa"/>
            </w:tcMar>
          </w:tcPr>
          <w:p>
            <w:pPr>
              <w:spacing w:line="247" w:lineRule="auto" w:after="20" w:before="0"/>
            </w:pPr>
            <w:r>
              <w:rPr>
                <w:rFonts w:ascii="Arial" w:hAnsi="Arial"/>
                <w:sz w:val="19"/>
              </w:rPr>
              <w:t>Hand-calculated fixture totals; distinct deals and declared date basis.</w:t>
            </w:r>
          </w:p>
        </w:tc>
      </w:tr>
      <w:tr>
        <w:tc>
          <w:tcPr>
            <w:tcW w:type="dxa" w:w="1584"/>
            <w:tcMar>
              <w:top w:w="35" w:type="dxa"/>
              <w:bottom w:w="35" w:type="dxa"/>
            </w:tcMar>
          </w:tcPr>
          <w:p>
            <w:pPr>
              <w:spacing w:line="247" w:lineRule="auto" w:after="20" w:before="0"/>
            </w:pPr>
            <w:r>
              <w:rPr>
                <w:rFonts w:ascii="Arial" w:hAnsi="Arial"/>
                <w:sz w:val="19"/>
              </w:rPr>
              <w:t>FR11–FR12</w:t>
            </w:r>
          </w:p>
        </w:tc>
        <w:tc>
          <w:tcPr>
            <w:tcW w:type="dxa" w:w="3816"/>
            <w:tcMar>
              <w:top w:w="35" w:type="dxa"/>
              <w:bottom w:w="35" w:type="dxa"/>
            </w:tcMar>
          </w:tcPr>
          <w:p>
            <w:pPr>
              <w:spacing w:line="247" w:lineRule="auto" w:after="20" w:before="0"/>
            </w:pPr>
            <w:r>
              <w:rPr>
                <w:rFonts w:ascii="Arial" w:hAnsi="Arial"/>
                <w:sz w:val="19"/>
              </w:rPr>
              <w:t>Must: scoped search and CSV export</w:t>
            </w:r>
          </w:p>
        </w:tc>
        <w:tc>
          <w:tcPr>
            <w:tcW w:type="dxa" w:w="4493"/>
            <w:tcMar>
              <w:top w:w="35" w:type="dxa"/>
              <w:bottom w:w="35" w:type="dxa"/>
            </w:tcMar>
          </w:tcPr>
          <w:p>
            <w:pPr>
              <w:spacing w:line="247" w:lineRule="auto" w:after="20" w:before="0"/>
            </w:pPr>
            <w:r>
              <w:rPr>
                <w:rFonts w:ascii="Arial" w:hAnsi="Arial"/>
                <w:sz w:val="19"/>
              </w:rPr>
              <w:t>Only permitted matches; export follows filters and neutralizes formula text.</w:t>
            </w:r>
          </w:p>
        </w:tc>
      </w:tr>
      <w:tr>
        <w:tc>
          <w:tcPr>
            <w:tcW w:type="dxa" w:w="1584"/>
            <w:tcMar>
              <w:top w:w="35" w:type="dxa"/>
              <w:bottom w:w="35" w:type="dxa"/>
            </w:tcMar>
          </w:tcPr>
          <w:p>
            <w:pPr>
              <w:spacing w:line="247" w:lineRule="auto" w:after="20" w:before="0"/>
            </w:pPr>
            <w:r>
              <w:rPr>
                <w:rFonts w:ascii="Arial" w:hAnsi="Arial"/>
                <w:sz w:val="19"/>
              </w:rPr>
              <w:t>FR13–FR14</w:t>
            </w:r>
          </w:p>
        </w:tc>
        <w:tc>
          <w:tcPr>
            <w:tcW w:type="dxa" w:w="3816"/>
            <w:tcMar>
              <w:top w:w="35" w:type="dxa"/>
              <w:bottom w:w="35" w:type="dxa"/>
            </w:tcMar>
          </w:tcPr>
          <w:p>
            <w:pPr>
              <w:spacing w:line="247" w:lineRule="auto" w:after="20" w:before="0"/>
            </w:pPr>
            <w:r>
              <w:rPr>
                <w:rFonts w:ascii="Arial" w:hAnsi="Arial"/>
                <w:sz w:val="19"/>
              </w:rPr>
              <w:t>Must: deletion and authoritative outcomes</w:t>
            </w:r>
          </w:p>
        </w:tc>
        <w:tc>
          <w:tcPr>
            <w:tcW w:type="dxa" w:w="4493"/>
            <w:tcMar>
              <w:top w:w="35" w:type="dxa"/>
              <w:bottom w:w="35" w:type="dxa"/>
            </w:tcMar>
          </w:tcPr>
          <w:p>
            <w:pPr>
              <w:spacing w:line="247" w:lineRule="auto" w:after="20" w:before="0"/>
            </w:pPr>
            <w:r>
              <w:rPr>
                <w:rFonts w:ascii="Arial" w:hAnsi="Arial"/>
                <w:sz w:val="19"/>
              </w:rPr>
              <w:t>Delete active sensitive derivatives within 24h; backup expiry ≤30 days; CRM outcome remains authoritative.</w:t>
            </w:r>
          </w:p>
        </w:tc>
      </w:tr>
      <w:tr>
        <w:tc>
          <w:tcPr>
            <w:tcW w:type="dxa" w:w="1584"/>
            <w:tcMar>
              <w:top w:w="35" w:type="dxa"/>
              <w:bottom w:w="35" w:type="dxa"/>
            </w:tcMar>
          </w:tcPr>
          <w:p>
            <w:pPr>
              <w:spacing w:line="247" w:lineRule="auto" w:after="20" w:before="0"/>
            </w:pPr>
            <w:r>
              <w:rPr>
                <w:rFonts w:ascii="Arial" w:hAnsi="Arial"/>
                <w:sz w:val="19"/>
              </w:rPr>
              <w:t>FR15–FR16</w:t>
            </w:r>
          </w:p>
        </w:tc>
        <w:tc>
          <w:tcPr>
            <w:tcW w:type="dxa" w:w="3816"/>
            <w:tcMar>
              <w:top w:w="35" w:type="dxa"/>
              <w:bottom w:w="35" w:type="dxa"/>
            </w:tcMar>
          </w:tcPr>
          <w:p>
            <w:pPr>
              <w:spacing w:line="247" w:lineRule="auto" w:after="20" w:before="0"/>
            </w:pPr>
            <w:r>
              <w:rPr>
                <w:rFonts w:ascii="Arial" w:hAnsi="Arial"/>
                <w:sz w:val="19"/>
              </w:rPr>
              <w:t>Should: evaluator; Could: future CRM adapter</w:t>
            </w:r>
          </w:p>
        </w:tc>
        <w:tc>
          <w:tcPr>
            <w:tcW w:type="dxa" w:w="4493"/>
            <w:tcMar>
              <w:top w:w="35" w:type="dxa"/>
              <w:bottom w:w="35" w:type="dxa"/>
            </w:tcMar>
          </w:tcPr>
          <w:p>
            <w:pPr>
              <w:spacing w:line="247" w:lineRule="auto" w:after="20" w:before="0"/>
            </w:pPr>
            <w:r>
              <w:rPr>
                <w:rFonts w:ascii="Arial" w:hAnsi="Arial"/>
                <w:sz w:val="19"/>
              </w:rPr>
              <w:t>Reproducible language/split/model results; optional scoped idempotent CRM sync.</w:t>
            </w:r>
          </w:p>
        </w:tc>
      </w:tr>
    </w:tbl>
    <w:p>
      <w:pPr>
        <w:pStyle w:val="Heading2"/>
      </w:pPr>
      <w:r>
        <w:t>Quality and data rules</w:t>
      </w:r>
    </w:p>
    <w:tbl>
      <w:tblPr>
        <w:tblStyle w:val="TableGrid"/>
        <w:tblW w:type="auto" w:w="0"/>
        <w:tblLayout w:type="fixed"/>
        <w:tblLook w:firstColumn="1" w:firstRow="1" w:lastColumn="0" w:lastRow="0" w:noHBand="0" w:noVBand="1" w:val="04A0"/>
      </w:tblPr>
      <w:tblGrid>
        <w:gridCol w:w="1584"/>
        <w:gridCol w:w="8309"/>
      </w:tblGrid>
      <w:tr>
        <w:trPr>
          <w:tblHeader/>
        </w:trPr>
        <w:tc>
          <w:tcPr>
            <w:tcW w:type="dxa" w:w="1584"/>
            <w:tcMar>
              <w:top w:w="35" w:type="dxa"/>
              <w:bottom w:w="35" w:type="dxa"/>
            </w:tcMar>
          </w:tcPr>
          <w:p>
            <w:pPr>
              <w:spacing w:line="247" w:lineRule="auto" w:after="20" w:before="0"/>
            </w:pPr>
            <w:r>
              <w:rPr>
                <w:rFonts w:ascii="Arial" w:hAnsi="Arial"/>
                <w:b/>
                <w:sz w:val="19"/>
              </w:rPr>
              <w:t>Requirement IDs</w:t>
            </w:r>
          </w:p>
        </w:tc>
        <w:tc>
          <w:tcPr>
            <w:tcW w:type="dxa" w:w="8309"/>
            <w:tcMar>
              <w:top w:w="35" w:type="dxa"/>
              <w:bottom w:w="35" w:type="dxa"/>
            </w:tcMar>
          </w:tcPr>
          <w:p>
            <w:pPr>
              <w:spacing w:line="247" w:lineRule="auto" w:after="20" w:before="0"/>
            </w:pPr>
            <w:r>
              <w:rPr>
                <w:rFonts w:ascii="Arial" w:hAnsi="Arial"/>
                <w:b/>
                <w:sz w:val="19"/>
              </w:rPr>
              <w:t>Quality and planned verification</w:t>
            </w:r>
          </w:p>
        </w:tc>
      </w:tr>
      <w:tr>
        <w:tc>
          <w:tcPr>
            <w:tcW w:type="dxa" w:w="1584"/>
            <w:tcMar>
              <w:top w:w="35" w:type="dxa"/>
              <w:bottom w:w="35" w:type="dxa"/>
            </w:tcMar>
          </w:tcPr>
          <w:p>
            <w:pPr>
              <w:spacing w:line="247" w:lineRule="auto" w:after="20" w:before="0"/>
            </w:pPr>
            <w:r>
              <w:rPr>
                <w:rFonts w:ascii="Arial" w:hAnsi="Arial"/>
                <w:sz w:val="19"/>
              </w:rPr>
              <w:t>NFR01–NFR03</w:t>
            </w:r>
          </w:p>
        </w:tc>
        <w:tc>
          <w:tcPr>
            <w:tcW w:type="dxa" w:w="8309"/>
            <w:tcMar>
              <w:top w:w="35" w:type="dxa"/>
              <w:bottom w:w="35" w:type="dxa"/>
            </w:tcMar>
          </w:tcPr>
          <w:p>
            <w:pPr>
              <w:spacing w:line="247" w:lineRule="auto" w:after="20" w:before="0"/>
            </w:pPr>
            <w:r>
              <w:rPr>
                <w:rFonts w:ascii="Arial" w:hAnsi="Arial"/>
                <w:sz w:val="19"/>
              </w:rPr>
              <w:t>Must: authorized/minimized data, private objects and secrets, version/hash/revision provenance.</w:t>
            </w:r>
          </w:p>
        </w:tc>
      </w:tr>
      <w:tr>
        <w:tc>
          <w:tcPr>
            <w:tcW w:type="dxa" w:w="1584"/>
            <w:tcMar>
              <w:top w:w="35" w:type="dxa"/>
              <w:bottom w:w="35" w:type="dxa"/>
            </w:tcMar>
          </w:tcPr>
          <w:p>
            <w:pPr>
              <w:spacing w:line="247" w:lineRule="auto" w:after="20" w:before="0"/>
            </w:pPr>
            <w:r>
              <w:rPr>
                <w:rFonts w:ascii="Arial" w:hAnsi="Arial"/>
                <w:sz w:val="19"/>
              </w:rPr>
              <w:t>NFR04–NFR05</w:t>
            </w:r>
          </w:p>
        </w:tc>
        <w:tc>
          <w:tcPr>
            <w:tcW w:type="dxa" w:w="8309"/>
            <w:tcMar>
              <w:top w:w="35" w:type="dxa"/>
              <w:bottom w:w="35" w:type="dxa"/>
            </w:tcMar>
          </w:tcPr>
          <w:p>
            <w:pPr>
              <w:spacing w:line="247" w:lineRule="auto" w:after="20" w:before="0"/>
            </w:pPr>
            <w:r>
              <w:rPr>
                <w:rFonts w:ascii="Arial" w:hAnsi="Arial"/>
                <w:sz w:val="19"/>
              </w:rPr>
              <w:t>Should: API p95 ≤2s under the declared fixture/load; ASR median real-time factor ≤1 and p95 ≤2 on the recorded host.</w:t>
            </w:r>
          </w:p>
        </w:tc>
      </w:tr>
      <w:tr>
        <w:tc>
          <w:tcPr>
            <w:tcW w:type="dxa" w:w="1584"/>
            <w:tcMar>
              <w:top w:w="35" w:type="dxa"/>
              <w:bottom w:w="35" w:type="dxa"/>
            </w:tcMar>
          </w:tcPr>
          <w:p>
            <w:pPr>
              <w:spacing w:line="247" w:lineRule="auto" w:after="20" w:before="0"/>
            </w:pPr>
            <w:r>
              <w:rPr>
                <w:rFonts w:ascii="Arial" w:hAnsi="Arial"/>
                <w:sz w:val="19"/>
              </w:rPr>
              <w:t>NFR06–NFR08</w:t>
            </w:r>
          </w:p>
        </w:tc>
        <w:tc>
          <w:tcPr>
            <w:tcW w:type="dxa" w:w="8309"/>
            <w:tcMar>
              <w:top w:w="35" w:type="dxa"/>
              <w:bottom w:w="35" w:type="dxa"/>
            </w:tcMar>
          </w:tcPr>
          <w:p>
            <w:pPr>
              <w:spacing w:line="247" w:lineRule="auto" w:after="20" w:before="0"/>
            </w:pPr>
            <w:r>
              <w:rPr>
                <w:rFonts w:ascii="Arial" w:hAnsi="Arial"/>
                <w:sz w:val="19"/>
              </w:rPr>
              <w:t>Must: consistent recovery, usable keyboard workflow and teammate-reproducible setup. Future target: 4/5 users complete fixed tasks in 10 minutes without help.</w:t>
            </w:r>
          </w:p>
        </w:tc>
      </w:tr>
      <w:tr>
        <w:tc>
          <w:tcPr>
            <w:tcW w:type="dxa" w:w="1584"/>
            <w:tcMar>
              <w:top w:w="35" w:type="dxa"/>
              <w:bottom w:w="35" w:type="dxa"/>
            </w:tcMar>
          </w:tcPr>
          <w:p>
            <w:pPr>
              <w:spacing w:line="247" w:lineRule="auto" w:after="20" w:before="0"/>
            </w:pPr>
            <w:r>
              <w:rPr>
                <w:rFonts w:ascii="Arial" w:hAnsi="Arial"/>
                <w:sz w:val="19"/>
              </w:rPr>
              <w:t>NFR09–NFR10</w:t>
            </w:r>
          </w:p>
        </w:tc>
        <w:tc>
          <w:tcPr>
            <w:tcW w:type="dxa" w:w="8309"/>
            <w:tcMar>
              <w:top w:w="35" w:type="dxa"/>
              <w:bottom w:w="35" w:type="dxa"/>
            </w:tcMar>
          </w:tcPr>
          <w:p>
            <w:pPr>
              <w:spacing w:line="247" w:lineRule="auto" w:after="20" w:before="0"/>
            </w:pPr>
            <w:r>
              <w:rPr>
                <w:rFonts w:ascii="Arial" w:hAnsi="Arial"/>
                <w:sz w:val="19"/>
              </w:rPr>
              <w:t>Should: provisional Russian WER ≤25% and Kazakh ≤30%. Must: raw source-grounded evidence precision ≥95%; zero fabricated numeric commitments after human review.</w:t>
            </w:r>
          </w:p>
        </w:tc>
      </w:tr>
    </w:tbl>
    <w:p>
      <w:r>
        <w:t>Time targets exclude upload or ASR waiting where specified; Appendix B defines fixtures and conditions. Source-scoped external IDs map to immutable internal IDs. Calls link to existing deals; time is stored in UTC and initially displayed in Asia/Almaty. Keep currencies separate.</w:t>
      </w:r>
    </w:p>
    <w:p>
      <w:r>
        <w:t>Win rate = won / (won + lost), using distinct CRM deals closed in the selected period; no closed deals means Not available. Calls use recorded_at and open pipeline is a current snapshot. Salespeople see own records, managers their team and analysts only authorized data; administrator status grants no automatic call-content access.</w:t>
      </w:r>
    </w:p>
    <w:p>
      <w:pPr>
        <w:sectPr>
          <w:pgSz w:w="11909" w:h="16834"/>
          <w:pgMar w:top="1008" w:right="1008" w:bottom="1008" w:left="1008" w:header="432" w:footer="432" w:gutter="0"/>
          <w:cols w:space="240" w:num="1"/>
          <w:docGrid w:linePitch="360"/>
        </w:sectPr>
      </w:pPr>
    </w:p>
    <w:p>
      <w:pPr>
        <w:pStyle w:val="Heading1"/>
      </w:pPr>
      <w: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4526280" cy="3123133"/>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4526280" cy="3123133"/>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br w:type="column"/>
      </w:r>
    </w:p>
    <w:p>
      <w:pPr>
        <w:pStyle w:val="Heading2"/>
      </w:pPr>
      <w:r>
        <w:rPr>
          <w:color w:val="000000"/>
        </w:rPr>
        <w:t>Use case diagram</w:t>
      </w:r>
    </w:p>
    <w:p>
      <w:pPr>
        <w:keepNext/>
      </w:pPr>
      <w:r>
        <w:rPr>
          <w:color w:val="000000"/>
        </w:rPr>
        <w:drawing>
          <wp:inline xmlns:a="http://schemas.openxmlformats.org/drawingml/2006/main" xmlns:pic="http://schemas.openxmlformats.org/drawingml/2006/picture">
            <wp:extent cx="4526280" cy="3462604"/>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4526280" cy="3462604"/>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timestamped evidence, correct an objection interpretation and confirm that item. The next action stays a draft until separately reviewed. Failed processing exposes a recovery action and never changes the CRM outcome.</w:t>
      </w:r>
    </w:p>
    <w:p>
      <w:pPr>
        <w:sectPr>
          <w:pgSz w:w="16834" w:h="11909" w:orient="landscape"/>
          <w:pgMar w:top="936" w:right="936" w:bottom="936" w:left="936" w:header="432" w:footer="432" w:gutter="0"/>
          <w:cols w:space="240" w:num="2"/>
          <w:docGrid w:linePitch="360"/>
        </w:sectPr>
      </w:pPr>
    </w:p>
    <w:p>
      <w:pPr>
        <w:pStyle w:val="Heading2"/>
      </w:pPr>
      <w:r>
        <w:rPr>
          <w:color w:val="000000"/>
        </w:rPr>
        <w:t>Component diagram</w:t>
      </w:r>
    </w:p>
    <w:p>
      <w:pPr>
        <w:keepNext/>
      </w:pPr>
      <w:r>
        <w:rPr>
          <w:color w:val="000000"/>
        </w:rPr>
        <w:drawing>
          <wp:inline xmlns:a="http://schemas.openxmlformats.org/drawingml/2006/main" xmlns:pic="http://schemas.openxmlformats.org/drawingml/2006/picture">
            <wp:extent cx="4800600" cy="3552444"/>
            <wp:docPr id="3" name="Picture 3"/>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4800600" cy="3552444"/>
                    </a:xfrm>
                    <a:prstGeom prst="rect"/>
                  </pic:spPr>
                </pic:pic>
              </a:graphicData>
            </a:graphic>
          </wp:inline>
        </w:drawing>
      </w:r>
    </w:p>
    <w:p>
      <w:pPr>
        <w:pStyle w:val="Caption"/>
      </w:pPr>
      <w:r>
        <w:rPr>
          <w:color w:val="000000"/>
        </w:rPr>
        <w:t>Figure 3 API storage and asynchronous worker responsibilities</w:t>
      </w:r>
    </w:p>
    <w:p>
      <w:r>
        <w:rPr>
          <w:color w:val="000000"/>
        </w:rPr>
        <w:t>FastAPI validates imports and access, stores metadata and queues a job. A Celery worker reads private audio, runs transcription and extraction, and stores versioned results in PostgreSQL. Inference is separate from dashboard requests. Retention jobs remove active data and sensitive revisions under the agreed policy.</w:t>
      </w:r>
    </w:p>
    <w:p>
      <w:pPr>
        <w:pStyle w:val="Heading1"/>
      </w:pPr>
      <w:r>
        <w:rPr>
          <w:color w:val="000000"/>
        </w:rPr>
        <w:t>8 UX and prototype</w:t>
      </w:r>
    </w:p>
    <w:p>
      <w:r>
        <w:t>Open prototype/index.html for the local clickable mockup with synthetic records and manually written transcripts. It illustrates interaction; no speech service runs. Editable diagrams and SVG exports are in diagrams/. Appendix C retains role/data rules and Appendix F the larger UX preview.</w:t>
      </w:r>
    </w:p>
    <w:p>
      <w:r>
        <w:t>Flow: map and validate IDs → open a call → follow evidence → correct an objection → filter the dashboard. Eight calls link to seven CRM deals; repeated calls never multiply a deal. Retry and review are in-memory illustrations.</w:t>
      </w:r>
    </w:p>
    <w:p>
      <w:pPr>
        <w:sectPr>
          <w:pgSz w:w="16834" w:h="11909" w:orient="landscape"/>
          <w:pgMar w:top="936" w:right="936" w:bottom="936" w:left="936" w:header="432" w:footer="432" w:gutter="0"/>
          <w:cols w:space="240" w:num="1"/>
          <w:docGrid w:linePitch="360"/>
        </w:sectPr>
      </w:pPr>
    </w:p>
    <w:p>
      <w:pPr>
        <w:pStyle w:val="Heading1"/>
      </w:pPr>
      <w:r>
        <w:rPr>
          <w:color w:val="000000"/>
        </w:rPr>
        <w:t>9 Verification and evaluation plan</w:t>
      </w:r>
    </w:p>
    <w:p>
      <w:r>
        <w:rPr>
          <w:color w:val="000000"/>
        </w:rPr>
        <w:t>The evaluation will separate transcription errors, extraction errors and workflow usability. The public-data profile and synthetic interface checks are complete; no model benchmark or representative-user study has been run. Appendix D gives the full protocol; Appendix B contains the T01–T22 test catalogue.</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Objection macro F1 ≥0.75 and action-event F1 ≥0.75, separately; raw evidence precision ≥0.95 against source truth. Zero fabricated numbers after human review.</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pStyle w:val="Heading2"/>
      </w:pPr>
      <w:r>
        <w:rPr>
          <w:color w:val="000000"/>
        </w:rPr>
        <w:t>Data split and annotation</w:t>
      </w:r>
    </w:p>
    <w:p>
      <w:r>
        <w:rPr>
          <w:color w:val="000000"/>
        </w:rPr>
        <w:t>The feasibility target is 60 authorized calls: 20 mainly Russian, 20 mainly Kazakh and 20 mixed, about 2–15 minutes each. The 30/10/20 split is approximate: assign connected customer/speaker groups intact, then report achieved counts and missing strata. Four representatives may not permit the desired split. Obtain more independent groups or narrow the claim; never describe repeated-speaker partitions as speaker-independent. Freeze the manifest before tuning.</w:t>
      </w:r>
    </w:p>
    <w:p>
      <w:r>
        <w:rPr>
          <w:color w:val="000000"/>
        </w:rPr>
        <w:t>Two annotators label held-out material independently before adjudication. Report six binary objection-label agreement scores, event/field agreement and rare-class support. Score objections and next-action events separately; fix label and empty-output rules. Check factual support against audio or adjudicated gold, including ASR hallucinations. Appendix D defines matching, failed calls and grouped uncertainty.</w:t>
      </w:r>
    </w:p>
    <w:p>
      <w:pPr>
        <w:pStyle w:val="Heading2"/>
      </w:pPr>
      <w:r>
        <w:rPr>
          <w:color w:val="000000"/>
        </w:rPr>
        <w:t>Measurement conditions</w:t>
      </w:r>
    </w:p>
    <w:p>
      <w:r>
        <w:rPr>
          <w:color w:val="000000"/>
        </w:rPr>
        <w:t>Record model/runtime versions, decoding, hardware and audio conditions. Report real-time factor with warm-up and queue time separately. The future integrated usability study uses two equivalent fixtures with counterbalanced manual/application order; compare common outputs. The present sample-only HTML import cannot pass the full CSV, queueing or authentication requirements.</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Status on 23 October 2026  PRs 2–4 are merged into main at https://github.com/ddigreen/sales-analytics-stt. Demo: https://ddigreen.github.io/vocasales-demo/. PRs 3–4 received Codex-assisted technical reviews. YouTrack at https://sales-analytics-stt-team.youtrack.cloud/projects/SASTT has 12 assigned Open issues. Source, public-data and prototype checks are recorded; independent student review, stakeholder evidence, supervisor feedback, reviewer access and the reviewed submission tag remain pending.</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The remaining checkpoint evidence is stakeholder/client confirmation, approved recording access, supervisor feedback and revisions, and the actual tracking and contribution record. Application implementation continues after this checkpoint.</w:t>
      </w:r>
    </w:p>
    <w:p>
      <w:r>
        <w:t>Appendix guide: A detailed source analysis; B full requirements/tests; C data/access rules; D evaluation; E tasks/risks; F forms/UX; G full comparison matrices and evidence. Both documents use the same APA 7 author–date references.</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61">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62">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63">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64">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1">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8">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5">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7">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56">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6">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6">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3">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58">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52">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53">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7">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0">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3">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3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67">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68">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3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45">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9">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12">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6">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5">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2">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59">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54">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7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57">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71">
        <w:r>
          <w:rPr>
            <w:color w:val="000000"/>
            <w:sz w:val="22"/>
          </w:rPr>
          <w:t>https://doi.org/10.18653/v1/2021.naacl-main.472</w:t>
        </w:r>
      </w:hyperlink>
    </w:p>
    <w:sectPr w:rsidR="00FC693F" w:rsidRPr="0006063C" w:rsidSect="00034616">
      <w:pgSz w:w="11909" w:h="16834"/>
      <w:pgMar w:top="1008" w:right="1008" w:bottom="1008" w:left="1008" w:header="432" w:footer="432" w:gutter="0"/>
      <w:cols w:space="2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 Id="rId61" Type="http://schemas.openxmlformats.org/officeDocument/2006/relationships/hyperlink" Target="https://doi.org/10.18653/v1/2022.naacl-industry.6" TargetMode="External"/><Relationship Id="rId62" Type="http://schemas.openxmlformats.org/officeDocument/2006/relationships/hyperlink" Target="https://doi.org/10.21437/Interspeech.2023-78" TargetMode="External"/><Relationship Id="rId63" Type="http://schemas.openxmlformats.org/officeDocument/2006/relationships/hyperlink" Target="https://doi.org/10.21437/Interspeech.2023-105" TargetMode="External"/><Relationship Id="rId64" Type="http://schemas.openxmlformats.org/officeDocument/2006/relationships/hyperlink" Target="https://doi.org/10.18653/v1/2022.emnlp-industry.49" TargetMode="External"/><Relationship Id="rId65" Type="http://schemas.openxmlformats.org/officeDocument/2006/relationships/hyperlink" Target="https://help.gong.io/docs/analyze-team-performance" TargetMode="External"/><Relationship Id="rId66" Type="http://schemas.openxmlformats.org/officeDocument/2006/relationships/hyperlink" Target="https://docs.cloud.google.com/speech-to-text/docs/batch-recognize" TargetMode="External"/><Relationship Id="rId67" Type="http://schemas.openxmlformats.org/officeDocument/2006/relationships/hyperlink" Target="https://doi.org/10.24432/C5K306" TargetMode="External"/><Relationship Id="rId68" Type="http://schemas.openxmlformats.org/officeDocument/2006/relationships/hyperlink" Target="https://doi.org/10.21437/Interspeech.2022-421" TargetMode="External"/><Relationship Id="rId69" Type="http://schemas.openxmlformats.org/officeDocument/2006/relationships/hyperlink" Target="https://www.salesloft.com/lp/conversational-intelligence" TargetMode="External"/><Relationship Id="rId70" Type="http://schemas.openxmlformats.org/officeDocument/2006/relationships/hyperlink" Target="https://doi.org/10.18653/v1/2022.naacl-main.415" TargetMode="External"/><Relationship Id="rId7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