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0000"/>
        </w:rPr>
        <w:t>Sales Analytics Research and Design</w:t>
      </w:r>
    </w:p>
    <w:p>
      <w:r>
        <w:rPr>
          <w:color w:val="000000"/>
        </w:rPr>
      </w:r>
      <w:r>
        <w:rPr>
          <w:b/>
          <w:color w:val="000000"/>
        </w:rPr>
        <w:t>Development of a Sales Analytics System Based on Data and Speech-to-Text Technology</w:t>
      </w:r>
      <w:r>
        <w:rPr>
          <w:color w:val="000000"/>
        </w:rPr>
      </w:r>
    </w:p>
    <w:p>
      <w:r>
        <w:rPr>
          <w:color w:val="000000"/>
        </w:rPr>
        <w:t>Checkpoint 24 October 2026  |  Revised 23 October 2026</w:t>
      </w:r>
    </w:p>
    <w:p>
      <w:pPr>
        <w:pStyle w:val="Heading1"/>
      </w:pPr>
      <w:r>
        <w:rPr>
          <w:color w:val="000000"/>
        </w:rPr>
        <w:t>1 Project proposal</w:t>
      </w:r>
    </w:p>
    <w:p>
      <w:pPr>
        <w:spacing w:line="60" w:lineRule="exact" w:after="80" w:before="0"/>
      </w:pPr>
      <w:r>
        <w:rPr>
          <w:color w:val="000000"/>
        </w:rPr>
      </w:r>
    </w:p>
    <w:tbl>
      <w:tblPr>
        <w:tblW w:type="auto" w:w="0"/>
        <w:jc w:val="center"/>
        <w:tblLayout w:type="fixed"/>
        <w:tblLook w:firstColumn="1" w:firstRow="1" w:lastColumn="0" w:lastRow="0" w:noHBand="0" w:noVBand="1" w:val="04A0"/>
      </w:tblPr>
      <w:tblGrid>
        <w:gridCol w:w="3672"/>
        <w:gridCol w:w="1008"/>
        <w:gridCol w:w="5126"/>
      </w:tblGrid>
      <w:tr>
        <w:trPr>
          <w:cantSplit/>
          <w:tblHeader w:val="true"/>
        </w:trPr>
        <w:tc>
          <w:tcPr>
            <w:tcW w:type="dxa" w:w="3672"/>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jc w:val="left"/>
            </w:pPr>
            <w:r>
              <w:rPr>
                <w:b/>
                <w:color w:val="000000"/>
                <w:sz w:val="19"/>
              </w:rPr>
              <w:t>Team member</w:t>
            </w:r>
          </w:p>
        </w:tc>
        <w:tc>
          <w:tcPr>
            <w:tcW w:type="dxa" w:w="1008"/>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pPr>
            <w:r>
              <w:rPr>
                <w:b/>
                <w:color w:val="000000"/>
                <w:sz w:val="19"/>
              </w:rPr>
              <w:t>Group</w:t>
            </w:r>
          </w:p>
        </w:tc>
        <w:tc>
          <w:tcPr>
            <w:tcW w:type="dxa" w:w="5126"/>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pPr>
            <w:r>
              <w:rPr>
                <w:b/>
                <w:color w:val="000000"/>
                <w:sz w:val="19"/>
              </w:rPr>
              <w:t>Proposed responsibility</w:t>
            </w:r>
          </w:p>
        </w:tc>
      </w:tr>
      <w:tr>
        <w:trPr>
          <w:cantSplit/>
        </w:trPr>
        <w:tc>
          <w:tcPr>
            <w:tcW w:type="dxa" w:w="3672"/>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jc w:val="left"/>
            </w:pPr>
            <w:r>
              <w:rPr>
                <w:color w:val="000000"/>
                <w:sz w:val="19"/>
              </w:rPr>
              <w:t>Rashiduly Bekzat</w:t>
            </w:r>
          </w:p>
        </w:tc>
        <w:tc>
          <w:tcPr>
            <w:tcW w:type="dxa" w:w="1008"/>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pPr>
            <w:r>
              <w:rPr>
                <w:color w:val="000000"/>
                <w:sz w:val="19"/>
              </w:rPr>
              <w:t>SE-2418</w:t>
            </w:r>
          </w:p>
        </w:tc>
        <w:tc>
          <w:tcPr>
            <w:tcW w:type="dxa" w:w="5126"/>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pPr>
            <w:r>
              <w:rPr>
                <w:color w:val="000000"/>
                <w:sz w:val="19"/>
              </w:rPr>
              <w:t>Backend and data integration</w:t>
            </w:r>
          </w:p>
        </w:tc>
      </w:tr>
      <w:tr>
        <w:trPr>
          <w:cantSplit/>
        </w:trPr>
        <w:tc>
          <w:tcPr>
            <w:tcW w:type="dxa" w:w="3672"/>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jc w:val="left"/>
            </w:pPr>
            <w:r>
              <w:rPr>
                <w:color w:val="000000"/>
                <w:sz w:val="19"/>
              </w:rPr>
              <w:t>Taubasar Dameli Almabekkyzy</w:t>
            </w:r>
          </w:p>
        </w:tc>
        <w:tc>
          <w:tcPr>
            <w:tcW w:type="dxa" w:w="1008"/>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pPr>
            <w:r>
              <w:rPr>
                <w:color w:val="000000"/>
                <w:sz w:val="19"/>
              </w:rPr>
              <w:t>SE-2402</w:t>
            </w:r>
          </w:p>
        </w:tc>
        <w:tc>
          <w:tcPr>
            <w:tcW w:type="dxa" w:w="5126"/>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pPr>
            <w:r>
              <w:rPr>
                <w:color w:val="000000"/>
                <w:sz w:val="19"/>
              </w:rPr>
              <w:t>Frontend and API integration</w:t>
            </w:r>
          </w:p>
        </w:tc>
      </w:tr>
      <w:tr>
        <w:trPr>
          <w:cantSplit/>
        </w:trPr>
        <w:tc>
          <w:tcPr>
            <w:tcW w:type="dxa" w:w="3672"/>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jc w:val="left"/>
            </w:pPr>
            <w:r>
              <w:rPr>
                <w:color w:val="000000"/>
                <w:sz w:val="19"/>
              </w:rPr>
              <w:t>Amangeldiev Diasbek Yernarovich</w:t>
            </w:r>
          </w:p>
        </w:tc>
        <w:tc>
          <w:tcPr>
            <w:tcW w:type="dxa" w:w="1008"/>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pPr>
            <w:r>
              <w:rPr>
                <w:color w:val="000000"/>
                <w:sz w:val="19"/>
              </w:rPr>
              <w:t>SE-2402</w:t>
            </w:r>
          </w:p>
        </w:tc>
        <w:tc>
          <w:tcPr>
            <w:tcW w:type="dxa" w:w="5126"/>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pPr>
            <w:r>
              <w:rPr>
                <w:color w:val="000000"/>
                <w:sz w:val="19"/>
              </w:rPr>
              <w:t>Speech processing and evaluation</w:t>
            </w:r>
          </w:p>
        </w:tc>
      </w:tr>
    </w:tbl>
    <w:p>
      <w:r>
        <w:rPr>
          <w:color w:val="000000"/>
        </w:rPr>
      </w:r>
      <w:r>
        <w:rPr>
          <w:b/>
          <w:color w:val="000000"/>
        </w:rPr>
        <w:t>Supervisor</w:t>
      </w:r>
      <w:r>
        <w:rPr>
          <w:color w:val="000000"/>
        </w:rPr>
        <w:t xml:space="preserve">  Orynbek Alibek Sarsenbekuly. English name spellings are working transliterations from the topic application; responsibilities are proposed for team agreement.</w:t>
      </w:r>
    </w:p>
    <w:p>
      <w:r>
        <w:rPr>
          <w:color w:val="000000"/>
        </w:rPr>
        <w:t>Sales records show what happened to a deal, but the reasons behind a decision often remain in a call recording. We propose a system that links recordings to sales records, creates timestamped transcripts and helps users review objections and next actions alongside sales metrics.</w:t>
      </w:r>
    </w:p>
    <w:p>
      <w:r>
        <w:rPr>
          <w:color w:val="000000"/>
        </w:rPr>
      </w:r>
      <w:r>
        <w:rPr>
          <w:b/>
          <w:color w:val="000000"/>
        </w:rPr>
        <w:t>Aim</w:t>
      </w:r>
      <w:r>
        <w:rPr>
          <w:color w:val="000000"/>
        </w:rPr>
        <w:t xml:space="preserve">  Develop and evaluate a prototype for Russian, Kazakh and mixed sales calls in which every extracted observation can be checked against its source.</w:t>
      </w:r>
    </w:p>
    <w:p>
      <w:r>
        <w:rPr>
          <w:color w:val="000000"/>
        </w:rPr>
        <w:t>Salespeople will review their own calls; managers will review their assigned team. Analysts will use authorized reports. Administrators will manage access and retention without automatically receiving access to call content.</w:t>
      </w:r>
    </w:p>
    <w:p>
      <w:pPr>
        <w:pStyle w:val="Heading2"/>
      </w:pPr>
      <w:r>
        <w:rPr>
          <w:color w:val="000000"/>
        </w:rPr>
        <w:t>Objectives and scope</w:t>
      </w:r>
    </w:p>
    <w:p>
      <w:r>
        <w:rPr>
          <w:color w:val="000000"/>
        </w:rPr>
        <w:t>We will confirm user needs and data access, define imports and sales metrics, build an asynchronous speech pipeline, add evidence and correction tools, and evaluate the result against simple baselines.</w:t>
      </w:r>
    </w:p>
    <w:p>
      <w:r>
        <w:rPr>
          <w:color w:val="000000"/>
        </w:rPr>
        <w:t>The MVP covers CSV sales imports, explicit call-to-deal links, authorized prerecorded audio, transcript review, objections and next actions, filtered dashboards and export. Speaker diarization is optional and its role labels require confirmation. Live assistance, autonomous CRM changes and employee ranking are outside the initial scope.</w:t>
      </w:r>
    </w:p>
    <w:p>
      <w:r>
        <w:rPr>
          <w:color w:val="000000"/>
        </w:rPr>
        <w:t>The expected outcome is a working research prototype with documented interfaces and reproducible evaluation. The checkpoint materials include research, public-data profiling, a synthetic UX prototype and Bekzat’s backend design amendment. Local user evidence, recording access and supervisor feedback remain pending. A complete application is not required on 24 October.</w:t>
      </w:r>
    </w:p>
    <w:p>
      <w:pPr>
        <w:pStyle w:val="Heading1"/>
        <w:pageBreakBefore/>
      </w:pPr>
      <w:r>
        <w:rPr>
          <w:color w:val="000000"/>
        </w:rPr>
        <w:t>2 Evidence of relevance</w:t>
      </w:r>
    </w:p>
    <w:p>
      <w:r>
        <w:rPr>
          <w:color w:val="000000"/>
        </w:rPr>
        <w:t>The literature and the four compared products establish that speech can be combined with sales workflows. They do not yet show which features are useful for our intended users. We still need local evidence before treating the initial requirements as confirmed.</w:t>
      </w:r>
    </w:p>
    <w:p>
      <w:pPr>
        <w:pStyle w:val="Heading2"/>
      </w:pPr>
      <w:r>
        <w:rPr>
          <w:color w:val="000000"/>
        </w:rPr>
        <w:t>What the public data shows</w:t>
      </w:r>
    </w:p>
    <w:p>
      <w:r>
        <w:rPr>
          <w:color w:val="000000"/>
        </w:rPr>
        <w:t>We profiled the UCI Bank Marketing file bank-additional-full.csv. It contains 41,188 records, 20 input variables and 4,640 positive term-deposit subscription outcomes: 11.27% positive. Always predicting the negative class would give 88.73% accuracy. This simple calculation explains why a future outcome model should not be judged on accuracy alone (Moro et al., 2014).</w:t>
      </w:r>
    </w:p>
    <w:p>
      <w:r>
        <w:rPr>
          <w:color w:val="000000"/>
        </w:rPr>
        <w:t>The data also contains explicit unknown categories, including 8,597 values for default and 1,731 for education. These need deliberate treatment during import and modelling. Call duration is known after a call, so it must be excluded from a pre-call predictor.</w:t>
      </w:r>
    </w:p>
    <w:p>
      <w:r>
        <w:rPr>
          <w:color w:val="000000"/>
        </w:rPr>
        <w:t>This older Portuguese banking dataset has no audio, transcripts or usable transcript join key. It supports the data-design discussion but cannot test Russian/Kazakh transcription or the added value of call content. Appendix C gives the profile, hashes and reproduction instructions.</w:t>
      </w:r>
    </w:p>
    <w:p>
      <w:pPr>
        <w:pStyle w:val="Heading2"/>
      </w:pPr>
      <w:r>
        <w:rPr>
          <w:color w:val="000000"/>
        </w:rPr>
        <w:t>Evidence still to collect</w:t>
      </w:r>
    </w:p>
    <w:p>
      <w:pPr>
        <w:spacing w:line="60" w:lineRule="exact" w:after="80" w:before="0"/>
      </w:pPr>
      <w:r>
        <w:rPr>
          <w:color w:val="000000"/>
        </w:rPr>
      </w:r>
    </w:p>
    <w:tbl>
      <w:tblPr>
        <w:tblW w:type="auto" w:w="0"/>
        <w:jc w:val="center"/>
        <w:tblLayout w:type="fixed"/>
        <w:tblLook w:firstColumn="1" w:firstRow="1" w:lastColumn="0" w:lastRow="0" w:noHBand="0" w:noVBand="1" w:val="04A0"/>
      </w:tblPr>
      <w:tblGrid>
        <w:gridCol w:w="2664"/>
        <w:gridCol w:w="4752"/>
        <w:gridCol w:w="2390"/>
      </w:tblGrid>
      <w:tr>
        <w:trPr>
          <w:cantSplit/>
          <w:tblHeader w:val="true"/>
        </w:trPr>
        <w:tc>
          <w:tcPr>
            <w:tcW w:type="dxa" w:w="2664"/>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jc w:val="left"/>
            </w:pPr>
            <w:r>
              <w:rPr>
                <w:b/>
                <w:color w:val="000000"/>
                <w:sz w:val="19"/>
              </w:rPr>
              <w:t>Question</w:t>
            </w:r>
          </w:p>
        </w:tc>
        <w:tc>
          <w:tcPr>
            <w:tcW w:type="dxa" w:w="4752"/>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pPr>
            <w:r>
              <w:rPr>
                <w:b/>
                <w:color w:val="000000"/>
                <w:sz w:val="19"/>
              </w:rPr>
              <w:t>Evidence needed</w:t>
            </w:r>
          </w:p>
        </w:tc>
        <w:tc>
          <w:tcPr>
            <w:tcW w:type="dxa" w:w="2390"/>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pPr>
            <w:r>
              <w:rPr>
                <w:b/>
                <w:color w:val="000000"/>
                <w:sz w:val="19"/>
              </w:rPr>
              <w:t>Requirement affected</w:t>
            </w:r>
          </w:p>
        </w:tc>
      </w:tr>
      <w:tr>
        <w:trPr>
          <w:cantSplit/>
        </w:trPr>
        <w:tc>
          <w:tcPr>
            <w:tcW w:type="dxa" w:w="2664"/>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jc w:val="left"/>
            </w:pPr>
            <w:r>
              <w:rPr>
                <w:color w:val="000000"/>
                <w:sz w:val="19"/>
              </w:rPr>
              <w:t>Which review task is slow or unreliable?</w:t>
            </w:r>
          </w:p>
        </w:tc>
        <w:tc>
          <w:tcPr>
            <w:tcW w:type="dxa" w:w="4752"/>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pPr>
            <w:r>
              <w:rPr>
                <w:color w:val="000000"/>
                <w:sz w:val="19"/>
              </w:rPr>
              <w:t>3–5 discussions with a manager salesperson analyst and data owner; observed task or attributed estimate</w:t>
            </w:r>
          </w:p>
        </w:tc>
        <w:tc>
          <w:tcPr>
            <w:tcW w:type="dxa" w:w="2390"/>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pPr>
            <w:r>
              <w:rPr>
                <w:color w:val="000000"/>
                <w:sz w:val="19"/>
              </w:rPr>
              <w:t>Review workflow and usability baseline</w:t>
            </w:r>
          </w:p>
        </w:tc>
      </w:tr>
      <w:tr>
        <w:trPr>
          <w:cantSplit/>
        </w:trPr>
        <w:tc>
          <w:tcPr>
            <w:tcW w:type="dxa" w:w="2664"/>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jc w:val="left"/>
            </w:pPr>
            <w:r>
              <w:rPr>
                <w:color w:val="000000"/>
                <w:sz w:val="19"/>
              </w:rPr>
              <w:t>Can calls be linked to deals?</w:t>
            </w:r>
          </w:p>
        </w:tc>
        <w:tc>
          <w:tcPr>
            <w:tcW w:type="dxa" w:w="4752"/>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pPr>
            <w:r>
              <w:rPr>
                <w:color w:val="000000"/>
                <w:sz w:val="19"/>
              </w:rPr>
              <w:t>Permitted CSV/manifest inspection and explicit stable identifiers</w:t>
            </w:r>
          </w:p>
        </w:tc>
        <w:tc>
          <w:tcPr>
            <w:tcW w:type="dxa" w:w="2390"/>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pPr>
            <w:r>
              <w:rPr>
                <w:color w:val="000000"/>
                <w:sz w:val="19"/>
              </w:rPr>
              <w:t>FR02–FR04</w:t>
            </w:r>
          </w:p>
        </w:tc>
      </w:tr>
      <w:tr>
        <w:trPr>
          <w:cantSplit/>
        </w:trPr>
        <w:tc>
          <w:tcPr>
            <w:tcW w:type="dxa" w:w="2664"/>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jc w:val="left"/>
            </w:pPr>
            <w:r>
              <w:rPr>
                <w:color w:val="000000"/>
                <w:sz w:val="19"/>
              </w:rPr>
              <w:t>Which languages and conditions matter?</w:t>
            </w:r>
          </w:p>
        </w:tc>
        <w:tc>
          <w:tcPr>
            <w:tcW w:type="dxa" w:w="4752"/>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pPr>
            <w:r>
              <w:rPr>
                <w:color w:val="000000"/>
                <w:sz w:val="19"/>
              </w:rPr>
              <w:t>Representative authorized examples including code switching noise and product names</w:t>
            </w:r>
          </w:p>
        </w:tc>
        <w:tc>
          <w:tcPr>
            <w:tcW w:type="dxa" w:w="2390"/>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pPr>
            <w:r>
              <w:rPr>
                <w:color w:val="000000"/>
                <w:sz w:val="19"/>
              </w:rPr>
              <w:t>FR06 and NFR09</w:t>
            </w:r>
          </w:p>
        </w:tc>
      </w:tr>
      <w:tr>
        <w:trPr>
          <w:cantSplit/>
        </w:trPr>
        <w:tc>
          <w:tcPr>
            <w:tcW w:type="dxa" w:w="2664"/>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jc w:val="left"/>
            </w:pPr>
            <w:r>
              <w:rPr>
                <w:color w:val="000000"/>
                <w:sz w:val="19"/>
              </w:rPr>
              <w:t>Which measure supports a real decision?</w:t>
            </w:r>
          </w:p>
        </w:tc>
        <w:tc>
          <w:tcPr>
            <w:tcW w:type="dxa" w:w="4752"/>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pPr>
            <w:r>
              <w:rPr>
                <w:color w:val="000000"/>
                <w:sz w:val="19"/>
              </w:rPr>
              <w:t>An agreed numerator denominator period and authoritative outcome field</w:t>
            </w:r>
          </w:p>
        </w:tc>
        <w:tc>
          <w:tcPr>
            <w:tcW w:type="dxa" w:w="2390"/>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pPr>
            <w:r>
              <w:rPr>
                <w:color w:val="000000"/>
                <w:sz w:val="19"/>
              </w:rPr>
              <w:t>FR10 and FR14</w:t>
            </w:r>
          </w:p>
        </w:tc>
      </w:tr>
    </w:tbl>
    <w:p>
      <w:r>
        <w:rPr>
          <w:color w:val="000000"/>
        </w:rPr>
        <w:t>Public-data analysis is complete; local discussions and a client agreement are not recorded. We will confirm with the supervisor whether this evidence route is sufficient, record any remaining gap, and map confirmed findings to requirements. Appendix F contains the collection forms.</w:t>
      </w:r>
    </w:p>
    <w:p>
      <w:pPr>
        <w:pStyle w:val="Heading2"/>
      </w:pPr>
      <w:r>
        <w:rPr>
          <w:color w:val="000000"/>
        </w:rPr>
        <w:t>Questions the evaluation will answer</w:t>
      </w:r>
    </w:p>
    <w:p>
      <w:r>
        <w:rPr>
          <w:color w:val="000000"/>
        </w:rPr>
        <w:t>How accurately does the system transcribe each language? Can it identify useful objections and next actions with correct evidence? Does the review workflow help users complete a defined task? An outcome-prediction extension will be considered only if sufficient linked sales data becomes available.</w:t>
      </w:r>
    </w:p>
    <w:p>
      <w:pPr>
        <w:sectPr>
          <w:footerReference w:type="default" r:id="rId10"/>
          <w:headerReference w:type="default" r:id="rId9"/>
          <w:pgSz w:w="11909" w:h="16834"/>
          <w:pgMar w:top="1008" w:right="1008" w:bottom="1008" w:left="1008" w:header="432" w:footer="432" w:gutter="0"/>
          <w:cols w:space="720" w:num="1"/>
          <w:docGrid w:linePitch="360"/>
        </w:sectPr>
      </w:pPr>
    </w:p>
    <w:p>
      <w:pPr>
        <w:pStyle w:val="Heading1"/>
      </w:pPr>
      <w:r>
        <w:rPr>
          <w:color w:val="000000"/>
        </w:rPr>
        <w:t>3 Literature review</w:t>
      </w:r>
    </w:p>
    <w:p>
      <w:r>
        <w:rPr>
          <w:color w:val="000000"/>
        </w:rPr>
        <w:t>The review covers 15 scientific publications, including 13 from 2022–2026 and two 2021 foundations. Good et al. (2026) and Vieira et al. (2024) were reviewed through abstracts/previews only. The table summarizes the design implications; Appendix A retains full analysis and claim locations. L01–L15 are analysis IDs, not citation numbers.</w:t>
      </w:r>
    </w:p>
    <w:tbl>
      <w:tblPr>
        <w:tblStyle w:val="TableGrid"/>
        <w:tblW w:type="auto" w:w="0"/>
        <w:tblLayout w:type="fixed"/>
        <w:tblLook w:firstColumn="1" w:firstRow="1" w:lastColumn="0" w:lastRow="0" w:noHBand="0" w:noVBand="1" w:val="04A0"/>
      </w:tblPr>
      <w:tblGrid>
        <w:gridCol w:w="576"/>
        <w:gridCol w:w="5472"/>
        <w:gridCol w:w="8914"/>
      </w:tblGrid>
      <w:tr>
        <w:trPr>
          <w:tblHeader/>
        </w:trPr>
        <w:tc>
          <w:tcPr>
            <w:tcW w:type="dxa" w:w="576"/>
            <w:tcMar>
              <w:top w:w="35" w:type="dxa"/>
              <w:bottom w:w="35" w:type="dxa"/>
            </w:tcMar>
          </w:tcPr>
          <w:p>
            <w:pPr>
              <w:spacing w:line="247" w:lineRule="auto" w:after="20" w:before="0"/>
            </w:pPr>
            <w:r>
              <w:rPr>
                <w:rFonts w:ascii="Arial" w:hAnsi="Arial"/>
                <w:b/>
                <w:color w:val="000000"/>
                <w:sz w:val="18"/>
              </w:rPr>
              <w:t>ID</w:t>
            </w:r>
          </w:p>
        </w:tc>
        <w:tc>
          <w:tcPr>
            <w:tcW w:type="dxa" w:w="5472"/>
            <w:tcMar>
              <w:top w:w="35" w:type="dxa"/>
              <w:bottom w:w="35" w:type="dxa"/>
            </w:tcMar>
          </w:tcPr>
          <w:p>
            <w:pPr>
              <w:spacing w:line="247" w:lineRule="auto" w:after="20" w:before="0"/>
            </w:pPr>
            <w:r>
              <w:rPr>
                <w:rFonts w:ascii="Arial" w:hAnsi="Arial"/>
                <w:b/>
                <w:color w:val="000000"/>
                <w:sz w:val="18"/>
              </w:rPr>
              <w:t>Study</w:t>
            </w:r>
          </w:p>
        </w:tc>
        <w:tc>
          <w:tcPr>
            <w:tcW w:type="dxa" w:w="8914"/>
            <w:tcMar>
              <w:top w:w="35" w:type="dxa"/>
              <w:bottom w:w="35" w:type="dxa"/>
            </w:tcMar>
          </w:tcPr>
          <w:p>
            <w:pPr>
              <w:spacing w:line="247" w:lineRule="auto" w:after="20" w:before="0"/>
            </w:pPr>
            <w:r>
              <w:rPr>
                <w:rFonts w:ascii="Arial" w:hAnsi="Arial"/>
                <w:b/>
                <w:color w:val="000000"/>
                <w:sz w:val="18"/>
              </w:rPr>
              <w:t>Finding and design implication</w:t>
            </w:r>
          </w:p>
        </w:tc>
      </w:tr>
      <w:tr>
        <w:tc>
          <w:tcPr>
            <w:tcW w:type="dxa" w:w="576"/>
            <w:tcMar>
              <w:top w:w="35" w:type="dxa"/>
              <w:bottom w:w="35" w:type="dxa"/>
            </w:tcMar>
          </w:tcPr>
          <w:p>
            <w:pPr>
              <w:spacing w:line="247" w:lineRule="auto" w:after="20" w:before="0"/>
            </w:pPr>
            <w:r>
              <w:rPr>
                <w:rFonts w:ascii="Arial" w:hAnsi="Arial"/>
                <w:color w:val="000000"/>
                <w:sz w:val="18"/>
              </w:rPr>
              <w:t>L01</w:t>
            </w:r>
          </w:p>
        </w:tc>
        <w:tc>
          <w:tcPr>
            <w:tcW w:type="dxa" w:w="5472"/>
            <w:tcMar>
              <w:top w:w="35" w:type="dxa"/>
              <w:bottom w:w="35" w:type="dxa"/>
            </w:tcMar>
          </w:tcPr>
          <w:p>
            <w:pPr>
              <w:spacing w:line="247" w:lineRule="auto" w:after="20" w:before="0"/>
            </w:pPr>
            <w:r>
              <w:rPr>
                <w:rFonts w:ascii="Arial" w:hAnsi="Arial"/>
                <w:color w:val="000000"/>
                <w:sz w:val="18"/>
              </w:rPr>
              <w:t>Radford et al. (2023)</w:t>
              <w:br/>
              <w:t>Whisper: weakly supervised speech recognition</w:t>
            </w:r>
          </w:p>
        </w:tc>
        <w:tc>
          <w:tcPr>
            <w:tcW w:type="dxa" w:w="8914"/>
            <w:tcMar>
              <w:top w:w="35" w:type="dxa"/>
              <w:bottom w:w="35" w:type="dxa"/>
            </w:tcMar>
          </w:tcPr>
          <w:p>
            <w:pPr>
              <w:spacing w:line="247" w:lineRule="auto" w:after="20" w:before="0"/>
            </w:pPr>
            <w:r>
              <w:rPr>
                <w:rFonts w:ascii="Arial" w:hAnsi="Arial"/>
                <w:color w:val="000000"/>
                <w:sz w:val="18"/>
              </w:rPr>
              <w:t>Broad multilingual transfer; local accuracy is unverified. Measure each language and business entity.</w:t>
            </w:r>
          </w:p>
        </w:tc>
      </w:tr>
      <w:tr>
        <w:tc>
          <w:tcPr>
            <w:tcW w:type="dxa" w:w="576"/>
            <w:tcMar>
              <w:top w:w="35" w:type="dxa"/>
              <w:bottom w:w="35" w:type="dxa"/>
            </w:tcMar>
          </w:tcPr>
          <w:p>
            <w:pPr>
              <w:spacing w:line="247" w:lineRule="auto" w:after="20" w:before="0"/>
            </w:pPr>
            <w:r>
              <w:rPr>
                <w:rFonts w:ascii="Arial" w:hAnsi="Arial"/>
                <w:color w:val="000000"/>
                <w:sz w:val="18"/>
              </w:rPr>
              <w:t>L02</w:t>
            </w:r>
          </w:p>
        </w:tc>
        <w:tc>
          <w:tcPr>
            <w:tcW w:type="dxa" w:w="5472"/>
            <w:tcMar>
              <w:top w:w="35" w:type="dxa"/>
              <w:bottom w:w="35" w:type="dxa"/>
            </w:tcMar>
          </w:tcPr>
          <w:p>
            <w:pPr>
              <w:spacing w:line="247" w:lineRule="auto" w:after="20" w:before="0"/>
            </w:pPr>
            <w:r>
              <w:rPr>
                <w:rFonts w:ascii="Arial" w:hAnsi="Arial"/>
                <w:color w:val="000000"/>
                <w:sz w:val="18"/>
              </w:rPr>
              <w:t>Bain et al. (2023)</w:t>
              <w:br/>
              <w:t>WhisperX: accurate transcription timing</w:t>
            </w:r>
          </w:p>
        </w:tc>
        <w:tc>
          <w:tcPr>
            <w:tcW w:type="dxa" w:w="8914"/>
            <w:tcMar>
              <w:top w:w="35" w:type="dxa"/>
              <w:bottom w:w="35" w:type="dxa"/>
            </w:tcMar>
          </w:tcPr>
          <w:p>
            <w:pPr>
              <w:spacing w:line="247" w:lineRule="auto" w:after="20" w:before="0"/>
            </w:pPr>
            <w:r>
              <w:rPr>
                <w:rFonts w:ascii="Arial" w:hAnsi="Arial"/>
                <w:color w:val="000000"/>
                <w:sz w:val="18"/>
              </w:rPr>
              <w:t>Timing/alignment depends on language models. Validate source timestamps on local calls.</w:t>
            </w:r>
          </w:p>
        </w:tc>
      </w:tr>
      <w:tr>
        <w:tc>
          <w:tcPr>
            <w:tcW w:type="dxa" w:w="576"/>
            <w:tcMar>
              <w:top w:w="35" w:type="dxa"/>
              <w:bottom w:w="35" w:type="dxa"/>
            </w:tcMar>
          </w:tcPr>
          <w:p>
            <w:pPr>
              <w:spacing w:line="247" w:lineRule="auto" w:after="20" w:before="0"/>
            </w:pPr>
            <w:r>
              <w:rPr>
                <w:rFonts w:ascii="Arial" w:hAnsi="Arial"/>
                <w:color w:val="000000"/>
                <w:sz w:val="18"/>
              </w:rPr>
              <w:t>L03</w:t>
            </w:r>
          </w:p>
        </w:tc>
        <w:tc>
          <w:tcPr>
            <w:tcW w:type="dxa" w:w="5472"/>
            <w:tcMar>
              <w:top w:w="35" w:type="dxa"/>
              <w:bottom w:w="35" w:type="dxa"/>
            </w:tcMar>
          </w:tcPr>
          <w:p>
            <w:pPr>
              <w:spacing w:line="247" w:lineRule="auto" w:after="20" w:before="0"/>
            </w:pPr>
            <w:r>
              <w:rPr>
                <w:rFonts w:ascii="Arial" w:hAnsi="Arial"/>
                <w:color w:val="000000"/>
                <w:sz w:val="18"/>
              </w:rPr>
              <w:t>Bredin (2023)</w:t>
              <w:br/>
              <w:t>pyannote.audio 2.1: speaker diarization</w:t>
            </w:r>
          </w:p>
        </w:tc>
        <w:tc>
          <w:tcPr>
            <w:tcW w:type="dxa" w:w="8914"/>
            <w:tcMar>
              <w:top w:w="35" w:type="dxa"/>
              <w:bottom w:w="35" w:type="dxa"/>
            </w:tcMar>
          </w:tcPr>
          <w:p>
            <w:pPr>
              <w:spacing w:line="247" w:lineRule="auto" w:after="20" w:before="0"/>
            </w:pPr>
            <w:r>
              <w:rPr>
                <w:rFonts w:ascii="Arial" w:hAnsi="Arial"/>
                <w:color w:val="000000"/>
                <w:sz w:val="18"/>
              </w:rPr>
              <w:t>Diarization varies with acoustic domain. Confirm salesperson/customer roles separately.</w:t>
            </w:r>
          </w:p>
        </w:tc>
      </w:tr>
      <w:tr>
        <w:tc>
          <w:tcPr>
            <w:tcW w:type="dxa" w:w="576"/>
            <w:tcMar>
              <w:top w:w="35" w:type="dxa"/>
              <w:bottom w:w="35" w:type="dxa"/>
            </w:tcMar>
          </w:tcPr>
          <w:p>
            <w:pPr>
              <w:spacing w:line="247" w:lineRule="auto" w:after="20" w:before="0"/>
            </w:pPr>
            <w:r>
              <w:rPr>
                <w:rFonts w:ascii="Arial" w:hAnsi="Arial"/>
                <w:color w:val="000000"/>
                <w:sz w:val="18"/>
              </w:rPr>
              <w:t>L04</w:t>
            </w:r>
          </w:p>
        </w:tc>
        <w:tc>
          <w:tcPr>
            <w:tcW w:type="dxa" w:w="5472"/>
            <w:tcMar>
              <w:top w:w="35" w:type="dxa"/>
              <w:bottom w:w="35" w:type="dxa"/>
            </w:tcMar>
          </w:tcPr>
          <w:p>
            <w:pPr>
              <w:spacing w:line="247" w:lineRule="auto" w:after="20" w:before="0"/>
            </w:pPr>
            <w:r>
              <w:rPr>
                <w:rFonts w:ascii="Arial" w:hAnsi="Arial"/>
                <w:color w:val="000000"/>
                <w:sz w:val="18"/>
              </w:rPr>
              <w:t>Mussakhojayeva et al. (2022)</w:t>
              <w:br/>
              <w:t>KSC2: Kazakh speech corpus</w:t>
            </w:r>
          </w:p>
        </w:tc>
        <w:tc>
          <w:tcPr>
            <w:tcW w:type="dxa" w:w="8914"/>
            <w:tcMar>
              <w:top w:w="35" w:type="dxa"/>
              <w:bottom w:w="35" w:type="dxa"/>
            </w:tcMar>
          </w:tcPr>
          <w:p>
            <w:pPr>
              <w:spacing w:line="247" w:lineRule="auto" w:after="20" w:before="0"/>
            </w:pPr>
            <w:r>
              <w:rPr>
                <w:rFonts w:ascii="Arial" w:hAnsi="Arial"/>
                <w:color w:val="000000"/>
                <w:sz w:val="18"/>
              </w:rPr>
              <w:t>Spontaneous-subset WER is 27.0–36.8%. Use a separate local sales-speech evaluation.</w:t>
            </w:r>
          </w:p>
        </w:tc>
      </w:tr>
      <w:tr>
        <w:tc>
          <w:tcPr>
            <w:tcW w:type="dxa" w:w="576"/>
            <w:tcMar>
              <w:top w:w="35" w:type="dxa"/>
              <w:bottom w:w="35" w:type="dxa"/>
            </w:tcMar>
          </w:tcPr>
          <w:p>
            <w:pPr>
              <w:spacing w:line="247" w:lineRule="auto" w:after="20" w:before="0"/>
            </w:pPr>
            <w:r>
              <w:rPr>
                <w:rFonts w:ascii="Arial" w:hAnsi="Arial"/>
                <w:color w:val="000000"/>
                <w:sz w:val="18"/>
              </w:rPr>
              <w:t>L05</w:t>
            </w:r>
          </w:p>
        </w:tc>
        <w:tc>
          <w:tcPr>
            <w:tcW w:type="dxa" w:w="5472"/>
            <w:tcMar>
              <w:top w:w="35" w:type="dxa"/>
              <w:bottom w:w="35" w:type="dxa"/>
            </w:tcMar>
          </w:tcPr>
          <w:p>
            <w:pPr>
              <w:spacing w:line="247" w:lineRule="auto" w:after="20" w:before="0"/>
            </w:pPr>
            <w:r>
              <w:rPr>
                <w:rFonts w:ascii="Arial" w:hAnsi="Arial"/>
                <w:color w:val="000000"/>
                <w:sz w:val="18"/>
              </w:rPr>
              <w:t>Asi et al. (2022)</w:t>
              <w:br/>
              <w:t>Sales-call dialogue summarization system</w:t>
            </w:r>
          </w:p>
        </w:tc>
        <w:tc>
          <w:tcPr>
            <w:tcW w:type="dxa" w:w="8914"/>
            <w:tcMar>
              <w:top w:w="35" w:type="dxa"/>
              <w:bottom w:w="35" w:type="dxa"/>
            </w:tcMar>
          </w:tcPr>
          <w:p>
            <w:pPr>
              <w:spacing w:line="247" w:lineRule="auto" w:after="20" w:before="0"/>
            </w:pPr>
            <w:r>
              <w:rPr>
                <w:rFonts w:ascii="Arial" w:hAnsi="Arial"/>
                <w:color w:val="000000"/>
                <w:sz w:val="18"/>
              </w:rPr>
              <w:t>Pseudo-only ROUGE gains conflict with automatic FactCC. Check source support and permit human correction.</w:t>
            </w:r>
          </w:p>
        </w:tc>
      </w:tr>
      <w:tr>
        <w:tc>
          <w:tcPr>
            <w:tcW w:type="dxa" w:w="576"/>
            <w:tcMar>
              <w:top w:w="35" w:type="dxa"/>
              <w:bottom w:w="35" w:type="dxa"/>
            </w:tcMar>
          </w:tcPr>
          <w:p>
            <w:pPr>
              <w:spacing w:line="247" w:lineRule="auto" w:after="20" w:before="0"/>
            </w:pPr>
            <w:r>
              <w:rPr>
                <w:rFonts w:ascii="Arial" w:hAnsi="Arial"/>
                <w:color w:val="000000"/>
                <w:sz w:val="18"/>
              </w:rPr>
              <w:t>L06</w:t>
            </w:r>
          </w:p>
        </w:tc>
        <w:tc>
          <w:tcPr>
            <w:tcW w:type="dxa" w:w="5472"/>
            <w:tcMar>
              <w:top w:w="35" w:type="dxa"/>
              <w:bottom w:w="35" w:type="dxa"/>
            </w:tcMar>
          </w:tcPr>
          <w:p>
            <w:pPr>
              <w:spacing w:line="247" w:lineRule="auto" w:after="20" w:before="0"/>
            </w:pPr>
            <w:r>
              <w:rPr>
                <w:rFonts w:ascii="Arial" w:hAnsi="Arial"/>
                <w:color w:val="000000"/>
                <w:sz w:val="18"/>
              </w:rPr>
              <w:t>Zhong et al. (2021)</w:t>
              <w:br/>
              <w:t>QMSum: query-based meeting summaries</w:t>
            </w:r>
          </w:p>
        </w:tc>
        <w:tc>
          <w:tcPr>
            <w:tcW w:type="dxa" w:w="8914"/>
            <w:tcMar>
              <w:top w:w="35" w:type="dxa"/>
              <w:bottom w:w="35" w:type="dxa"/>
            </w:tcMar>
          </w:tcPr>
          <w:p>
            <w:pPr>
              <w:spacing w:line="247" w:lineRule="auto" w:after="20" w:before="0"/>
            </w:pPr>
            <w:r>
              <w:rPr>
                <w:rFonts w:ascii="Arial" w:hAnsi="Arial"/>
                <w:color w:val="000000"/>
                <w:sz w:val="18"/>
              </w:rPr>
              <w:t>Retrieval helps query-based meeting summaries. Retrieve evidence before producing a highlight.</w:t>
            </w:r>
          </w:p>
        </w:tc>
      </w:tr>
      <w:tr>
        <w:tc>
          <w:tcPr>
            <w:tcW w:type="dxa" w:w="576"/>
            <w:tcMar>
              <w:top w:w="35" w:type="dxa"/>
              <w:bottom w:w="35" w:type="dxa"/>
            </w:tcMar>
          </w:tcPr>
          <w:p>
            <w:pPr>
              <w:spacing w:line="247" w:lineRule="auto" w:after="20" w:before="0"/>
            </w:pPr>
            <w:r>
              <w:rPr>
                <w:rFonts w:ascii="Arial" w:hAnsi="Arial"/>
                <w:color w:val="000000"/>
                <w:sz w:val="18"/>
              </w:rPr>
              <w:t>L07</w:t>
            </w:r>
          </w:p>
        </w:tc>
        <w:tc>
          <w:tcPr>
            <w:tcW w:type="dxa" w:w="5472"/>
            <w:tcMar>
              <w:top w:w="35" w:type="dxa"/>
              <w:bottom w:w="35" w:type="dxa"/>
            </w:tcMar>
          </w:tcPr>
          <w:p>
            <w:pPr>
              <w:spacing w:line="247" w:lineRule="auto" w:after="20" w:before="0"/>
            </w:pPr>
            <w:r>
              <w:rPr>
                <w:rFonts w:ascii="Arial" w:hAnsi="Arial"/>
                <w:color w:val="000000"/>
                <w:sz w:val="18"/>
              </w:rPr>
              <w:t>Tang et al. (2022)</w:t>
              <w:br/>
              <w:t>CONFIT: faithful dialogue summarization</w:t>
            </w:r>
          </w:p>
        </w:tc>
        <w:tc>
          <w:tcPr>
            <w:tcW w:type="dxa" w:w="8914"/>
            <w:tcMar>
              <w:top w:w="35" w:type="dxa"/>
              <w:bottom w:w="35" w:type="dxa"/>
            </w:tcMar>
          </w:tcPr>
          <w:p>
            <w:pPr>
              <w:spacing w:line="247" w:lineRule="auto" w:after="20" w:before="0"/>
            </w:pPr>
            <w:r>
              <w:rPr>
                <w:rFonts w:ascii="Arial" w:hAnsi="Arial"/>
                <w:color w:val="000000"/>
                <w:sz w:val="18"/>
              </w:rPr>
              <w:t>Faithfulness gains have small, uneven human evaluation. Audit entities, negation, reference and modality.</w:t>
            </w:r>
          </w:p>
        </w:tc>
      </w:tr>
      <w:tr>
        <w:tc>
          <w:tcPr>
            <w:tcW w:type="dxa" w:w="576"/>
            <w:tcMar>
              <w:top w:w="35" w:type="dxa"/>
              <w:bottom w:w="35" w:type="dxa"/>
            </w:tcMar>
          </w:tcPr>
          <w:p>
            <w:pPr>
              <w:spacing w:line="247" w:lineRule="auto" w:after="20" w:before="0"/>
            </w:pPr>
            <w:r>
              <w:rPr>
                <w:rFonts w:ascii="Arial" w:hAnsi="Arial"/>
                <w:color w:val="000000"/>
                <w:sz w:val="18"/>
              </w:rPr>
              <w:t>L08</w:t>
            </w:r>
          </w:p>
        </w:tc>
        <w:tc>
          <w:tcPr>
            <w:tcW w:type="dxa" w:w="5472"/>
            <w:tcMar>
              <w:top w:w="35" w:type="dxa"/>
              <w:bottom w:w="35" w:type="dxa"/>
            </w:tcMar>
          </w:tcPr>
          <w:p>
            <w:pPr>
              <w:spacing w:line="247" w:lineRule="auto" w:after="20" w:before="0"/>
            </w:pPr>
            <w:r>
              <w:rPr>
                <w:rFonts w:ascii="Arial" w:hAnsi="Arial"/>
                <w:color w:val="000000"/>
                <w:sz w:val="18"/>
              </w:rPr>
              <w:t>Koenecke et al. (2024)</w:t>
              <w:br/>
              <w:t>Careless Whisper: hallucination harms</w:t>
            </w:r>
          </w:p>
        </w:tc>
        <w:tc>
          <w:tcPr>
            <w:tcW w:type="dxa" w:w="8914"/>
            <w:tcMar>
              <w:top w:w="35" w:type="dxa"/>
              <w:bottom w:w="35" w:type="dxa"/>
            </w:tcMar>
          </w:tcPr>
          <w:p>
            <w:pPr>
              <w:spacing w:line="247" w:lineRule="auto" w:after="20" w:before="0"/>
            </w:pPr>
            <w:r>
              <w:rPr>
                <w:rFonts w:ascii="Arial" w:hAnsi="Arial"/>
                <w:color w:val="000000"/>
                <w:sz w:val="18"/>
              </w:rPr>
              <w:t>Historical ASR hallucinations show unsupported-text risk. Check original audio and silence controls.</w:t>
            </w:r>
          </w:p>
        </w:tc>
      </w:tr>
      <w:tr>
        <w:tc>
          <w:tcPr>
            <w:tcW w:type="dxa" w:w="576"/>
            <w:tcMar>
              <w:top w:w="35" w:type="dxa"/>
              <w:bottom w:w="35" w:type="dxa"/>
            </w:tcMar>
          </w:tcPr>
          <w:p>
            <w:pPr>
              <w:spacing w:line="247" w:lineRule="auto" w:after="20" w:before="0"/>
            </w:pPr>
            <w:r>
              <w:rPr>
                <w:rFonts w:ascii="Arial" w:hAnsi="Arial"/>
                <w:color w:val="000000"/>
                <w:sz w:val="18"/>
              </w:rPr>
              <w:t>L09</w:t>
            </w:r>
          </w:p>
        </w:tc>
        <w:tc>
          <w:tcPr>
            <w:tcW w:type="dxa" w:w="5472"/>
            <w:tcMar>
              <w:top w:w="35" w:type="dxa"/>
              <w:bottom w:w="35" w:type="dxa"/>
            </w:tcMar>
          </w:tcPr>
          <w:p>
            <w:pPr>
              <w:spacing w:line="247" w:lineRule="auto" w:after="20" w:before="0"/>
            </w:pPr>
            <w:r>
              <w:rPr>
                <w:rFonts w:ascii="Arial" w:hAnsi="Arial"/>
                <w:color w:val="000000"/>
                <w:sz w:val="18"/>
              </w:rPr>
              <w:t>Mäntyvaara et al. (2026)</w:t>
              <w:br/>
              <w:t>B2B sales-coaching analytics framework</w:t>
            </w:r>
          </w:p>
        </w:tc>
        <w:tc>
          <w:tcPr>
            <w:tcW w:type="dxa" w:w="8914"/>
            <w:tcMar>
              <w:top w:w="35" w:type="dxa"/>
              <w:bottom w:w="35" w:type="dxa"/>
            </w:tcMar>
          </w:tcPr>
          <w:p>
            <w:pPr>
              <w:spacing w:line="247" w:lineRule="auto" w:after="20" w:before="0"/>
            </w:pPr>
            <w:r>
              <w:rPr>
                <w:rFonts w:ascii="Arial" w:hAnsi="Arial"/>
                <w:color w:val="000000"/>
                <w:sz w:val="18"/>
              </w:rPr>
              <w:t>Engineered rejection target raises circularity concerns. Define independent outcomes and leakage controls.</w:t>
            </w:r>
          </w:p>
        </w:tc>
      </w:tr>
      <w:tr>
        <w:tc>
          <w:tcPr>
            <w:tcW w:type="dxa" w:w="576"/>
            <w:tcMar>
              <w:top w:w="35" w:type="dxa"/>
              <w:bottom w:w="35" w:type="dxa"/>
            </w:tcMar>
          </w:tcPr>
          <w:p>
            <w:pPr>
              <w:spacing w:line="247" w:lineRule="auto" w:after="20" w:before="0"/>
            </w:pPr>
            <w:r>
              <w:rPr>
                <w:rFonts w:ascii="Arial" w:hAnsi="Arial"/>
                <w:color w:val="000000"/>
                <w:sz w:val="18"/>
              </w:rPr>
              <w:t>L10</w:t>
            </w:r>
          </w:p>
        </w:tc>
        <w:tc>
          <w:tcPr>
            <w:tcW w:type="dxa" w:w="5472"/>
            <w:tcMar>
              <w:top w:w="35" w:type="dxa"/>
              <w:bottom w:w="35" w:type="dxa"/>
            </w:tcMar>
          </w:tcPr>
          <w:p>
            <w:pPr>
              <w:spacing w:line="247" w:lineRule="auto" w:after="20" w:before="0"/>
            </w:pPr>
            <w:r>
              <w:rPr>
                <w:rFonts w:ascii="Arial" w:hAnsi="Arial"/>
                <w:color w:val="000000"/>
                <w:sz w:val="18"/>
              </w:rPr>
              <w:t>Stock et al. (2024)</w:t>
              <w:br/>
              <w:t>Customer-oriented behaviour in sales dialogues</w:t>
            </w:r>
          </w:p>
        </w:tc>
        <w:tc>
          <w:tcPr>
            <w:tcW w:type="dxa" w:w="8914"/>
            <w:tcMar>
              <w:top w:w="35" w:type="dxa"/>
              <w:bottom w:w="35" w:type="dxa"/>
            </w:tcMar>
          </w:tcPr>
          <w:p>
            <w:pPr>
              <w:spacing w:line="247" w:lineRule="auto" w:after="20" w:before="0"/>
            </w:pPr>
            <w:r>
              <w:rPr>
                <w:rFonts w:ascii="Arial" w:hAnsi="Arial"/>
                <w:color w:val="000000"/>
                <w:sz w:val="18"/>
              </w:rPr>
              <w:t>German call annotations associate with customer ratings. Keep auditable dialogue-act labels and timestamps.</w:t>
            </w:r>
          </w:p>
        </w:tc>
      </w:tr>
      <w:tr>
        <w:tc>
          <w:tcPr>
            <w:tcW w:type="dxa" w:w="576"/>
            <w:tcMar>
              <w:top w:w="35" w:type="dxa"/>
              <w:bottom w:w="35" w:type="dxa"/>
            </w:tcMar>
          </w:tcPr>
          <w:p>
            <w:pPr>
              <w:spacing w:line="247" w:lineRule="auto" w:after="20" w:before="0"/>
            </w:pPr>
            <w:r>
              <w:rPr>
                <w:rFonts w:ascii="Arial" w:hAnsi="Arial"/>
                <w:color w:val="000000"/>
                <w:sz w:val="18"/>
              </w:rPr>
              <w:t>L11</w:t>
            </w:r>
          </w:p>
        </w:tc>
        <w:tc>
          <w:tcPr>
            <w:tcW w:type="dxa" w:w="5472"/>
            <w:tcMar>
              <w:top w:w="35" w:type="dxa"/>
              <w:bottom w:w="35" w:type="dxa"/>
            </w:tcMar>
          </w:tcPr>
          <w:p>
            <w:pPr>
              <w:spacing w:line="247" w:lineRule="auto" w:after="20" w:before="0"/>
            </w:pPr>
            <w:r>
              <w:rPr>
                <w:rFonts w:ascii="Arial" w:hAnsi="Arial"/>
                <w:color w:val="000000"/>
                <w:sz w:val="18"/>
              </w:rPr>
              <w:t>Fu et al. (2022)</w:t>
              <w:br/>
              <w:t>Entity sentiment in telephone conversations</w:t>
            </w:r>
          </w:p>
        </w:tc>
        <w:tc>
          <w:tcPr>
            <w:tcW w:type="dxa" w:w="8914"/>
            <w:tcMar>
              <w:top w:w="35" w:type="dxa"/>
              <w:bottom w:w="35" w:type="dxa"/>
            </w:tcMar>
          </w:tcPr>
          <w:p>
            <w:pPr>
              <w:spacing w:line="247" w:lineRule="auto" w:after="20" w:before="0"/>
            </w:pPr>
            <w:r>
              <w:rPr>
                <w:rFonts w:ascii="Arial" w:hAnsi="Arial"/>
                <w:color w:val="000000"/>
                <w:sz w:val="18"/>
              </w:rPr>
              <w:t>Entity sentiment differs from intent or sales success. Show opinion spans; validate local transfer.</w:t>
            </w:r>
          </w:p>
        </w:tc>
      </w:tr>
      <w:tr>
        <w:tc>
          <w:tcPr>
            <w:tcW w:type="dxa" w:w="576"/>
            <w:tcMar>
              <w:top w:w="35" w:type="dxa"/>
              <w:bottom w:w="35" w:type="dxa"/>
            </w:tcMar>
          </w:tcPr>
          <w:p>
            <w:pPr>
              <w:spacing w:line="247" w:lineRule="auto" w:after="20" w:before="0"/>
            </w:pPr>
            <w:r>
              <w:rPr>
                <w:rFonts w:ascii="Arial" w:hAnsi="Arial"/>
                <w:color w:val="000000"/>
                <w:sz w:val="18"/>
              </w:rPr>
              <w:t>L12</w:t>
            </w:r>
          </w:p>
        </w:tc>
        <w:tc>
          <w:tcPr>
            <w:tcW w:type="dxa" w:w="5472"/>
            <w:tcMar>
              <w:top w:w="35" w:type="dxa"/>
              <w:bottom w:w="35" w:type="dxa"/>
            </w:tcMar>
          </w:tcPr>
          <w:p>
            <w:pPr>
              <w:spacing w:line="247" w:lineRule="auto" w:after="20" w:before="0"/>
            </w:pPr>
            <w:r>
              <w:rPr>
                <w:rFonts w:ascii="Arial" w:hAnsi="Arial"/>
                <w:color w:val="000000"/>
                <w:sz w:val="18"/>
              </w:rPr>
              <w:t>Good et al. (2026)</w:t>
              <w:br/>
              <w:t>Qualifying B2C leads from chats</w:t>
            </w:r>
          </w:p>
        </w:tc>
        <w:tc>
          <w:tcPr>
            <w:tcW w:type="dxa" w:w="8914"/>
            <w:tcMar>
              <w:top w:w="35" w:type="dxa"/>
              <w:bottom w:w="35" w:type="dxa"/>
            </w:tcMar>
          </w:tcPr>
          <w:p>
            <w:pPr>
              <w:spacing w:line="247" w:lineRule="auto" w:after="20" w:before="0"/>
            </w:pPr>
            <w:r>
              <w:rPr>
                <w:rFonts w:ascii="Arial" w:hAnsi="Arial"/>
                <w:color w:val="000000"/>
                <w:sz w:val="18"/>
              </w:rPr>
              <w:t>Written B2C lead signals link chats with outcomes. Test lead features; speech transfer is unverified.</w:t>
            </w:r>
          </w:p>
        </w:tc>
      </w:tr>
      <w:tr>
        <w:tc>
          <w:tcPr>
            <w:tcW w:type="dxa" w:w="576"/>
            <w:tcMar>
              <w:top w:w="35" w:type="dxa"/>
              <w:bottom w:w="35" w:type="dxa"/>
            </w:tcMar>
          </w:tcPr>
          <w:p>
            <w:pPr>
              <w:spacing w:line="247" w:lineRule="auto" w:after="20" w:before="0"/>
            </w:pPr>
            <w:r>
              <w:rPr>
                <w:rFonts w:ascii="Arial" w:hAnsi="Arial"/>
                <w:color w:val="000000"/>
                <w:sz w:val="18"/>
              </w:rPr>
              <w:t>L13</w:t>
            </w:r>
          </w:p>
        </w:tc>
        <w:tc>
          <w:tcPr>
            <w:tcW w:type="dxa" w:w="5472"/>
            <w:tcMar>
              <w:top w:w="35" w:type="dxa"/>
              <w:bottom w:w="35" w:type="dxa"/>
            </w:tcMar>
          </w:tcPr>
          <w:p>
            <w:pPr>
              <w:spacing w:line="247" w:lineRule="auto" w:after="20" w:before="0"/>
            </w:pPr>
            <w:r>
              <w:rPr>
                <w:rFonts w:ascii="Arial" w:hAnsi="Arial"/>
                <w:color w:val="000000"/>
                <w:sz w:val="18"/>
              </w:rPr>
              <w:t>Vieira et al. (2024)</w:t>
              <w:br/>
              <w:t>B2B chat content and sales performance</w:t>
            </w:r>
          </w:p>
        </w:tc>
        <w:tc>
          <w:tcPr>
            <w:tcW w:type="dxa" w:w="8914"/>
            <w:tcMar>
              <w:top w:w="35" w:type="dxa"/>
              <w:bottom w:w="35" w:type="dxa"/>
            </w:tcMar>
          </w:tcPr>
          <w:p>
            <w:pPr>
              <w:spacing w:line="247" w:lineRule="auto" w:after="20" w:before="0"/>
            </w:pPr>
            <w:r>
              <w:rPr>
                <w:rFonts w:ascii="Arial" w:hAnsi="Arial"/>
                <w:color w:val="000000"/>
                <w:sz w:val="18"/>
              </w:rPr>
              <w:t>B2B chat associations are observational. Separate revenue, frequency and conversion.</w:t>
            </w:r>
          </w:p>
        </w:tc>
      </w:tr>
      <w:tr>
        <w:tc>
          <w:tcPr>
            <w:tcW w:type="dxa" w:w="576"/>
            <w:tcMar>
              <w:top w:w="35" w:type="dxa"/>
              <w:bottom w:w="35" w:type="dxa"/>
            </w:tcMar>
          </w:tcPr>
          <w:p>
            <w:pPr>
              <w:spacing w:line="247" w:lineRule="auto" w:after="20" w:before="0"/>
            </w:pPr>
            <w:r>
              <w:rPr>
                <w:rFonts w:ascii="Arial" w:hAnsi="Arial"/>
                <w:color w:val="000000"/>
                <w:sz w:val="18"/>
              </w:rPr>
              <w:t>L14</w:t>
            </w:r>
          </w:p>
        </w:tc>
        <w:tc>
          <w:tcPr>
            <w:tcW w:type="dxa" w:w="5472"/>
            <w:tcMar>
              <w:top w:w="35" w:type="dxa"/>
              <w:bottom w:w="35" w:type="dxa"/>
            </w:tcMar>
          </w:tcPr>
          <w:p>
            <w:pPr>
              <w:spacing w:line="247" w:lineRule="auto" w:after="20" w:before="0"/>
            </w:pPr>
            <w:r>
              <w:rPr>
                <w:rFonts w:ascii="Arial" w:hAnsi="Arial"/>
                <w:color w:val="000000"/>
                <w:sz w:val="18"/>
              </w:rPr>
              <w:t>Humă and Stokoe (2023)</w:t>
              <w:br/>
              <w:t>Resistance in B2B cold calls</w:t>
            </w:r>
          </w:p>
        </w:tc>
        <w:tc>
          <w:tcPr>
            <w:tcW w:type="dxa" w:w="8914"/>
            <w:tcMar>
              <w:top w:w="35" w:type="dxa"/>
              <w:bottom w:w="35" w:type="dxa"/>
            </w:tcMar>
          </w:tcPr>
          <w:p>
            <w:pPr>
              <w:spacing w:line="247" w:lineRule="auto" w:after="20" w:before="0"/>
            </w:pPr>
            <w:r>
              <w:rPr>
                <w:rFonts w:ascii="Arial" w:hAnsi="Arial"/>
                <w:color w:val="000000"/>
                <w:sz w:val="18"/>
              </w:rPr>
              <w:t>Resistance distinguishes ending from delaying a sale. Retain context and distinguish rejection/postponement.</w:t>
            </w:r>
          </w:p>
        </w:tc>
      </w:tr>
      <w:tr>
        <w:tc>
          <w:tcPr>
            <w:tcW w:type="dxa" w:w="576"/>
            <w:tcMar>
              <w:top w:w="35" w:type="dxa"/>
              <w:bottom w:w="35" w:type="dxa"/>
            </w:tcMar>
          </w:tcPr>
          <w:p>
            <w:pPr>
              <w:spacing w:line="247" w:lineRule="auto" w:after="20" w:before="0"/>
            </w:pPr>
            <w:r>
              <w:rPr>
                <w:rFonts w:ascii="Arial" w:hAnsi="Arial"/>
                <w:color w:val="000000"/>
                <w:sz w:val="18"/>
              </w:rPr>
              <w:t>L15</w:t>
            </w:r>
          </w:p>
        </w:tc>
        <w:tc>
          <w:tcPr>
            <w:tcW w:type="dxa" w:w="5472"/>
            <w:tcMar>
              <w:top w:w="35" w:type="dxa"/>
              <w:bottom w:w="35" w:type="dxa"/>
            </w:tcMar>
          </w:tcPr>
          <w:p>
            <w:pPr>
              <w:spacing w:line="247" w:lineRule="auto" w:after="20" w:before="0"/>
            </w:pPr>
            <w:r>
              <w:rPr>
                <w:rFonts w:ascii="Arial" w:hAnsi="Arial"/>
                <w:color w:val="000000"/>
                <w:sz w:val="18"/>
              </w:rPr>
              <w:t>Song et al. (2021)</w:t>
              <w:br/>
              <w:t>SmartSales: FinTech telemarketing coaching</w:t>
            </w:r>
          </w:p>
        </w:tc>
        <w:tc>
          <w:tcPr>
            <w:tcW w:type="dxa" w:w="8914"/>
            <w:tcMar>
              <w:top w:w="35" w:type="dxa"/>
              <w:bottom w:w="35" w:type="dxa"/>
            </w:tcMar>
          </w:tcPr>
          <w:p>
            <w:pPr>
              <w:spacing w:line="247" w:lineRule="auto" w:after="20" w:before="0"/>
            </w:pPr>
            <w:r>
              <w:rPr>
                <w:rFonts w:ascii="Arial" w:hAnsi="Arial"/>
                <w:color w:val="000000"/>
                <w:sz w:val="18"/>
              </w:rPr>
              <w:t>FinTech integration demo does not prove sales uplift. Use as architecture precedent, not performance proof.</w:t>
            </w:r>
          </w:p>
        </w:tc>
      </w:tr>
    </w:tbl>
    <w:p>
      <w:pPr>
        <w:sectPr>
          <w:pgSz w:w="16834" w:h="11909" w:orient="landscape"/>
          <w:pgMar w:top="936" w:right="936" w:bottom="936" w:left="936" w:header="432" w:footer="432" w:gutter="0"/>
          <w:cols w:space="240" w:num="1"/>
          <w:docGrid w:linePitch="360"/>
        </w:sectPr>
      </w:pPr>
    </w:p>
    <w:p>
      <w:pPr>
        <w:pStyle w:val="Heading1"/>
      </w:pPr>
      <w:r>
        <w:rPr>
          <w:color w:val="000000"/>
        </w:rPr>
        <w:t>4 Existing system comparison</w:t>
      </w:r>
    </w:p>
    <w:p>
      <w:r>
        <w:rPr>
          <w:color w:val="000000"/>
        </w:rPr>
        <w:t>Four systems were compared against the same eight criteria: capture, transcript review, CRM linkage, derived insights, coaching, aggregate analysis, languages and access. These are documented capabilities, not independent benchmarks. Appendix G contains the complete matrix, citations and feature caveats.</w:t>
      </w:r>
    </w:p>
    <w:tbl>
      <w:tblPr>
        <w:tblStyle w:val="TableGrid"/>
        <w:tblW w:type="auto" w:w="0"/>
        <w:tblLayout w:type="fixed"/>
        <w:tblLook w:firstColumn="1" w:firstRow="1" w:lastColumn="0" w:lastRow="0" w:noHBand="0" w:noVBand="1" w:val="04A0"/>
      </w:tblPr>
      <w:tblGrid>
        <w:gridCol w:w="2880"/>
        <w:gridCol w:w="5976"/>
        <w:gridCol w:w="6106"/>
      </w:tblGrid>
      <w:tr>
        <w:trPr>
          <w:tblHeader/>
        </w:trPr>
        <w:tc>
          <w:tcPr>
            <w:tcW w:type="dxa" w:w="2880"/>
            <w:tcMar>
              <w:top w:w="35" w:type="dxa"/>
              <w:bottom w:w="35" w:type="dxa"/>
            </w:tcMar>
          </w:tcPr>
          <w:p>
            <w:pPr>
              <w:spacing w:line="247" w:lineRule="auto" w:after="20" w:before="0"/>
            </w:pPr>
            <w:r>
              <w:rPr>
                <w:rFonts w:ascii="Arial" w:hAnsi="Arial"/>
                <w:b/>
                <w:color w:val="000000"/>
                <w:sz w:val="19"/>
              </w:rPr>
              <w:t>System</w:t>
            </w:r>
          </w:p>
        </w:tc>
        <w:tc>
          <w:tcPr>
            <w:tcW w:type="dxa" w:w="5976"/>
            <w:tcMar>
              <w:top w:w="35" w:type="dxa"/>
              <w:bottom w:w="35" w:type="dxa"/>
            </w:tcMar>
          </w:tcPr>
          <w:p>
            <w:pPr>
              <w:spacing w:line="247" w:lineRule="auto" w:after="20" w:before="0"/>
            </w:pPr>
            <w:r>
              <w:rPr>
                <w:rFonts w:ascii="Arial" w:hAnsi="Arial"/>
                <w:b/>
                <w:color w:val="000000"/>
                <w:sz w:val="19"/>
              </w:rPr>
              <w:t>Documented capability summary</w:t>
            </w:r>
          </w:p>
        </w:tc>
        <w:tc>
          <w:tcPr>
            <w:tcW w:type="dxa" w:w="6106"/>
            <w:tcMar>
              <w:top w:w="35" w:type="dxa"/>
              <w:bottom w:w="35" w:type="dxa"/>
            </w:tcMar>
          </w:tcPr>
          <w:p>
            <w:pPr>
              <w:spacing w:line="247" w:lineRule="auto" w:after="20" w:before="0"/>
            </w:pPr>
            <w:r>
              <w:rPr>
                <w:rFonts w:ascii="Arial" w:hAnsi="Arial"/>
                <w:b/>
                <w:color w:val="000000"/>
                <w:sz w:val="19"/>
              </w:rPr>
              <w:t>Limit relevant to this project</w:t>
            </w:r>
          </w:p>
        </w:tc>
      </w:tr>
      <w:tr>
        <w:tc>
          <w:tcPr>
            <w:tcW w:type="dxa" w:w="2880"/>
            <w:tcMar>
              <w:top w:w="35" w:type="dxa"/>
              <w:bottom w:w="35" w:type="dxa"/>
            </w:tcMar>
          </w:tcPr>
          <w:p>
            <w:pPr>
              <w:spacing w:line="247" w:lineRule="auto" w:after="20" w:before="0"/>
            </w:pPr>
            <w:r>
              <w:rPr>
                <w:rFonts w:ascii="Arial" w:hAnsi="Arial"/>
                <w:color w:val="000000"/>
                <w:sz w:val="19"/>
              </w:rPr>
              <w:t>Gong</w:t>
            </w:r>
          </w:p>
        </w:tc>
        <w:tc>
          <w:tcPr>
            <w:tcW w:type="dxa" w:w="5976"/>
            <w:tcMar>
              <w:top w:w="35" w:type="dxa"/>
              <w:bottom w:w="35" w:type="dxa"/>
            </w:tcMar>
          </w:tcPr>
          <w:p>
            <w:pPr>
              <w:spacing w:line="247" w:lineRule="auto" w:after="20" w:before="0"/>
            </w:pPr>
            <w:r>
              <w:rPr>
                <w:rFonts w:ascii="Arial" w:hAnsi="Arial"/>
                <w:color w:val="000000"/>
                <w:sz w:val="19"/>
              </w:rPr>
              <w:t>Call capture, transcript search, CRM links, topics and coaching.</w:t>
            </w:r>
          </w:p>
        </w:tc>
        <w:tc>
          <w:tcPr>
            <w:tcW w:type="dxa" w:w="6106"/>
            <w:tcMar>
              <w:top w:w="35" w:type="dxa"/>
              <w:bottom w:w="35" w:type="dxa"/>
            </w:tcMar>
          </w:tcPr>
          <w:p>
            <w:pPr>
              <w:spacing w:line="247" w:lineRule="auto" w:after="20" w:before="0"/>
            </w:pPr>
            <w:r>
              <w:rPr>
                <w:rFonts w:ascii="Arial" w:hAnsi="Arial"/>
                <w:color w:val="000000"/>
                <w:sz w:val="19"/>
              </w:rPr>
              <w:t>Russian/Kazakh are listed; local accuracy and commercial access need checking.</w:t>
            </w:r>
          </w:p>
        </w:tc>
      </w:tr>
      <w:tr>
        <w:tc>
          <w:tcPr>
            <w:tcW w:type="dxa" w:w="2880"/>
            <w:tcMar>
              <w:top w:w="35" w:type="dxa"/>
              <w:bottom w:w="35" w:type="dxa"/>
            </w:tcMar>
          </w:tcPr>
          <w:p>
            <w:pPr>
              <w:spacing w:line="247" w:lineRule="auto" w:after="20" w:before="0"/>
            </w:pPr>
            <w:r>
              <w:rPr>
                <w:rFonts w:ascii="Arial" w:hAnsi="Arial"/>
                <w:color w:val="000000"/>
                <w:sz w:val="19"/>
              </w:rPr>
              <w:t>Salesloft Conversation Intelligence</w:t>
            </w:r>
          </w:p>
        </w:tc>
        <w:tc>
          <w:tcPr>
            <w:tcW w:type="dxa" w:w="5976"/>
            <w:tcMar>
              <w:top w:w="35" w:type="dxa"/>
              <w:bottom w:w="35" w:type="dxa"/>
            </w:tcMar>
          </w:tcPr>
          <w:p>
            <w:pPr>
              <w:spacing w:line="247" w:lineRule="auto" w:after="20" w:before="0"/>
            </w:pPr>
            <w:r>
              <w:rPr>
                <w:rFonts w:ascii="Arial" w:hAnsi="Arial"/>
                <w:color w:val="000000"/>
                <w:sz w:val="19"/>
              </w:rPr>
              <w:t>Call review, summaries/actions, coaching, topic filtering and announced cross-call trends.</w:t>
            </w:r>
          </w:p>
        </w:tc>
        <w:tc>
          <w:tcPr>
            <w:tcW w:type="dxa" w:w="6106"/>
            <w:tcMar>
              <w:top w:w="35" w:type="dxa"/>
              <w:bottom w:w="35" w:type="dxa"/>
            </w:tcMar>
          </w:tcPr>
          <w:p>
            <w:pPr>
              <w:spacing w:line="247" w:lineRule="auto" w:after="20" w:before="0"/>
            </w:pPr>
            <w:r>
              <w:rPr>
                <w:rFonts w:ascii="Arial" w:hAnsi="Arial"/>
                <w:color w:val="000000"/>
                <w:sz w:val="19"/>
              </w:rPr>
              <w:t>Dual Salesloft/Clari Copilot subscriptions, CI entitlement and Team Access; legacy/new language parity remains unverified.</w:t>
            </w:r>
          </w:p>
        </w:tc>
      </w:tr>
      <w:tr>
        <w:tc>
          <w:tcPr>
            <w:tcW w:type="dxa" w:w="2880"/>
            <w:tcMar>
              <w:top w:w="35" w:type="dxa"/>
              <w:bottom w:w="35" w:type="dxa"/>
            </w:tcMar>
          </w:tcPr>
          <w:p>
            <w:pPr>
              <w:spacing w:line="247" w:lineRule="auto" w:after="20" w:before="0"/>
            </w:pPr>
            <w:r>
              <w:rPr>
                <w:rFonts w:ascii="Arial" w:hAnsi="Arial"/>
                <w:color w:val="000000"/>
                <w:sz w:val="19"/>
              </w:rPr>
              <w:t>HubSpot Conversation Intelligence</w:t>
            </w:r>
          </w:p>
        </w:tc>
        <w:tc>
          <w:tcPr>
            <w:tcW w:type="dxa" w:w="5976"/>
            <w:tcMar>
              <w:top w:w="35" w:type="dxa"/>
              <w:bottom w:w="35" w:type="dxa"/>
            </w:tcMar>
          </w:tcPr>
          <w:p>
            <w:pPr>
              <w:spacing w:line="247" w:lineRule="auto" w:after="20" w:before="0"/>
            </w:pPr>
            <w:r>
              <w:rPr>
                <w:rFonts w:ascii="Arial" w:hAnsi="Arial"/>
                <w:color w:val="000000"/>
                <w:sz w:val="19"/>
              </w:rPr>
              <w:t>Associated CRM records, transcripts, comments and reporting.</w:t>
            </w:r>
          </w:p>
        </w:tc>
        <w:tc>
          <w:tcPr>
            <w:tcW w:type="dxa" w:w="6106"/>
            <w:tcMar>
              <w:top w:w="35" w:type="dxa"/>
              <w:bottom w:w="35" w:type="dxa"/>
            </w:tcMar>
          </w:tcPr>
          <w:p>
            <w:pPr>
              <w:spacing w:line="247" w:lineRule="auto" w:after="20" w:before="0"/>
            </w:pPr>
            <w:r>
              <w:rPr>
                <w:rFonts w:ascii="Arial" w:hAnsi="Arial"/>
                <w:color w:val="000000"/>
                <w:sz w:val="19"/>
              </w:rPr>
              <w:t>Russian/Kazakh are listed; transcription and reporting depend on seats/tier.</w:t>
            </w:r>
          </w:p>
        </w:tc>
      </w:tr>
      <w:tr>
        <w:tc>
          <w:tcPr>
            <w:tcW w:type="dxa" w:w="2880"/>
            <w:tcMar>
              <w:top w:w="35" w:type="dxa"/>
              <w:bottom w:w="35" w:type="dxa"/>
            </w:tcMar>
          </w:tcPr>
          <w:p>
            <w:pPr>
              <w:spacing w:line="247" w:lineRule="auto" w:after="20" w:before="0"/>
            </w:pPr>
            <w:r>
              <w:rPr>
                <w:rFonts w:ascii="Arial" w:hAnsi="Arial"/>
                <w:color w:val="000000"/>
                <w:sz w:val="19"/>
              </w:rPr>
              <w:t>Dynamics 365 Sales CI</w:t>
            </w:r>
          </w:p>
        </w:tc>
        <w:tc>
          <w:tcPr>
            <w:tcW w:type="dxa" w:w="5976"/>
            <w:tcMar>
              <w:top w:w="35" w:type="dxa"/>
              <w:bottom w:w="35" w:type="dxa"/>
            </w:tcMar>
          </w:tcPr>
          <w:p>
            <w:pPr>
              <w:spacing w:line="247" w:lineRule="auto" w:after="20" w:before="0"/>
            </w:pPr>
            <w:r>
              <w:rPr>
                <w:rFonts w:ascii="Arial" w:hAnsi="Arial"/>
                <w:color w:val="000000"/>
                <w:sz w:val="19"/>
              </w:rPr>
              <w:t>Teams conversations, CRM summaries and manager dashboards.</w:t>
            </w:r>
          </w:p>
        </w:tc>
        <w:tc>
          <w:tcPr>
            <w:tcW w:type="dxa" w:w="6106"/>
            <w:tcMar>
              <w:top w:w="35" w:type="dxa"/>
              <w:bottom w:w="35" w:type="dxa"/>
            </w:tcMar>
          </w:tcPr>
          <w:p>
            <w:pPr>
              <w:spacing w:line="247" w:lineRule="auto" w:after="20" w:before="0"/>
            </w:pPr>
            <w:r>
              <w:rPr>
                <w:rFonts w:ascii="Arial" w:hAnsi="Arial"/>
                <w:color w:val="000000"/>
                <w:sz w:val="19"/>
              </w:rPr>
              <w:t>Insights vary by language; Russian/Kazakh are absent from the reviewed CI matrix.</w:t>
            </w:r>
          </w:p>
        </w:tc>
      </w:tr>
    </w:tbl>
    <w:p>
      <w:pPr>
        <w:spacing w:after="100"/>
      </w:pPr>
      <w:r>
        <w:rPr>
          <w:color w:val="000000"/>
          <w:sz w:val="19"/>
        </w:rPr>
        <w:t>Sources: (Gong, n.d., 2026a, 2026b, 2026c, 2026d, 2026e; HubSpot, 2026a, 2026b; Microsoft, 2025, 2026a, 2026b, 2026c, 2026d; Salesloft, n.d.-a, n.d.-b, 2026a, 2026b, 2026c, 2026d, 2026e).</w:t>
      </w:r>
    </w:p>
    <w:p>
      <w:pPr>
        <w:pStyle w:val="Heading1"/>
      </w:pPr>
      <w:r>
        <w:rPr>
          <w:color w:val="000000"/>
        </w:rPr>
        <w:t>5 Technology comparison</w:t>
      </w:r>
    </w:p>
    <w:tbl>
      <w:tblPr>
        <w:tblStyle w:val="TableGrid"/>
        <w:tblW w:type="auto" w:w="0"/>
        <w:tblLayout w:type="fixed"/>
        <w:tblLook w:firstColumn="1" w:firstRow="1" w:lastColumn="0" w:lastRow="0" w:noHBand="0" w:noVBand="1" w:val="04A0"/>
      </w:tblPr>
      <w:tblGrid>
        <w:gridCol w:w="2016"/>
        <w:gridCol w:w="4824"/>
        <w:gridCol w:w="8122"/>
      </w:tblGrid>
      <w:tr>
        <w:trPr>
          <w:tblHeader/>
        </w:trPr>
        <w:tc>
          <w:tcPr>
            <w:tcW w:type="dxa" w:w="2016"/>
            <w:tcMar>
              <w:top w:w="35" w:type="dxa"/>
              <w:bottom w:w="35" w:type="dxa"/>
            </w:tcMar>
          </w:tcPr>
          <w:p>
            <w:pPr>
              <w:spacing w:line="247" w:lineRule="auto" w:after="20" w:before="0"/>
            </w:pPr>
            <w:r>
              <w:rPr>
                <w:rFonts w:ascii="Arial" w:hAnsi="Arial"/>
                <w:b/>
                <w:color w:val="000000"/>
                <w:sz w:val="19"/>
              </w:rPr>
              <w:t>Decision</w:t>
            </w:r>
          </w:p>
        </w:tc>
        <w:tc>
          <w:tcPr>
            <w:tcW w:type="dxa" w:w="4824"/>
            <w:tcMar>
              <w:top w:w="35" w:type="dxa"/>
              <w:bottom w:w="35" w:type="dxa"/>
            </w:tcMar>
          </w:tcPr>
          <w:p>
            <w:pPr>
              <w:spacing w:line="247" w:lineRule="auto" w:after="20" w:before="0"/>
            </w:pPr>
            <w:r>
              <w:rPr>
                <w:rFonts w:ascii="Arial" w:hAnsi="Arial"/>
                <w:b/>
                <w:color w:val="000000"/>
                <w:sz w:val="19"/>
              </w:rPr>
              <w:t>Three alternatives</w:t>
            </w:r>
          </w:p>
        </w:tc>
        <w:tc>
          <w:tcPr>
            <w:tcW w:type="dxa" w:w="8122"/>
            <w:tcMar>
              <w:top w:w="35" w:type="dxa"/>
              <w:bottom w:w="35" w:type="dxa"/>
            </w:tcMar>
          </w:tcPr>
          <w:p>
            <w:pPr>
              <w:spacing w:line="247" w:lineRule="auto" w:after="20" w:before="0"/>
            </w:pPr>
            <w:r>
              <w:rPr>
                <w:rFonts w:ascii="Arial" w:hAnsi="Arial"/>
                <w:b/>
                <w:color w:val="000000"/>
                <w:sz w:val="19"/>
              </w:rPr>
              <w:t>Proposed choice and reason</w:t>
            </w:r>
          </w:p>
        </w:tc>
      </w:tr>
      <w:tr>
        <w:tc>
          <w:tcPr>
            <w:tcW w:type="dxa" w:w="2016"/>
            <w:tcMar>
              <w:top w:w="35" w:type="dxa"/>
              <w:bottom w:w="35" w:type="dxa"/>
            </w:tcMar>
          </w:tcPr>
          <w:p>
            <w:pPr>
              <w:spacing w:line="247" w:lineRule="auto" w:after="20" w:before="0"/>
            </w:pPr>
            <w:r>
              <w:rPr>
                <w:rFonts w:ascii="Arial" w:hAnsi="Arial"/>
                <w:color w:val="000000"/>
                <w:sz w:val="19"/>
              </w:rPr>
              <w:t>Backend</w:t>
            </w:r>
          </w:p>
        </w:tc>
        <w:tc>
          <w:tcPr>
            <w:tcW w:type="dxa" w:w="4824"/>
            <w:tcMar>
              <w:top w:w="35" w:type="dxa"/>
              <w:bottom w:w="35" w:type="dxa"/>
            </w:tcMar>
          </w:tcPr>
          <w:p>
            <w:pPr>
              <w:spacing w:line="247" w:lineRule="auto" w:after="20" w:before="0"/>
            </w:pPr>
            <w:r>
              <w:rPr>
                <w:rFonts w:ascii="Arial" w:hAnsi="Arial"/>
                <w:color w:val="000000"/>
                <w:sz w:val="19"/>
              </w:rPr>
              <w:t>FastAPI; Django; NestJS</w:t>
            </w:r>
          </w:p>
        </w:tc>
        <w:tc>
          <w:tcPr>
            <w:tcW w:type="dxa" w:w="8122"/>
            <w:tcMar>
              <w:top w:w="35" w:type="dxa"/>
              <w:bottom w:w="35" w:type="dxa"/>
            </w:tcMar>
          </w:tcPr>
          <w:p>
            <w:pPr>
              <w:spacing w:line="247" w:lineRule="auto" w:after="20" w:before="0"/>
            </w:pPr>
            <w:r>
              <w:rPr>
                <w:rFonts w:ascii="Arial" w:hAnsi="Arial"/>
                <w:color w:val="000000"/>
                <w:sz w:val="19"/>
              </w:rPr>
              <w:t>FastAPI keeps API and speech/evaluation tooling in Python.</w:t>
            </w:r>
          </w:p>
        </w:tc>
      </w:tr>
      <w:tr>
        <w:tc>
          <w:tcPr>
            <w:tcW w:type="dxa" w:w="2016"/>
            <w:tcMar>
              <w:top w:w="35" w:type="dxa"/>
              <w:bottom w:w="35" w:type="dxa"/>
            </w:tcMar>
          </w:tcPr>
          <w:p>
            <w:pPr>
              <w:spacing w:line="247" w:lineRule="auto" w:after="20" w:before="0"/>
            </w:pPr>
            <w:r>
              <w:rPr>
                <w:rFonts w:ascii="Arial" w:hAnsi="Arial"/>
                <w:color w:val="000000"/>
                <w:sz w:val="19"/>
              </w:rPr>
              <w:t>Database</w:t>
            </w:r>
          </w:p>
        </w:tc>
        <w:tc>
          <w:tcPr>
            <w:tcW w:type="dxa" w:w="4824"/>
            <w:tcMar>
              <w:top w:w="35" w:type="dxa"/>
              <w:bottom w:w="35" w:type="dxa"/>
            </w:tcMar>
          </w:tcPr>
          <w:p>
            <w:pPr>
              <w:spacing w:line="247" w:lineRule="auto" w:after="20" w:before="0"/>
            </w:pPr>
            <w:r>
              <w:rPr>
                <w:rFonts w:ascii="Arial" w:hAnsi="Arial"/>
                <w:color w:val="000000"/>
                <w:sz w:val="19"/>
              </w:rPr>
              <w:t>PostgreSQL; SQLite; MongoDB</w:t>
            </w:r>
          </w:p>
        </w:tc>
        <w:tc>
          <w:tcPr>
            <w:tcW w:type="dxa" w:w="8122"/>
            <w:tcMar>
              <w:top w:w="35" w:type="dxa"/>
              <w:bottom w:w="35" w:type="dxa"/>
            </w:tcMar>
          </w:tcPr>
          <w:p>
            <w:pPr>
              <w:spacing w:line="247" w:lineRule="auto" w:after="20" w:before="0"/>
            </w:pPr>
            <w:r>
              <w:rPr>
                <w:rFonts w:ascii="Arial" w:hAnsi="Arial"/>
                <w:color w:val="000000"/>
                <w:sz w:val="19"/>
              </w:rPr>
              <w:t>PostgreSQL supports explicit shared deal/call relationships and JSON metadata.</w:t>
            </w:r>
          </w:p>
        </w:tc>
      </w:tr>
      <w:tr>
        <w:tc>
          <w:tcPr>
            <w:tcW w:type="dxa" w:w="2016"/>
            <w:tcMar>
              <w:top w:w="35" w:type="dxa"/>
              <w:bottom w:w="35" w:type="dxa"/>
            </w:tcMar>
          </w:tcPr>
          <w:p>
            <w:pPr>
              <w:spacing w:line="247" w:lineRule="auto" w:after="20" w:before="0"/>
            </w:pPr>
            <w:r>
              <w:rPr>
                <w:rFonts w:ascii="Arial" w:hAnsi="Arial"/>
                <w:color w:val="000000"/>
                <w:sz w:val="19"/>
              </w:rPr>
              <w:t>Speech recognition</w:t>
            </w:r>
          </w:p>
        </w:tc>
        <w:tc>
          <w:tcPr>
            <w:tcW w:type="dxa" w:w="4824"/>
            <w:tcMar>
              <w:top w:w="35" w:type="dxa"/>
              <w:bottom w:w="35" w:type="dxa"/>
            </w:tcMar>
          </w:tcPr>
          <w:p>
            <w:pPr>
              <w:spacing w:line="247" w:lineRule="auto" w:after="20" w:before="0"/>
            </w:pPr>
            <w:r>
              <w:rPr>
                <w:rFonts w:ascii="Arial" w:hAnsi="Arial"/>
                <w:color w:val="000000"/>
                <w:sz w:val="19"/>
              </w:rPr>
              <w:t>Local Whisper; Azure Speech; Google Cloud STT</w:t>
            </w:r>
          </w:p>
        </w:tc>
        <w:tc>
          <w:tcPr>
            <w:tcW w:type="dxa" w:w="8122"/>
            <w:tcMar>
              <w:top w:w="35" w:type="dxa"/>
              <w:bottom w:w="35" w:type="dxa"/>
            </w:tcMar>
          </w:tcPr>
          <w:p>
            <w:pPr>
              <w:spacing w:line="247" w:lineRule="auto" w:after="20" w:before="0"/>
            </w:pPr>
            <w:r>
              <w:rPr>
                <w:rFonts w:ascii="Arial" w:hAnsi="Arial"/>
                <w:color w:val="000000"/>
                <w:sz w:val="19"/>
              </w:rPr>
              <w:t>Local Whisper baseline; compare quality and compute before choosing model size.</w:t>
            </w:r>
          </w:p>
        </w:tc>
      </w:tr>
      <w:tr>
        <w:tc>
          <w:tcPr>
            <w:tcW w:type="dxa" w:w="2016"/>
            <w:tcMar>
              <w:top w:w="35" w:type="dxa"/>
              <w:bottom w:w="35" w:type="dxa"/>
            </w:tcMar>
          </w:tcPr>
          <w:p>
            <w:pPr>
              <w:spacing w:line="247" w:lineRule="auto" w:after="20" w:before="0"/>
            </w:pPr>
            <w:r>
              <w:rPr>
                <w:rFonts w:ascii="Arial" w:hAnsi="Arial"/>
                <w:color w:val="000000"/>
                <w:sz w:val="19"/>
              </w:rPr>
              <w:t>Job processing</w:t>
            </w:r>
          </w:p>
        </w:tc>
        <w:tc>
          <w:tcPr>
            <w:tcW w:type="dxa" w:w="4824"/>
            <w:tcMar>
              <w:top w:w="35" w:type="dxa"/>
              <w:bottom w:w="35" w:type="dxa"/>
            </w:tcMar>
          </w:tcPr>
          <w:p>
            <w:pPr>
              <w:spacing w:line="247" w:lineRule="auto" w:after="20" w:before="0"/>
            </w:pPr>
            <w:r>
              <w:rPr>
                <w:rFonts w:ascii="Arial" w:hAnsi="Arial"/>
                <w:color w:val="000000"/>
                <w:sz w:val="19"/>
              </w:rPr>
              <w:t>Synchronous requests; FastAPI BackgroundTasks; Celery</w:t>
            </w:r>
          </w:p>
        </w:tc>
        <w:tc>
          <w:tcPr>
            <w:tcW w:type="dxa" w:w="8122"/>
            <w:tcMar>
              <w:top w:w="35" w:type="dxa"/>
              <w:bottom w:w="35" w:type="dxa"/>
            </w:tcMar>
          </w:tcPr>
          <w:p>
            <w:pPr>
              <w:spacing w:line="247" w:lineRule="auto" w:after="20" w:before="0"/>
            </w:pPr>
            <w:r>
              <w:rPr>
                <w:rFonts w:ascii="Arial" w:hAnsi="Arial"/>
                <w:color w:val="000000"/>
                <w:sz w:val="19"/>
              </w:rPr>
              <w:t>Celery/Redis with PostgreSQL job and outbox recovery keeps processing separate from the API.</w:t>
            </w:r>
          </w:p>
        </w:tc>
      </w:tr>
    </w:tbl>
    <w:p>
      <w:r>
        <w:rPr>
          <w:color w:val="000000"/>
          <w:sz w:val="19"/>
        </w:rPr>
        <w:t>Technical sources: (Celery, n.d.; Django Software Foundation, n.d.; FastAPI, n.d.-a, n.d.-b; Google Cloud, 2026a, 2026b; Microsoft, 2026e; MongoDB, n.d.; NestJS, n.d.; OpenAI, n.d.; PostgreSQL Global Development Group, n.d.-a, n.d.-b; SQLite, n.d.). Appendix G preserves the full alternatives and evidence. Private local/S3-compatible audio storage, explicit permissions and reproducible benchmarks remain design requirements; no accuracy or cost winner is assumed.</w:t>
      </w:r>
    </w:p>
    <w:p>
      <w:pPr>
        <w:sectPr>
          <w:pgSz w:w="16834" w:h="11909" w:orient="landscape"/>
          <w:pgMar w:top="936" w:right="936" w:bottom="936" w:left="936" w:header="432" w:footer="432" w:gutter="0"/>
          <w:cols w:space="240" w:num="1"/>
          <w:docGrid w:linePitch="360"/>
        </w:sectPr>
      </w:pPr>
    </w:p>
    <w:p>
      <w:pPr>
        <w:pStyle w:val="Heading1"/>
      </w:pPr>
      <w:r>
        <w:rPr>
          <w:color w:val="000000"/>
        </w:rPr>
        <w:t>6 Requirements specification</w:t>
      </w:r>
    </w:p>
    <w:p>
      <w:r>
        <w:rPr>
          <w:color w:val="000000"/>
        </w:rPr>
        <w:t>All 26 requirements, priorities and test mappings are retained in Appendix B and docs/requirements.csv. Bekzat’s review clarified team ownership, atomic imports, durable jobs, version conflicts, access, reporting and deletion. Must items define the MVP; Should items are provisional and Could items are optional. These are specifications for implementation, not passed backend tests.</w:t>
      </w:r>
    </w:p>
    <w:tbl>
      <w:tblPr>
        <w:tblStyle w:val="TableGrid"/>
        <w:tblW w:type="auto" w:w="0"/>
        <w:tblLayout w:type="fixed"/>
        <w:tblLook w:firstColumn="1" w:firstRow="1" w:lastColumn="0" w:lastRow="0" w:noHBand="0" w:noVBand="1" w:val="04A0"/>
      </w:tblPr>
      <w:tblGrid>
        <w:gridCol w:w="1584"/>
        <w:gridCol w:w="3816"/>
        <w:gridCol w:w="4493"/>
      </w:tblGrid>
      <w:tr>
        <w:trPr>
          <w:tblHeader/>
        </w:trPr>
        <w:tc>
          <w:tcPr>
            <w:tcW w:type="dxa" w:w="1584"/>
            <w:tcMar>
              <w:top w:w="35" w:type="dxa"/>
              <w:bottom w:w="35" w:type="dxa"/>
            </w:tcMar>
          </w:tcPr>
          <w:p>
            <w:pPr>
              <w:spacing w:line="247" w:lineRule="auto" w:after="20" w:before="0"/>
            </w:pPr>
            <w:r>
              <w:rPr>
                <w:rFonts w:ascii="Arial" w:hAnsi="Arial"/>
                <w:b/>
                <w:color w:val="000000"/>
                <w:sz w:val="19"/>
              </w:rPr>
              <w:t>Requirement IDs</w:t>
            </w:r>
          </w:p>
        </w:tc>
        <w:tc>
          <w:tcPr>
            <w:tcW w:type="dxa" w:w="3816"/>
            <w:tcMar>
              <w:top w:w="35" w:type="dxa"/>
              <w:bottom w:w="35" w:type="dxa"/>
            </w:tcMar>
          </w:tcPr>
          <w:p>
            <w:pPr>
              <w:spacing w:line="247" w:lineRule="auto" w:after="20" w:before="0"/>
            </w:pPr>
            <w:r>
              <w:rPr>
                <w:rFonts w:ascii="Arial" w:hAnsi="Arial"/>
                <w:b/>
                <w:color w:val="000000"/>
                <w:sz w:val="19"/>
              </w:rPr>
              <w:t>Scope and priority</w:t>
            </w:r>
          </w:p>
        </w:tc>
        <w:tc>
          <w:tcPr>
            <w:tcW w:type="dxa" w:w="4493"/>
            <w:tcMar>
              <w:top w:w="35" w:type="dxa"/>
              <w:bottom w:w="35" w:type="dxa"/>
            </w:tcMar>
          </w:tcPr>
          <w:p>
            <w:pPr>
              <w:spacing w:line="247" w:lineRule="auto" w:after="20" w:before="0"/>
            </w:pPr>
            <w:r>
              <w:rPr>
                <w:rFonts w:ascii="Arial" w:hAnsi="Arial"/>
                <w:b/>
                <w:color w:val="000000"/>
                <w:sz w:val="19"/>
              </w:rPr>
              <w:t>Acceptance evidence</w:t>
            </w:r>
          </w:p>
        </w:tc>
      </w:tr>
      <w:tr>
        <w:tc>
          <w:tcPr>
            <w:tcW w:type="dxa" w:w="1584"/>
            <w:tcMar>
              <w:top w:w="35" w:type="dxa"/>
              <w:bottom w:w="35" w:type="dxa"/>
            </w:tcMar>
          </w:tcPr>
          <w:p>
            <w:pPr>
              <w:spacing w:line="247" w:lineRule="auto" w:after="20" w:before="0"/>
            </w:pPr>
            <w:r>
              <w:rPr>
                <w:rFonts w:ascii="Arial" w:hAnsi="Arial"/>
                <w:color w:val="000000"/>
                <w:sz w:val="19"/>
              </w:rPr>
              <w:t>FR01</w:t>
            </w:r>
          </w:p>
        </w:tc>
        <w:tc>
          <w:tcPr>
            <w:tcW w:type="dxa" w:w="3816"/>
            <w:tcMar>
              <w:top w:w="35" w:type="dxa"/>
              <w:bottom w:w="35" w:type="dxa"/>
            </w:tcMar>
          </w:tcPr>
          <w:p>
            <w:pPr>
              <w:spacing w:line="247" w:lineRule="auto" w:after="20" w:before="0"/>
            </w:pPr>
            <w:r>
              <w:rPr>
                <w:rFonts w:ascii="Arial" w:hAnsi="Arial"/>
                <w:color w:val="000000"/>
                <w:sz w:val="19"/>
              </w:rPr>
              <w:t>Must: authentication and scoped access</w:t>
            </w:r>
          </w:p>
        </w:tc>
        <w:tc>
          <w:tcPr>
            <w:tcW w:type="dxa" w:w="4493"/>
            <w:tcMar>
              <w:top w:w="35" w:type="dxa"/>
              <w:bottom w:w="35" w:type="dxa"/>
            </w:tcMar>
          </w:tcPr>
          <w:p>
            <w:pPr>
              <w:spacing w:line="247" w:lineRule="auto" w:after="20" w:before="0"/>
            </w:pPr>
            <w:r>
              <w:rPr>
                <w:rFonts w:ascii="Arial" w:hAnsi="Arial"/>
                <w:color w:val="000000"/>
                <w:sz w:val="19"/>
              </w:rPr>
              <w:t>401 without login; 404 for invisible objects; 403 for forbidden actions; grants remain team scoped.</w:t>
            </w:r>
          </w:p>
        </w:tc>
      </w:tr>
      <w:tr>
        <w:tc>
          <w:tcPr>
            <w:tcW w:type="dxa" w:w="1584"/>
            <w:tcMar>
              <w:top w:w="35" w:type="dxa"/>
              <w:bottom w:w="35" w:type="dxa"/>
            </w:tcMar>
          </w:tcPr>
          <w:p>
            <w:pPr>
              <w:spacing w:line="247" w:lineRule="auto" w:after="20" w:before="0"/>
            </w:pPr>
            <w:r>
              <w:rPr>
                <w:rFonts w:ascii="Arial" w:hAnsi="Arial"/>
                <w:color w:val="000000"/>
                <w:sz w:val="19"/>
              </w:rPr>
              <w:t>FR02–FR03</w:t>
            </w:r>
          </w:p>
        </w:tc>
        <w:tc>
          <w:tcPr>
            <w:tcW w:type="dxa" w:w="3816"/>
            <w:tcMar>
              <w:top w:w="35" w:type="dxa"/>
              <w:bottom w:w="35" w:type="dxa"/>
            </w:tcMar>
          </w:tcPr>
          <w:p>
            <w:pPr>
              <w:spacing w:line="247" w:lineRule="auto" w:after="20" w:before="0"/>
            </w:pPr>
            <w:r>
              <w:rPr>
                <w:rFonts w:ascii="Arial" w:hAnsi="Arial"/>
                <w:color w:val="000000"/>
                <w:sz w:val="19"/>
              </w:rPr>
              <w:t>Must: CSV import and explicit call/deal joins</w:t>
            </w:r>
          </w:p>
        </w:tc>
        <w:tc>
          <w:tcPr>
            <w:tcW w:type="dxa" w:w="4493"/>
            <w:tcMar>
              <w:top w:w="35" w:type="dxa"/>
              <w:bottom w:w="35" w:type="dxa"/>
            </w:tcMar>
          </w:tcPr>
          <w:p>
            <w:pPr>
              <w:spacing w:line="247" w:lineRule="auto" w:after="20" w:before="0"/>
            </w:pPr>
            <w:r>
              <w:rPr>
                <w:rFonts w:ascii="Arial" w:hAnsi="Arial"/>
                <w:color w:val="000000"/>
                <w:sz w:val="19"/>
              </w:rPr>
              <w:t>Apply valid batches atomically with team/source keys; reject invalid links and stale updates without partial writes.</w:t>
            </w:r>
          </w:p>
        </w:tc>
      </w:tr>
      <w:tr>
        <w:tc>
          <w:tcPr>
            <w:tcW w:type="dxa" w:w="1584"/>
            <w:tcMar>
              <w:top w:w="35" w:type="dxa"/>
              <w:bottom w:w="35" w:type="dxa"/>
            </w:tcMar>
          </w:tcPr>
          <w:p>
            <w:pPr>
              <w:spacing w:line="247" w:lineRule="auto" w:after="20" w:before="0"/>
            </w:pPr>
            <w:r>
              <w:rPr>
                <w:rFonts w:ascii="Arial" w:hAnsi="Arial"/>
                <w:color w:val="000000"/>
                <w:sz w:val="19"/>
              </w:rPr>
              <w:t>FR04–FR05</w:t>
            </w:r>
          </w:p>
        </w:tc>
        <w:tc>
          <w:tcPr>
            <w:tcW w:type="dxa" w:w="3816"/>
            <w:tcMar>
              <w:top w:w="35" w:type="dxa"/>
              <w:bottom w:w="35" w:type="dxa"/>
            </w:tcMar>
          </w:tcPr>
          <w:p>
            <w:pPr>
              <w:spacing w:line="247" w:lineRule="auto" w:after="20" w:before="0"/>
            </w:pPr>
            <w:r>
              <w:rPr>
                <w:rFonts w:ascii="Arial" w:hAnsi="Arial"/>
                <w:color w:val="000000"/>
                <w:sz w:val="19"/>
              </w:rPr>
              <w:t>Must: permitted audio and recoverable jobs</w:t>
            </w:r>
          </w:p>
        </w:tc>
        <w:tc>
          <w:tcPr>
            <w:tcW w:type="dxa" w:w="4493"/>
            <w:tcMar>
              <w:top w:w="35" w:type="dxa"/>
              <w:bottom w:w="35" w:type="dxa"/>
            </w:tcMar>
          </w:tcPr>
          <w:p>
            <w:pPr>
              <w:spacing w:line="247" w:lineRule="auto" w:after="20" w:before="0"/>
            </w:pPr>
            <w:r>
              <w:rPr>
                <w:rFonts w:ascii="Arial" w:hAnsi="Arial"/>
                <w:color w:val="000000"/>
                <w:sz w:val="19"/>
              </w:rPr>
              <w:t>Validate media; recover committed jobs; one initial attempt plus at most two automatic retries, including crashes.</w:t>
            </w:r>
          </w:p>
        </w:tc>
      </w:tr>
      <w:tr>
        <w:tc>
          <w:tcPr>
            <w:tcW w:type="dxa" w:w="1584"/>
            <w:tcMar>
              <w:top w:w="35" w:type="dxa"/>
              <w:bottom w:w="35" w:type="dxa"/>
            </w:tcMar>
          </w:tcPr>
          <w:p>
            <w:pPr>
              <w:spacing w:line="247" w:lineRule="auto" w:after="20" w:before="0"/>
            </w:pPr>
            <w:r>
              <w:rPr>
                <w:rFonts w:ascii="Arial" w:hAnsi="Arial"/>
                <w:color w:val="000000"/>
                <w:sz w:val="19"/>
              </w:rPr>
              <w:t>FR06–FR07</w:t>
            </w:r>
          </w:p>
        </w:tc>
        <w:tc>
          <w:tcPr>
            <w:tcW w:type="dxa" w:w="3816"/>
            <w:tcMar>
              <w:top w:w="35" w:type="dxa"/>
              <w:bottom w:w="35" w:type="dxa"/>
            </w:tcMar>
          </w:tcPr>
          <w:p>
            <w:pPr>
              <w:spacing w:line="247" w:lineRule="auto" w:after="20" w:before="0"/>
            </w:pPr>
            <w:r>
              <w:rPr>
                <w:rFonts w:ascii="Arial" w:hAnsi="Arial"/>
                <w:color w:val="000000"/>
                <w:sz w:val="19"/>
              </w:rPr>
              <w:t>Must: versioned timestamps; Should: diarization</w:t>
            </w:r>
          </w:p>
        </w:tc>
        <w:tc>
          <w:tcPr>
            <w:tcW w:type="dxa" w:w="4493"/>
            <w:tcMar>
              <w:top w:w="35" w:type="dxa"/>
              <w:bottom w:w="35" w:type="dxa"/>
            </w:tcMar>
          </w:tcPr>
          <w:p>
            <w:pPr>
              <w:spacing w:line="247" w:lineRule="auto" w:after="20" w:before="0"/>
            </w:pPr>
            <w:r>
              <w:rPr>
                <w:rFonts w:ascii="Arial" w:hAnsi="Arial"/>
                <w:color w:val="000000"/>
                <w:sz w:val="19"/>
              </w:rPr>
              <w:t>Immutable transcript versions and provenance; valid times; confirm speaker roles separately.</w:t>
            </w:r>
          </w:p>
        </w:tc>
      </w:tr>
      <w:tr>
        <w:tc>
          <w:tcPr>
            <w:tcW w:type="dxa" w:w="1584"/>
            <w:tcMar>
              <w:top w:w="35" w:type="dxa"/>
              <w:bottom w:w="35" w:type="dxa"/>
            </w:tcMar>
          </w:tcPr>
          <w:p>
            <w:pPr>
              <w:spacing w:line="247" w:lineRule="auto" w:after="20" w:before="0"/>
            </w:pPr>
            <w:r>
              <w:rPr>
                <w:rFonts w:ascii="Arial" w:hAnsi="Arial"/>
                <w:color w:val="000000"/>
                <w:sz w:val="19"/>
              </w:rPr>
              <w:t>FR08–FR09</w:t>
            </w:r>
          </w:p>
        </w:tc>
        <w:tc>
          <w:tcPr>
            <w:tcW w:type="dxa" w:w="3816"/>
            <w:tcMar>
              <w:top w:w="35" w:type="dxa"/>
              <w:bottom w:w="35" w:type="dxa"/>
            </w:tcMar>
          </w:tcPr>
          <w:p>
            <w:pPr>
              <w:spacing w:line="247" w:lineRule="auto" w:after="20" w:before="0"/>
            </w:pPr>
            <w:r>
              <w:rPr>
                <w:rFonts w:ascii="Arial" w:hAnsi="Arial"/>
                <w:color w:val="000000"/>
                <w:sz w:val="19"/>
              </w:rPr>
              <w:t>Must: supported extraction and human review</w:t>
            </w:r>
          </w:p>
        </w:tc>
        <w:tc>
          <w:tcPr>
            <w:tcW w:type="dxa" w:w="4493"/>
            <w:tcMar>
              <w:top w:w="35" w:type="dxa"/>
              <w:bottom w:w="35" w:type="dxa"/>
            </w:tcMar>
          </w:tcPr>
          <w:p>
            <w:pPr>
              <w:spacing w:line="247" w:lineRule="auto" w:after="20" w:before="0"/>
            </w:pPr>
            <w:r>
              <w:rPr>
                <w:rFonts w:ascii="Arial" w:hAnsi="Arial"/>
                <w:color w:val="000000"/>
                <w:sz w:val="19"/>
              </w:rPr>
              <w:t>Same-call/version evidence; separate item states; reject stale writes and invalidate changed evidence approvals.</w:t>
            </w:r>
          </w:p>
        </w:tc>
      </w:tr>
      <w:tr>
        <w:tc>
          <w:tcPr>
            <w:tcW w:type="dxa" w:w="1584"/>
            <w:tcMar>
              <w:top w:w="35" w:type="dxa"/>
              <w:bottom w:w="35" w:type="dxa"/>
            </w:tcMar>
          </w:tcPr>
          <w:p>
            <w:pPr>
              <w:spacing w:line="247" w:lineRule="auto" w:after="20" w:before="0"/>
            </w:pPr>
            <w:r>
              <w:rPr>
                <w:rFonts w:ascii="Arial" w:hAnsi="Arial"/>
                <w:color w:val="000000"/>
                <w:sz w:val="19"/>
              </w:rPr>
              <w:t>FR10</w:t>
            </w:r>
          </w:p>
        </w:tc>
        <w:tc>
          <w:tcPr>
            <w:tcW w:type="dxa" w:w="3816"/>
            <w:tcMar>
              <w:top w:w="35" w:type="dxa"/>
              <w:bottom w:w="35" w:type="dxa"/>
            </w:tcMar>
          </w:tcPr>
          <w:p>
            <w:pPr>
              <w:spacing w:line="247" w:lineRule="auto" w:after="20" w:before="0"/>
            </w:pPr>
            <w:r>
              <w:rPr>
                <w:rFonts w:ascii="Arial" w:hAnsi="Arial"/>
                <w:color w:val="000000"/>
                <w:sz w:val="19"/>
              </w:rPr>
              <w:t>Must: trustworthy dashboard</w:t>
            </w:r>
          </w:p>
        </w:tc>
        <w:tc>
          <w:tcPr>
            <w:tcW w:type="dxa" w:w="4493"/>
            <w:tcMar>
              <w:top w:w="35" w:type="dxa"/>
              <w:bottom w:w="35" w:type="dxa"/>
            </w:tcMar>
          </w:tcPr>
          <w:p>
            <w:pPr>
              <w:spacing w:line="247" w:lineRule="auto" w:after="20" w:before="0"/>
            </w:pPr>
            <w:r>
              <w:rPr>
                <w:rFonts w:ascii="Arial" w:hAnsi="Arial"/>
                <w:color w:val="000000"/>
                <w:sz w:val="19"/>
              </w:rPr>
              <w:t>Distinct deals, no-call deals, language cohorts, separate date bases/currencies and missing-amount counts.</w:t>
            </w:r>
          </w:p>
        </w:tc>
      </w:tr>
      <w:tr>
        <w:tc>
          <w:tcPr>
            <w:tcW w:type="dxa" w:w="1584"/>
            <w:tcMar>
              <w:top w:w="35" w:type="dxa"/>
              <w:bottom w:w="35" w:type="dxa"/>
            </w:tcMar>
          </w:tcPr>
          <w:p>
            <w:pPr>
              <w:spacing w:line="247" w:lineRule="auto" w:after="20" w:before="0"/>
            </w:pPr>
            <w:r>
              <w:rPr>
                <w:rFonts w:ascii="Arial" w:hAnsi="Arial"/>
                <w:color w:val="000000"/>
                <w:sz w:val="19"/>
              </w:rPr>
              <w:t>FR11–FR12</w:t>
            </w:r>
          </w:p>
        </w:tc>
        <w:tc>
          <w:tcPr>
            <w:tcW w:type="dxa" w:w="3816"/>
            <w:tcMar>
              <w:top w:w="35" w:type="dxa"/>
              <w:bottom w:w="35" w:type="dxa"/>
            </w:tcMar>
          </w:tcPr>
          <w:p>
            <w:pPr>
              <w:spacing w:line="247" w:lineRule="auto" w:after="20" w:before="0"/>
            </w:pPr>
            <w:r>
              <w:rPr>
                <w:rFonts w:ascii="Arial" w:hAnsi="Arial"/>
                <w:color w:val="000000"/>
                <w:sz w:val="19"/>
              </w:rPr>
              <w:t>Must: scoped search and CSV export</w:t>
            </w:r>
          </w:p>
        </w:tc>
        <w:tc>
          <w:tcPr>
            <w:tcW w:type="dxa" w:w="4493"/>
            <w:tcMar>
              <w:top w:w="35" w:type="dxa"/>
              <w:bottom w:w="35" w:type="dxa"/>
            </w:tcMar>
          </w:tcPr>
          <w:p>
            <w:pPr>
              <w:spacing w:line="247" w:lineRule="auto" w:after="20" w:before="0"/>
            </w:pPr>
            <w:r>
              <w:rPr>
                <w:rFonts w:ascii="Arial" w:hAnsi="Arial"/>
                <w:color w:val="000000"/>
                <w:sz w:val="19"/>
              </w:rPr>
              <w:t>Scoped matches; export the same authorized snapshot; recheck download grants and neutralize formulas.</w:t>
            </w:r>
          </w:p>
        </w:tc>
      </w:tr>
      <w:tr>
        <w:tc>
          <w:tcPr>
            <w:tcW w:type="dxa" w:w="1584"/>
            <w:tcMar>
              <w:top w:w="35" w:type="dxa"/>
              <w:bottom w:w="35" w:type="dxa"/>
            </w:tcMar>
          </w:tcPr>
          <w:p>
            <w:pPr>
              <w:spacing w:line="247" w:lineRule="auto" w:after="20" w:before="0"/>
            </w:pPr>
            <w:r>
              <w:rPr>
                <w:rFonts w:ascii="Arial" w:hAnsi="Arial"/>
                <w:color w:val="000000"/>
                <w:sz w:val="19"/>
              </w:rPr>
              <w:t>FR13–FR14</w:t>
            </w:r>
          </w:p>
        </w:tc>
        <w:tc>
          <w:tcPr>
            <w:tcW w:type="dxa" w:w="3816"/>
            <w:tcMar>
              <w:top w:w="35" w:type="dxa"/>
              <w:bottom w:w="35" w:type="dxa"/>
            </w:tcMar>
          </w:tcPr>
          <w:p>
            <w:pPr>
              <w:spacing w:line="247" w:lineRule="auto" w:after="20" w:before="0"/>
            </w:pPr>
            <w:r>
              <w:rPr>
                <w:rFonts w:ascii="Arial" w:hAnsi="Arial"/>
                <w:color w:val="000000"/>
                <w:sz w:val="19"/>
              </w:rPr>
              <w:t>Must: deletion and authoritative outcomes</w:t>
            </w:r>
          </w:p>
        </w:tc>
        <w:tc>
          <w:tcPr>
            <w:tcW w:type="dxa" w:w="4493"/>
            <w:tcMar>
              <w:top w:w="35" w:type="dxa"/>
              <w:bottom w:w="35" w:type="dxa"/>
            </w:tcMar>
          </w:tcPr>
          <w:p>
            <w:pPr>
              <w:spacing w:line="247" w:lineRule="auto" w:after="20" w:before="0"/>
            </w:pPr>
            <w:r>
              <w:rPr>
                <w:rFonts w:ascii="Arial" w:hAnsi="Arial"/>
                <w:color w:val="000000"/>
                <w:sz w:val="19"/>
              </w:rPr>
              <w:t>Deny reads immediately; fence late writes; clean active content within 24h and expire backups within 30 days; retain CRM authority.</w:t>
            </w:r>
          </w:p>
        </w:tc>
      </w:tr>
      <w:tr>
        <w:tc>
          <w:tcPr>
            <w:tcW w:type="dxa" w:w="1584"/>
            <w:tcMar>
              <w:top w:w="35" w:type="dxa"/>
              <w:bottom w:w="35" w:type="dxa"/>
            </w:tcMar>
          </w:tcPr>
          <w:p>
            <w:pPr>
              <w:spacing w:line="247" w:lineRule="auto" w:after="20" w:before="0"/>
            </w:pPr>
            <w:r>
              <w:rPr>
                <w:rFonts w:ascii="Arial" w:hAnsi="Arial"/>
                <w:color w:val="000000"/>
                <w:sz w:val="19"/>
              </w:rPr>
              <w:t>FR15–FR16</w:t>
            </w:r>
          </w:p>
        </w:tc>
        <w:tc>
          <w:tcPr>
            <w:tcW w:type="dxa" w:w="3816"/>
            <w:tcMar>
              <w:top w:w="35" w:type="dxa"/>
              <w:bottom w:w="35" w:type="dxa"/>
            </w:tcMar>
          </w:tcPr>
          <w:p>
            <w:pPr>
              <w:spacing w:line="247" w:lineRule="auto" w:after="20" w:before="0"/>
            </w:pPr>
            <w:r>
              <w:rPr>
                <w:rFonts w:ascii="Arial" w:hAnsi="Arial"/>
                <w:color w:val="000000"/>
                <w:sz w:val="19"/>
              </w:rPr>
              <w:t>Should: evaluator; Could: future CRM adapter</w:t>
            </w:r>
          </w:p>
        </w:tc>
        <w:tc>
          <w:tcPr>
            <w:tcW w:type="dxa" w:w="4493"/>
            <w:tcMar>
              <w:top w:w="35" w:type="dxa"/>
              <w:bottom w:w="35" w:type="dxa"/>
            </w:tcMar>
          </w:tcPr>
          <w:p>
            <w:pPr>
              <w:spacing w:line="247" w:lineRule="auto" w:after="20" w:before="0"/>
            </w:pPr>
            <w:r>
              <w:rPr>
                <w:rFonts w:ascii="Arial" w:hAnsi="Arial"/>
                <w:color w:val="000000"/>
                <w:sz w:val="19"/>
              </w:rPr>
              <w:t>Reproducible language/split/model results; optional scoped idempotent CRM sync.</w:t>
            </w:r>
          </w:p>
        </w:tc>
      </w:tr>
    </w:tbl>
    <w:p>
      <w:pPr>
        <w:pStyle w:val="Heading2"/>
      </w:pPr>
      <w:r>
        <w:rPr>
          <w:color w:val="000000"/>
        </w:rPr>
        <w:t>Quality and data rules</w:t>
      </w:r>
    </w:p>
    <w:tbl>
      <w:tblPr>
        <w:tblStyle w:val="TableGrid"/>
        <w:tblW w:type="auto" w:w="0"/>
        <w:tblLayout w:type="fixed"/>
        <w:tblLook w:firstColumn="1" w:firstRow="1" w:lastColumn="0" w:lastRow="0" w:noHBand="0" w:noVBand="1" w:val="04A0"/>
      </w:tblPr>
      <w:tblGrid>
        <w:gridCol w:w="1584"/>
        <w:gridCol w:w="8309"/>
      </w:tblGrid>
      <w:tr>
        <w:trPr>
          <w:tblHeader/>
        </w:trPr>
        <w:tc>
          <w:tcPr>
            <w:tcW w:type="dxa" w:w="1584"/>
            <w:tcMar>
              <w:top w:w="35" w:type="dxa"/>
              <w:bottom w:w="35" w:type="dxa"/>
            </w:tcMar>
          </w:tcPr>
          <w:p>
            <w:pPr>
              <w:spacing w:line="247" w:lineRule="auto" w:after="20" w:before="0"/>
            </w:pPr>
            <w:r>
              <w:rPr>
                <w:rFonts w:ascii="Arial" w:hAnsi="Arial"/>
                <w:b/>
                <w:color w:val="000000"/>
                <w:sz w:val="19"/>
              </w:rPr>
              <w:t>Requirement IDs</w:t>
            </w:r>
          </w:p>
        </w:tc>
        <w:tc>
          <w:tcPr>
            <w:tcW w:type="dxa" w:w="8309"/>
            <w:tcMar>
              <w:top w:w="35" w:type="dxa"/>
              <w:bottom w:w="35" w:type="dxa"/>
            </w:tcMar>
          </w:tcPr>
          <w:p>
            <w:pPr>
              <w:spacing w:line="247" w:lineRule="auto" w:after="20" w:before="0"/>
            </w:pPr>
            <w:r>
              <w:rPr>
                <w:rFonts w:ascii="Arial" w:hAnsi="Arial"/>
                <w:b/>
                <w:color w:val="000000"/>
                <w:sz w:val="19"/>
              </w:rPr>
              <w:t>Quality and planned verification</w:t>
            </w:r>
          </w:p>
        </w:tc>
      </w:tr>
      <w:tr>
        <w:tc>
          <w:tcPr>
            <w:tcW w:type="dxa" w:w="1584"/>
            <w:tcMar>
              <w:top w:w="35" w:type="dxa"/>
              <w:bottom w:w="35" w:type="dxa"/>
            </w:tcMar>
          </w:tcPr>
          <w:p>
            <w:pPr>
              <w:spacing w:line="247" w:lineRule="auto" w:after="20" w:before="0"/>
            </w:pPr>
            <w:r>
              <w:rPr>
                <w:rFonts w:ascii="Arial" w:hAnsi="Arial"/>
                <w:color w:val="000000"/>
                <w:sz w:val="19"/>
              </w:rPr>
              <w:t>NFR01–NFR03</w:t>
            </w:r>
          </w:p>
        </w:tc>
        <w:tc>
          <w:tcPr>
            <w:tcW w:type="dxa" w:w="8309"/>
            <w:tcMar>
              <w:top w:w="35" w:type="dxa"/>
              <w:bottom w:w="35" w:type="dxa"/>
            </w:tcMar>
          </w:tcPr>
          <w:p>
            <w:pPr>
              <w:spacing w:line="247" w:lineRule="auto" w:after="20" w:before="0"/>
            </w:pPr>
            <w:r>
              <w:rPr>
                <w:rFonts w:ascii="Arial" w:hAnsi="Arial"/>
                <w:color w:val="000000"/>
                <w:sz w:val="19"/>
              </w:rPr>
              <w:t>Must: authorized/minimized data, private objects and secrets, version/hash/revision provenance.</w:t>
            </w:r>
          </w:p>
        </w:tc>
      </w:tr>
      <w:tr>
        <w:tc>
          <w:tcPr>
            <w:tcW w:type="dxa" w:w="1584"/>
            <w:tcMar>
              <w:top w:w="35" w:type="dxa"/>
              <w:bottom w:w="35" w:type="dxa"/>
            </w:tcMar>
          </w:tcPr>
          <w:p>
            <w:pPr>
              <w:spacing w:line="247" w:lineRule="auto" w:after="20" w:before="0"/>
            </w:pPr>
            <w:r>
              <w:rPr>
                <w:rFonts w:ascii="Arial" w:hAnsi="Arial"/>
                <w:color w:val="000000"/>
                <w:sz w:val="19"/>
              </w:rPr>
              <w:t>NFR04–NFR05</w:t>
            </w:r>
          </w:p>
        </w:tc>
        <w:tc>
          <w:tcPr>
            <w:tcW w:type="dxa" w:w="8309"/>
            <w:tcMar>
              <w:top w:w="35" w:type="dxa"/>
              <w:bottom w:w="35" w:type="dxa"/>
            </w:tcMar>
          </w:tcPr>
          <w:p>
            <w:pPr>
              <w:spacing w:line="247" w:lineRule="auto" w:after="20" w:before="0"/>
            </w:pPr>
            <w:r>
              <w:rPr>
                <w:rFonts w:ascii="Arial" w:hAnsi="Arial"/>
                <w:color w:val="000000"/>
                <w:sz w:val="19"/>
              </w:rPr>
              <w:t>Should: API p95 ≤2s under the declared fixture/load; ASR median real-time factor ≤1 and p95 ≤2 on the recorded host.</w:t>
            </w:r>
          </w:p>
        </w:tc>
      </w:tr>
      <w:tr>
        <w:tc>
          <w:tcPr>
            <w:tcW w:type="dxa" w:w="1584"/>
            <w:tcMar>
              <w:top w:w="35" w:type="dxa"/>
              <w:bottom w:w="35" w:type="dxa"/>
            </w:tcMar>
          </w:tcPr>
          <w:p>
            <w:pPr>
              <w:spacing w:line="247" w:lineRule="auto" w:after="20" w:before="0"/>
            </w:pPr>
            <w:r>
              <w:rPr>
                <w:rFonts w:ascii="Arial" w:hAnsi="Arial"/>
                <w:color w:val="000000"/>
                <w:sz w:val="19"/>
              </w:rPr>
              <w:t>NFR06–NFR08</w:t>
            </w:r>
          </w:p>
        </w:tc>
        <w:tc>
          <w:tcPr>
            <w:tcW w:type="dxa" w:w="8309"/>
            <w:tcMar>
              <w:top w:w="35" w:type="dxa"/>
              <w:bottom w:w="35" w:type="dxa"/>
            </w:tcMar>
          </w:tcPr>
          <w:p>
            <w:pPr>
              <w:spacing w:line="247" w:lineRule="auto" w:after="20" w:before="0"/>
            </w:pPr>
            <w:r>
              <w:rPr>
                <w:rFonts w:ascii="Arial" w:hAnsi="Arial"/>
                <w:color w:val="000000"/>
                <w:sz w:val="19"/>
              </w:rPr>
              <w:t>Must: durable recovery, protected reviewed versions, keyboard workflow and reproducible setup. Future usability target: 4/5 users complete three fixed tasks in 10 minutes without help.</w:t>
            </w:r>
          </w:p>
        </w:tc>
      </w:tr>
      <w:tr>
        <w:tc>
          <w:tcPr>
            <w:tcW w:type="dxa" w:w="1584"/>
            <w:tcMar>
              <w:top w:w="35" w:type="dxa"/>
              <w:bottom w:w="35" w:type="dxa"/>
            </w:tcMar>
          </w:tcPr>
          <w:p>
            <w:pPr>
              <w:spacing w:line="247" w:lineRule="auto" w:after="20" w:before="0"/>
            </w:pPr>
            <w:r>
              <w:rPr>
                <w:rFonts w:ascii="Arial" w:hAnsi="Arial"/>
                <w:color w:val="000000"/>
                <w:sz w:val="19"/>
              </w:rPr>
              <w:t>NFR09–NFR10</w:t>
            </w:r>
          </w:p>
        </w:tc>
        <w:tc>
          <w:tcPr>
            <w:tcW w:type="dxa" w:w="8309"/>
            <w:tcMar>
              <w:top w:w="35" w:type="dxa"/>
              <w:bottom w:w="35" w:type="dxa"/>
            </w:tcMar>
          </w:tcPr>
          <w:p>
            <w:pPr>
              <w:spacing w:line="247" w:lineRule="auto" w:after="20" w:before="0"/>
            </w:pPr>
            <w:r>
              <w:rPr>
                <w:rFonts w:ascii="Arial" w:hAnsi="Arial"/>
                <w:color w:val="000000"/>
                <w:sz w:val="19"/>
              </w:rPr>
              <w:t>Should: provisional Russian WER ≤25% and Kazakh ≤30%. Must: raw source-grounded evidence precision ≥95%; zero fabricated numeric commitments after human review.</w:t>
            </w:r>
          </w:p>
        </w:tc>
      </w:tr>
    </w:tbl>
    <w:p>
      <w:r>
        <w:rPr>
          <w:color w:val="000000"/>
        </w:rPr>
        <w:t>Time targets exclude upload or ASR waiting where specified. The server derives team ownership and assigns immutable internal IDs. Import keys include team and source; each call links to one authorized deal. Invalid rows block the whole import, and stale updates require revalidation. Times use UTC storage and a selected IANA timezone; money remains separate by currency, with missing-amount coverage reported.</w:t>
      </w:r>
    </w:p>
    <w:p>
      <w:r>
        <w:rPr>
          <w:color w:val="000000"/>
        </w:rPr>
        <w:t>Win rate = won / (won + lost), using distinct CRM deals closed in the reporting period; an empty denominator is Not available. All-language totals include deals without calls. Language filters select linked deals without multiplying them. Call volume uses recorded_at; open pipeline is a current snapshot. Salespeople, managers and analysts receive only their granted record scopes; administrators have no inherent content access.</w:t>
      </w:r>
    </w:p>
    <w:p>
      <w:pPr>
        <w:sectPr>
          <w:pgSz w:w="11909" w:h="16834"/>
          <w:pgMar w:top="1008" w:right="1008" w:bottom="1008" w:left="1008" w:header="432" w:footer="432" w:gutter="0"/>
          <w:cols w:space="240" w:num="1"/>
          <w:docGrid w:linePitch="360"/>
        </w:sectPr>
      </w:pPr>
    </w:p>
    <w:p>
      <w:pPr>
        <w:pStyle w:val="Heading1"/>
      </w:pPr>
      <w:r>
        <w:rPr>
          <w:color w:val="000000"/>
        </w:rPr>
        <w:t>7 Architecture and diagrams</w:t>
      </w:r>
    </w:p>
    <w:p>
      <w:pPr>
        <w:pStyle w:val="Heading2"/>
      </w:pPr>
      <w:r>
        <w:rPr>
          <w:color w:val="000000"/>
        </w:rPr>
        <w:t>System context</w:t>
      </w:r>
    </w:p>
    <w:p>
      <w:pPr>
        <w:keepNext/>
      </w:pPr>
      <w:r>
        <w:rPr>
          <w:color w:val="000000"/>
        </w:rPr>
        <w:drawing>
          <wp:inline xmlns:a="http://schemas.openxmlformats.org/drawingml/2006/main" xmlns:pic="http://schemas.openxmlformats.org/drawingml/2006/picture">
            <wp:extent cx="4526280" cy="3123133"/>
            <wp:docPr id="1" name="Picture 1"/>
            <wp:cNvGraphicFramePr>
              <a:graphicFrameLocks noChangeAspect="1"/>
            </wp:cNvGraphicFramePr>
            <a:graphic>
              <a:graphicData uri="http://schemas.openxmlformats.org/drawingml/2006/picture">
                <pic:pic>
                  <pic:nvPicPr>
                    <pic:cNvPr id="0" name="01_system_context.png"/>
                    <pic:cNvPicPr/>
                  </pic:nvPicPr>
                  <pic:blipFill>
                    <a:blip r:embed="rId42">
                      <a:biLevel thresh="70000"/>
                    </a:blip>
                    <a:stretch>
                      <a:fillRect/>
                    </a:stretch>
                  </pic:blipFill>
                  <pic:spPr>
                    <a:xfrm>
                      <a:off x="0" y="0"/>
                      <a:ext cx="4526280" cy="3123133"/>
                    </a:xfrm>
                    <a:prstGeom prst="rect"/>
                  </pic:spPr>
                </pic:pic>
              </a:graphicData>
            </a:graphic>
          </wp:inline>
        </w:drawing>
      </w:r>
    </w:p>
    <w:p>
      <w:pPr>
        <w:pStyle w:val="Caption"/>
      </w:pPr>
      <w:r>
        <w:rPr>
          <w:color w:val="000000"/>
        </w:rPr>
        <w:t>Figure 1 Users and external inputs to the proposed system</w:t>
      </w:r>
    </w:p>
    <w:p>
      <w:r>
        <w:rPr>
          <w:color w:val="000000"/>
        </w:rPr>
        <w:t>The initial boundary accepts authorized audio and CSV/manifest exports. Calls and sales records meet through explicit identifiers. A future live CRM adapter is optional; automatic CRM writeback is outside the MVP.</w:t>
      </w:r>
    </w:p>
    <w:p>
      <w:r>
        <w:rPr>
          <w:color w:val="000000"/>
        </w:rPr>
        <w:br w:type="column"/>
      </w:r>
    </w:p>
    <w:p>
      <w:pPr>
        <w:pStyle w:val="Heading2"/>
      </w:pPr>
      <w:r>
        <w:rPr>
          <w:color w:val="000000"/>
        </w:rPr>
        <w:t>Use case diagram</w:t>
      </w:r>
    </w:p>
    <w:p>
      <w:pPr>
        <w:keepNext/>
      </w:pPr>
      <w:r>
        <w:rPr>
          <w:color w:val="000000"/>
        </w:rPr>
        <w:drawing>
          <wp:inline xmlns:a="http://schemas.openxmlformats.org/drawingml/2006/main" xmlns:pic="http://schemas.openxmlformats.org/drawingml/2006/picture">
            <wp:extent cx="4526280" cy="3462604"/>
            <wp:docPr id="2" name="Picture 2"/>
            <wp:cNvGraphicFramePr>
              <a:graphicFrameLocks noChangeAspect="1"/>
            </wp:cNvGraphicFramePr>
            <a:graphic>
              <a:graphicData uri="http://schemas.openxmlformats.org/drawingml/2006/picture">
                <pic:pic>
                  <pic:nvPicPr>
                    <pic:cNvPr id="0" name="03_use_cases.png"/>
                    <pic:cNvPicPr/>
                  </pic:nvPicPr>
                  <pic:blipFill>
                    <a:blip r:embed="rId43">
                      <a:biLevel thresh="70000"/>
                    </a:blip>
                    <a:stretch>
                      <a:fillRect/>
                    </a:stretch>
                  </pic:blipFill>
                  <pic:spPr>
                    <a:xfrm>
                      <a:off x="0" y="0"/>
                      <a:ext cx="4526280" cy="3462604"/>
                    </a:xfrm>
                    <a:prstGeom prst="rect"/>
                  </pic:spPr>
                </pic:pic>
              </a:graphicData>
            </a:graphic>
          </wp:inline>
        </w:drawing>
      </w:r>
    </w:p>
    <w:p>
      <w:pPr>
        <w:pStyle w:val="Caption"/>
      </w:pPr>
      <w:r>
        <w:rPr>
          <w:color w:val="000000"/>
        </w:rPr>
        <w:t>Figure 2 User goals with own-record and team-record permissions</w:t>
      </w:r>
    </w:p>
    <w:p>
      <w:r>
        <w:rPr>
          <w:color w:val="000000"/>
        </w:rPr>
        <w:t>The associations show who can perform each activity. Login does not remove scope restrictions: every API request and file access must also check the user’s permitted records.</w:t>
      </w:r>
    </w:p>
    <w:p>
      <w:r>
        <w:rPr>
          <w:color w:val="000000"/>
        </w:rPr>
        <w:t>The main review scenario is: open a completed call, inspect timestamped evidence, correct an objection interpretation and confirm that item. The next action stays a draft until separately reviewed. Failed processing exposes a recovery action and never changes the CRM outcome.</w:t>
      </w:r>
    </w:p>
    <w:p>
      <w:pPr>
        <w:sectPr>
          <w:pgSz w:w="16834" w:h="11909" w:orient="landscape"/>
          <w:pgMar w:top="936" w:right="936" w:bottom="936" w:left="936" w:header="432" w:footer="432" w:gutter="0"/>
          <w:cols w:space="240" w:num="2"/>
          <w:docGrid w:linePitch="360"/>
        </w:sectPr>
      </w:pPr>
    </w:p>
    <w:p>
      <w:pPr>
        <w:pStyle w:val="Heading2"/>
      </w:pPr>
      <w:r>
        <w:rPr>
          <w:color w:val="000000"/>
        </w:rPr>
        <w:t>Component diagram</w:t>
      </w:r>
    </w:p>
    <w:p>
      <w:pPr>
        <w:keepNext/>
      </w:pPr>
      <w:r>
        <w:rPr>
          <w:color w:val="000000"/>
        </w:rPr>
        <w:drawing>
          <wp:inline xmlns:a="http://schemas.openxmlformats.org/drawingml/2006/main" xmlns:pic="http://schemas.openxmlformats.org/drawingml/2006/picture">
            <wp:extent cx="6080760" cy="3561588"/>
            <wp:docPr id="3" name="Picture 3" descr="Proposed API, PostgreSQL jobs and outbox, recovery dispatcher, Redis notifications, leased speech workers, private audio, evaluation and deletion responsibilities."/>
            <wp:cNvGraphicFramePr>
              <a:graphicFrameLocks noChangeAspect="1"/>
            </wp:cNvGraphicFramePr>
            <a:graphic>
              <a:graphicData uri="http://schemas.openxmlformats.org/drawingml/2006/picture">
                <pic:pic>
                  <pic:nvPicPr>
                    <pic:cNvPr id="0" name="02_component_architecture.png"/>
                    <pic:cNvPicPr/>
                  </pic:nvPicPr>
                  <pic:blipFill>
                    <a:blip r:embed="rId44">
                      <a:biLevel thresh="70000"/>
                    </a:blip>
                    <a:stretch>
                      <a:fillRect/>
                    </a:stretch>
                  </pic:blipFill>
                  <pic:spPr>
                    <a:xfrm>
                      <a:off x="0" y="0"/>
                      <a:ext cx="6080760" cy="3561588"/>
                    </a:xfrm>
                    <a:prstGeom prst="rect"/>
                  </pic:spPr>
                </pic:pic>
              </a:graphicData>
            </a:graphic>
          </wp:inline>
        </w:drawing>
      </w:r>
    </w:p>
    <w:p>
      <w:pPr>
        <w:pStyle w:val="Caption"/>
      </w:pPr>
      <w:r>
        <w:rPr>
          <w:color w:val="000000"/>
        </w:rPr>
        <w:t>Figure 3 Proposed components and durable job recovery</w:t>
      </w:r>
    </w:p>
    <w:p>
      <w:r>
        <w:rPr>
          <w:color w:val="000000"/>
        </w:rPr>
        <w:t>FastAPI validates access and imports, then commits a processing job and outbox record together in PostgreSQL. A dispatcher publishes job IDs to Redis; recovery scans handle missed messages and expired worker leases. Celery workers process private audio and commit complete versioned results. A late result cannot replace a human correction or restore deleting content. Audio uses an authenticated API proxy. Database, worker and cleanup responsibilities are proposed in Figure 3; the backend is not yet implemented.</w:t>
      </w:r>
    </w:p>
    <w:p>
      <w:pPr>
        <w:pStyle w:val="Heading1"/>
      </w:pPr>
      <w:r>
        <w:rPr>
          <w:color w:val="000000"/>
        </w:rPr>
        <w:t>8 UX and prototype</w:t>
      </w:r>
    </w:p>
    <w:p>
      <w:r>
        <w:rPr>
          <w:color w:val="000000"/>
        </w:rPr>
        <w:t>Open prototype/index.html for the local clickable mockup with synthetic records and manually written transcripts. It illustrates interaction; no speech service runs. Editable diagrams and SVG exports are in diagrams/. Appendix C retains role/data rules and Appendix F the larger UX preview.</w:t>
      </w:r>
    </w:p>
    <w:p>
      <w:r>
        <w:rPr>
          <w:color w:val="000000"/>
        </w:rPr>
        <w:t>Flow: map and validate IDs → open a call → follow evidence → correct an objection → filter the dashboard. Eight calls link to seven CRM deals; repeated calls never multiply a deal. Retry and review are in-memory illustrations.</w:t>
      </w:r>
    </w:p>
    <w:p>
      <w:pPr>
        <w:sectPr>
          <w:pgSz w:w="16834" w:h="11909" w:orient="landscape"/>
          <w:pgMar w:top="936" w:right="936" w:bottom="936" w:left="936" w:header="432" w:footer="432" w:gutter="0"/>
          <w:cols w:space="240" w:num="1"/>
          <w:docGrid w:linePitch="360"/>
        </w:sectPr>
      </w:pPr>
    </w:p>
    <w:p>
      <w:pPr>
        <w:pStyle w:val="Heading1"/>
      </w:pPr>
      <w:r>
        <w:rPr>
          <w:color w:val="000000"/>
        </w:rPr>
        <w:t>9 Verification and evaluation plan</w:t>
      </w:r>
    </w:p>
    <w:p>
      <w:r>
        <w:rPr>
          <w:color w:val="000000"/>
        </w:rPr>
        <w:t>The evaluation separates transcription, extraction and workflow errors. Public-data profiling and synthetic interface checks are complete. Appendix D also specifies backend conflict, recovery, authorization and deletion scenarios; these have not run against an implemented backend. No model benchmark or representative-user study has been completed.</w:t>
      </w:r>
    </w:p>
    <w:p>
      <w:pPr>
        <w:spacing w:line="60" w:lineRule="exact" w:after="80" w:before="0"/>
      </w:pPr>
      <w:r>
        <w:rPr>
          <w:color w:val="000000"/>
        </w:rPr>
      </w:r>
    </w:p>
    <w:tbl>
      <w:tblPr>
        <w:tblW w:type="auto" w:w="0"/>
        <w:jc w:val="center"/>
        <w:tblLayout w:type="fixed"/>
        <w:tblLook w:firstColumn="1" w:firstRow="1" w:lastColumn="0" w:lastRow="0" w:noHBand="0" w:noVBand="1" w:val="04A0"/>
      </w:tblPr>
      <w:tblGrid>
        <w:gridCol w:w="2131"/>
        <w:gridCol w:w="3240"/>
        <w:gridCol w:w="4435"/>
      </w:tblGrid>
      <w:tr>
        <w:trPr>
          <w:cantSplit/>
          <w:tblHeader w:val="true"/>
        </w:trPr>
        <w:tc>
          <w:tcPr>
            <w:tcW w:type="dxa" w:w="2131"/>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jc w:val="left"/>
            </w:pPr>
            <w:r>
              <w:rPr>
                <w:b/>
                <w:color w:val="000000"/>
                <w:sz w:val="19"/>
              </w:rPr>
              <w:t>Question</w:t>
            </w:r>
          </w:p>
        </w:tc>
        <w:tc>
          <w:tcPr>
            <w:tcW w:type="dxa" w:w="3240"/>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pPr>
            <w:r>
              <w:rPr>
                <w:b/>
                <w:color w:val="000000"/>
                <w:sz w:val="19"/>
              </w:rPr>
              <w:t>Baseline or comparison</w:t>
            </w:r>
          </w:p>
        </w:tc>
        <w:tc>
          <w:tcPr>
            <w:tcW w:type="dxa" w:w="4435"/>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pPr>
            <w:r>
              <w:rPr>
                <w:b/>
                <w:color w:val="000000"/>
                <w:sz w:val="19"/>
              </w:rPr>
              <w:t>Measure and proposed target</w:t>
            </w:r>
          </w:p>
        </w:tc>
      </w:tr>
      <w:tr>
        <w:trPr>
          <w:cantSplit/>
        </w:trPr>
        <w:tc>
          <w:tcPr>
            <w:tcW w:type="dxa" w:w="2131"/>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jc w:val="left"/>
            </w:pPr>
            <w:r>
              <w:rPr>
                <w:color w:val="000000"/>
                <w:sz w:val="19"/>
              </w:rPr>
              <w:t>Can we transcribe the target calls?</w:t>
            </w:r>
          </w:p>
        </w:tc>
        <w:tc>
          <w:tcPr>
            <w:tcW w:type="dxa" w:w="3240"/>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pPr>
            <w:r>
              <w:rPr>
                <w:color w:val="000000"/>
                <w:sz w:val="19"/>
              </w:rPr>
              <w:t>Selected local Whisper versus a smaller/faster local configuration; cloud only if permitted</w:t>
            </w:r>
          </w:p>
        </w:tc>
        <w:tc>
          <w:tcPr>
            <w:tcW w:type="dxa" w:w="4435"/>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pPr>
            <w:r>
              <w:rPr>
                <w:color w:val="000000"/>
                <w:sz w:val="19"/>
              </w:rPr>
              <w:t>Per-language WER, business-entity exact match and valid timing. Provisional WER ≤25% Russian, ≤30% Kazakh; mixed speech reported separately.</w:t>
            </w:r>
          </w:p>
        </w:tc>
      </w:tr>
      <w:tr>
        <w:trPr>
          <w:cantSplit/>
        </w:trPr>
        <w:tc>
          <w:tcPr>
            <w:tcW w:type="dxa" w:w="2131"/>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jc w:val="left"/>
            </w:pPr>
            <w:r>
              <w:rPr>
                <w:color w:val="000000"/>
                <w:sz w:val="19"/>
              </w:rPr>
              <w:t>Are extracted items useful and supported?</w:t>
            </w:r>
          </w:p>
        </w:tc>
        <w:tc>
          <w:tcPr>
            <w:tcW w:type="dxa" w:w="3240"/>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pPr>
            <w:r>
              <w:rPr>
                <w:color w:val="000000"/>
                <w:sz w:val="19"/>
              </w:rPr>
              <w:t>Keyword/rule extraction versus a schema-constrained model; test both gold and ASR transcripts</w:t>
            </w:r>
          </w:p>
        </w:tc>
        <w:tc>
          <w:tcPr>
            <w:tcW w:type="dxa" w:w="4435"/>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pPr>
            <w:r>
              <w:rPr>
                <w:color w:val="000000"/>
                <w:sz w:val="19"/>
              </w:rPr>
              <w:t>Objection macro F1 ≥0.75 and action-event F1 ≥0.75, separately; raw evidence precision ≥0.95 against source truth. Zero fabricated numbers after human review.</w:t>
            </w:r>
          </w:p>
        </w:tc>
      </w:tr>
      <w:tr>
        <w:trPr>
          <w:cantSplit/>
        </w:trPr>
        <w:tc>
          <w:tcPr>
            <w:tcW w:type="dxa" w:w="2131"/>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jc w:val="left"/>
            </w:pPr>
            <w:r>
              <w:rPr>
                <w:color w:val="000000"/>
                <w:sz w:val="19"/>
              </w:rPr>
              <w:t>Does the workflow help users?</w:t>
            </w:r>
          </w:p>
        </w:tc>
        <w:tc>
          <w:tcPr>
            <w:tcW w:type="dxa" w:w="3240"/>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pPr>
            <w:r>
              <w:rPr>
                <w:color w:val="000000"/>
                <w:sz w:val="19"/>
              </w:rPr>
              <w:t>Matched tasks in the current manual process and the prototype</w:t>
            </w:r>
          </w:p>
        </w:tc>
        <w:tc>
          <w:tcPr>
            <w:tcW w:type="dxa" w:w="4435"/>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pPr>
            <w:r>
              <w:rPr>
                <w:color w:val="000000"/>
                <w:sz w:val="19"/>
              </w:rPr>
              <w:t>Task completion, time, errors and assistance; 4 of 5 users complete the fixed three-task sequence without help in 10 minutes.</w:t>
            </w:r>
          </w:p>
        </w:tc>
      </w:tr>
      <w:tr>
        <w:trPr>
          <w:cantSplit/>
        </w:trPr>
        <w:tc>
          <w:tcPr>
            <w:tcW w:type="dxa" w:w="2131"/>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jc w:val="left"/>
            </w:pPr>
            <w:r>
              <w:rPr>
                <w:color w:val="000000"/>
                <w:sz w:val="19"/>
              </w:rPr>
              <w:t>Is the implementation practical?</w:t>
            </w:r>
          </w:p>
        </w:tc>
        <w:tc>
          <w:tcPr>
            <w:tcW w:type="dxa" w:w="3240"/>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pPr>
            <w:r>
              <w:rPr>
                <w:color w:val="000000"/>
                <w:sz w:val="19"/>
              </w:rPr>
              <w:t>Same fixed fixtures, declared hardware and controlled concurrency</w:t>
            </w:r>
          </w:p>
        </w:tc>
        <w:tc>
          <w:tcPr>
            <w:tcW w:type="dxa" w:w="4435"/>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pPr>
            <w:r>
              <w:rPr>
                <w:color w:val="000000"/>
                <w:sz w:val="19"/>
              </w:rPr>
              <w:t>API p95 ≤2 seconds; median ASR real-time factor ≤1 and p95 ≤2; report queue wait, end-to-end time and memory.</w:t>
            </w:r>
          </w:p>
        </w:tc>
      </w:tr>
    </w:tbl>
    <w:p>
      <w:pPr>
        <w:pStyle w:val="Heading2"/>
      </w:pPr>
      <w:r>
        <w:rPr>
          <w:color w:val="000000"/>
        </w:rPr>
        <w:t>Data split and annotation</w:t>
      </w:r>
    </w:p>
    <w:p>
      <w:r>
        <w:rPr>
          <w:color w:val="000000"/>
        </w:rPr>
        <w:t>The feasibility target is 60 authorized calls: 20 mainly Russian, 20 mainly Kazakh and 20 mixed, about 2–15 minutes each. The 30/10/20 split is approximate: assign connected customer/speaker groups intact, then report achieved counts and missing strata. Four representatives may not permit the desired split. Obtain more independent groups or narrow the claim; never describe repeated-speaker partitions as speaker-independent. Freeze the manifest before tuning.</w:t>
      </w:r>
    </w:p>
    <w:p>
      <w:r>
        <w:rPr>
          <w:color w:val="000000"/>
        </w:rPr>
        <w:t>Two annotators label held-out material independently before adjudication. Report six binary objection-label agreement scores, event/field agreement and rare-class support. Score objections and next-action events separately; fix label and empty-output rules. Check factual support against audio or adjudicated gold, including ASR hallucinations. Appendix D defines matching, failed calls and grouped uncertainty.</w:t>
      </w:r>
    </w:p>
    <w:p>
      <w:pPr>
        <w:pStyle w:val="Heading2"/>
      </w:pPr>
      <w:r>
        <w:rPr>
          <w:color w:val="000000"/>
        </w:rPr>
        <w:t>Measurement conditions</w:t>
      </w:r>
    </w:p>
    <w:p>
      <w:r>
        <w:rPr>
          <w:color w:val="000000"/>
        </w:rPr>
        <w:t>Record model/runtime versions, decoding, hardware and audio conditions. Report real-time factor with warm-up and queue time separately. The future integrated usability study uses two equivalent fixtures with counterbalanced manual/application order; compare common outputs. The present sample-only HTML import cannot pass the full CSV, queueing or authentication requirements.</w:t>
      </w:r>
    </w:p>
    <w:p>
      <w:r>
        <w:rPr>
          <w:color w:val="000000"/>
        </w:rPr>
        <w:t>If enough legitimate linked outcomes become available, compare a constant baseline, structured-only logistic regression and structured-plus-conversation features on the same time/customer-separated split. Use PR AUC and calibration; exclude features unavailable at prediction time. This extension cannot yet support a claim of improved sales or causal revenue uplift.</w:t>
      </w:r>
    </w:p>
    <w:p>
      <w:pPr>
        <w:pStyle w:val="Heading1"/>
        <w:pageBreakBefore/>
      </w:pPr>
      <w:r>
        <w:rPr>
          <w:color w:val="000000"/>
        </w:rPr>
        <w:t>10 Project management and risks</w:t>
      </w:r>
    </w:p>
    <w:p>
      <w:r>
        <w:rPr>
          <w:color w:val="000000"/>
        </w:rPr>
        <w:t>The allocations below are proposed. Each member will review another member’s work and keep evidence of substantive changes. The full assigned backlog W01–W15 and risk register R01–R09 are in Appendix E and the planning files.</w:t>
      </w:r>
    </w:p>
    <w:p>
      <w:pPr>
        <w:spacing w:line="60" w:lineRule="exact" w:after="80" w:before="0"/>
      </w:pPr>
      <w:r>
        <w:rPr>
          <w:color w:val="000000"/>
        </w:rPr>
      </w:r>
    </w:p>
    <w:tbl>
      <w:tblPr>
        <w:tblW w:type="auto" w:w="0"/>
        <w:jc w:val="center"/>
        <w:tblLayout w:type="fixed"/>
        <w:tblLook w:firstColumn="1" w:firstRow="1" w:lastColumn="0" w:lastRow="0" w:noHBand="0" w:noVBand="1" w:val="04A0"/>
      </w:tblPr>
      <w:tblGrid>
        <w:gridCol w:w="2736"/>
        <w:gridCol w:w="4392"/>
        <w:gridCol w:w="2678"/>
      </w:tblGrid>
      <w:tr>
        <w:trPr>
          <w:cantSplit/>
          <w:tblHeader w:val="true"/>
        </w:trPr>
        <w:tc>
          <w:tcPr>
            <w:tcW w:type="dxa" w:w="2736"/>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jc w:val="left"/>
            </w:pPr>
            <w:r>
              <w:rPr>
                <w:b/>
                <w:color w:val="000000"/>
                <w:sz w:val="19"/>
              </w:rPr>
              <w:t>Owner</w:t>
            </w:r>
          </w:p>
        </w:tc>
        <w:tc>
          <w:tcPr>
            <w:tcW w:type="dxa" w:w="4392"/>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pPr>
            <w:r>
              <w:rPr>
                <w:b/>
                <w:color w:val="000000"/>
                <w:sz w:val="19"/>
              </w:rPr>
              <w:t>Work before the checkpoint</w:t>
            </w:r>
          </w:p>
        </w:tc>
        <w:tc>
          <w:tcPr>
            <w:tcW w:type="dxa" w:w="2678"/>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pPr>
            <w:r>
              <w:rPr>
                <w:b/>
                <w:color w:val="000000"/>
                <w:sz w:val="19"/>
              </w:rPr>
              <w:t>Review focus</w:t>
            </w:r>
          </w:p>
        </w:tc>
      </w:tr>
      <w:tr>
        <w:trPr>
          <w:cantSplit/>
        </w:trPr>
        <w:tc>
          <w:tcPr>
            <w:tcW w:type="dxa" w:w="2736"/>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jc w:val="left"/>
            </w:pPr>
            <w:r>
              <w:rPr>
                <w:color w:val="000000"/>
                <w:sz w:val="19"/>
              </w:rPr>
              <w:t>Rashiduly Bekzat</w:t>
            </w:r>
          </w:p>
        </w:tc>
        <w:tc>
          <w:tcPr>
            <w:tcW w:type="dxa" w:w="4392"/>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pPr>
            <w:r>
              <w:rPr>
                <w:color w:val="000000"/>
                <w:sz w:val="19"/>
              </w:rPr>
              <w:t>Confirm schema/data access; review architecture; coordinate supervisor feedback</w:t>
            </w:r>
          </w:p>
        </w:tc>
        <w:tc>
          <w:tcPr>
            <w:tcW w:type="dxa" w:w="2678"/>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pPr>
            <w:r>
              <w:rPr>
                <w:color w:val="000000"/>
                <w:sz w:val="19"/>
              </w:rPr>
              <w:t>Interfaces permissions and metric correctness</w:t>
            </w:r>
          </w:p>
        </w:tc>
      </w:tr>
      <w:tr>
        <w:trPr>
          <w:cantSplit/>
        </w:trPr>
        <w:tc>
          <w:tcPr>
            <w:tcW w:type="dxa" w:w="2736"/>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jc w:val="left"/>
            </w:pPr>
            <w:r>
              <w:rPr>
                <w:color w:val="000000"/>
                <w:sz w:val="19"/>
              </w:rPr>
              <w:t>Taubasar Dameli Almabekkyzy</w:t>
            </w:r>
          </w:p>
        </w:tc>
        <w:tc>
          <w:tcPr>
            <w:tcW w:type="dxa" w:w="4392"/>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pPr>
            <w:r>
              <w:rPr>
                <w:color w:val="000000"/>
                <w:sz w:val="19"/>
              </w:rPr>
              <w:t>Refine prototype; agree API states; review sources and user needs</w:t>
            </w:r>
          </w:p>
        </w:tc>
        <w:tc>
          <w:tcPr>
            <w:tcW w:type="dxa" w:w="2678"/>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pPr>
            <w:r>
              <w:rPr>
                <w:color w:val="000000"/>
                <w:sz w:val="19"/>
              </w:rPr>
              <w:t>Frontend integration and usability</w:t>
            </w:r>
          </w:p>
        </w:tc>
      </w:tr>
      <w:tr>
        <w:trPr>
          <w:cantSplit/>
        </w:trPr>
        <w:tc>
          <w:tcPr>
            <w:tcW w:type="dxa" w:w="2736"/>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jc w:val="left"/>
            </w:pPr>
            <w:r>
              <w:rPr>
                <w:color w:val="000000"/>
                <w:sz w:val="19"/>
              </w:rPr>
              <w:t>Amangeldiev Diasbek Yernarovich</w:t>
            </w:r>
          </w:p>
        </w:tc>
        <w:tc>
          <w:tcPr>
            <w:tcW w:type="dxa" w:w="4392"/>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pPr>
            <w:r>
              <w:rPr>
                <w:color w:val="000000"/>
                <w:sz w:val="19"/>
              </w:rPr>
              <w:t>Confirm speech/annotation protocol; reproduce data profile; rehearse evaluation</w:t>
            </w:r>
          </w:p>
        </w:tc>
        <w:tc>
          <w:tcPr>
            <w:tcW w:type="dxa" w:w="2678"/>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pPr>
            <w:r>
              <w:rPr>
                <w:color w:val="000000"/>
                <w:sz w:val="19"/>
              </w:rPr>
              <w:t>Reproducibility language quality and integration</w:t>
            </w:r>
          </w:p>
        </w:tc>
      </w:tr>
    </w:tbl>
    <w:p>
      <w:pPr>
        <w:spacing w:line="60" w:lineRule="exact" w:after="80" w:before="0"/>
      </w:pPr>
      <w:r>
        <w:rPr>
          <w:color w:val="000000"/>
        </w:rPr>
      </w:r>
    </w:p>
    <w:tbl>
      <w:tblPr>
        <w:tblW w:type="auto" w:w="0"/>
        <w:jc w:val="center"/>
        <w:tblLayout w:type="fixed"/>
        <w:tblLook w:firstColumn="1" w:firstRow="1" w:lastColumn="0" w:lastRow="0" w:noHBand="0" w:noVBand="1" w:val="04A0"/>
      </w:tblPr>
      <w:tblGrid>
        <w:gridCol w:w="1368"/>
        <w:gridCol w:w="4968"/>
        <w:gridCol w:w="3470"/>
      </w:tblGrid>
      <w:tr>
        <w:trPr>
          <w:cantSplit/>
          <w:tblHeader w:val="true"/>
        </w:trPr>
        <w:tc>
          <w:tcPr>
            <w:tcW w:type="dxa" w:w="1368"/>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jc w:val="left"/>
            </w:pPr>
            <w:r>
              <w:rPr>
                <w:b/>
                <w:color w:val="000000"/>
                <w:sz w:val="19"/>
              </w:rPr>
              <w:t>Date</w:t>
            </w:r>
          </w:p>
        </w:tc>
        <w:tc>
          <w:tcPr>
            <w:tcW w:type="dxa" w:w="4968"/>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pPr>
            <w:r>
              <w:rPr>
                <w:b/>
                <w:color w:val="000000"/>
                <w:sz w:val="19"/>
              </w:rPr>
              <w:t>Proposed milestone</w:t>
            </w:r>
          </w:p>
        </w:tc>
        <w:tc>
          <w:tcPr>
            <w:tcW w:type="dxa" w:w="3470"/>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pPr>
            <w:r>
              <w:rPr>
                <w:b/>
                <w:color w:val="000000"/>
                <w:sz w:val="19"/>
              </w:rPr>
              <w:t>Evidence</w:t>
            </w:r>
          </w:p>
        </w:tc>
      </w:tr>
      <w:tr>
        <w:trPr>
          <w:cantSplit/>
        </w:trPr>
        <w:tc>
          <w:tcPr>
            <w:tcW w:type="dxa" w:w="1368"/>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jc w:val="left"/>
            </w:pPr>
            <w:r>
              <w:rPr>
                <w:color w:val="000000"/>
                <w:sz w:val="19"/>
              </w:rPr>
              <w:t>22 October</w:t>
            </w:r>
          </w:p>
        </w:tc>
        <w:tc>
          <w:tcPr>
            <w:tcW w:type="dxa" w:w="4968"/>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pPr>
            <w:r>
              <w:rPr>
                <w:color w:val="000000"/>
                <w:sz w:val="19"/>
              </w:rPr>
              <w:t>Review scope sources schema and task allocation</w:t>
            </w:r>
          </w:p>
        </w:tc>
        <w:tc>
          <w:tcPr>
            <w:tcW w:type="dxa" w:w="3470"/>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pPr>
            <w:r>
              <w:rPr>
                <w:color w:val="000000"/>
                <w:sz w:val="19"/>
              </w:rPr>
              <w:t>Corrected drafts and confirmed responsibilities</w:t>
            </w:r>
          </w:p>
        </w:tc>
      </w:tr>
      <w:tr>
        <w:trPr>
          <w:cantSplit/>
        </w:trPr>
        <w:tc>
          <w:tcPr>
            <w:tcW w:type="dxa" w:w="1368"/>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jc w:val="left"/>
            </w:pPr>
            <w:r>
              <w:rPr>
                <w:color w:val="000000"/>
                <w:sz w:val="19"/>
              </w:rPr>
              <w:t>23 October</w:t>
            </w:r>
          </w:p>
        </w:tc>
        <w:tc>
          <w:tcPr>
            <w:tcW w:type="dxa" w:w="4968"/>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pPr>
            <w:r>
              <w:rPr>
                <w:color w:val="000000"/>
                <w:sz w:val="19"/>
              </w:rPr>
              <w:t>3–5 discussions data-access check UX walkthrough and supervisor review</w:t>
            </w:r>
          </w:p>
        </w:tc>
        <w:tc>
          <w:tcPr>
            <w:tcW w:type="dxa" w:w="3470"/>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pPr>
            <w:r>
              <w:rPr>
                <w:color w:val="000000"/>
                <w:sz w:val="19"/>
              </w:rPr>
              <w:t>Deidentified findings real comments and revision actions</w:t>
            </w:r>
          </w:p>
        </w:tc>
      </w:tr>
      <w:tr>
        <w:trPr>
          <w:cantSplit/>
        </w:trPr>
        <w:tc>
          <w:tcPr>
            <w:tcW w:type="dxa" w:w="1368"/>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jc w:val="left"/>
            </w:pPr>
            <w:r>
              <w:rPr>
                <w:color w:val="000000"/>
                <w:sz w:val="19"/>
              </w:rPr>
              <w:t>24 October</w:t>
            </w:r>
          </w:p>
        </w:tc>
        <w:tc>
          <w:tcPr>
            <w:tcW w:type="dxa" w:w="4968"/>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pPr>
            <w:r>
              <w:rPr>
                <w:color w:val="000000"/>
                <w:sz w:val="19"/>
              </w:rPr>
              <w:t>Resolve comments verify materials and rehearse</w:t>
            </w:r>
          </w:p>
        </w:tc>
        <w:tc>
          <w:tcPr>
            <w:tcW w:type="dxa" w:w="3470"/>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pPr>
            <w:r>
              <w:rPr>
                <w:color w:val="000000"/>
                <w:sz w:val="19"/>
              </w:rPr>
              <w:t>Updated report limitations and genuine tracking links when available</w:t>
            </w:r>
          </w:p>
        </w:tc>
      </w:tr>
    </w:tbl>
    <w:p>
      <w:r>
        <w:rPr>
          <w:color w:val="000000"/>
        </w:rPr>
        <w:t>The main risks are unavailable recordings or join keys, weak language accuracy, unsupported extracted facts, outcome leakage and delayed stakeholder/supervisor access. Responses are a documented data agreement, stratified pilot, human evidence review, time/customer split and a narrower scope where necessary. Compute limits may require a smaller model or a permitted managed adapter.</w:t>
      </w:r>
    </w:p>
    <w:p>
      <w:r>
        <w:rPr>
          <w:color w:val="000000"/>
        </w:rPr>
        <w:t>Status on 23 October 2026  PRs 2–6 are merged into main at https://github.com/ddigreen/sales-analytics-stt. Demo: https://ddigreen.github.io/vocasales-demo/. Bekzat’s PR 5 adds eight design findings and updated contracts; Diasbek reviewed it. Dameli’s substantive review remains pending for SASTT-4 acceptance. YouTrack has 12 assigned Open issues. Research, public-data and prototype checks are recorded; remaining work includes team acceptance, stakeholder evidence, supervisor feedback, reviewer access and a fixed submission tag.</w:t>
      </w:r>
    </w:p>
    <w:p>
      <w:pPr>
        <w:pStyle w:val="Heading1"/>
      </w:pPr>
      <w:r>
        <w:rPr>
          <w:color w:val="000000"/>
        </w:rPr>
        <w:t>11 Supervisor feedback and next steps</w:t>
      </w:r>
    </w:p>
    <w:p>
      <w:r>
        <w:rPr>
          <w:color w:val="000000"/>
        </w:rPr>
        <w:t xml:space="preserve">Review with </w:t>
      </w:r>
      <w:r>
        <w:rPr>
          <w:b/>
          <w:color w:val="000000"/>
        </w:rPr>
        <w:t>Orynbek Alibek Sarsenbekuly</w:t>
      </w:r>
      <w:r>
        <w:rPr>
          <w:color w:val="000000"/>
        </w:rPr>
        <w:t xml:space="preserve"> is pending. The discussion should confirm the pilot scope and data access, assess the research gap, review the architecture and evaluation targets, and agree the next implementation milestone.</w:t>
      </w:r>
    </w:p>
    <w:p>
      <w:r>
        <w:rPr>
          <w:color w:val="000000"/>
        </w:rPr>
        <w:t>After the meeting, record the actual date, artifact version, comment, decision, owner and resulting revision. Appendix F contains the feedback form. Confirm the relevance-evidence route and recording permissions before collecting real audio. Supervisor feedback, team acceptance, reviewer access and the fixed submission tag remain pending. Application implementation continues after this checkpoint.</w:t>
      </w:r>
    </w:p>
    <w:p>
      <w:r>
        <w:rPr>
          <w:color w:val="000000"/>
        </w:rPr>
        <w:t>Appendix guide: A detailed source analysis; B full requirements/tests; C data/access rules; D evaluation; E tasks/risks; F forms/UX; G full comparison matrices and evidence. Both documents use the same APA 7 author–date references.</w:t>
      </w:r>
    </w:p>
    <w:p>
      <w:pPr>
        <w:pStyle w:val="Heading1"/>
        <w:pageBreakBefore/>
        <w:jc w:val="center"/>
      </w:pPr>
      <w:r>
        <w:rPr>
          <w:color w:val="000000"/>
        </w:rPr>
        <w:t>References</w:t>
      </w:r>
    </w:p>
    <w:p>
      <w:pPr>
        <w:keepNext w:val="0"/>
        <w:keepLines/>
        <w:pageBreakBefore w:val="0"/>
        <w:spacing w:line="480" w:lineRule="auto" w:before="0" w:after="0"/>
        <w:ind w:left="720" w:hanging="720"/>
      </w:pPr>
      <w:r>
        <w:rPr>
          <w:rFonts w:ascii="Arial" w:hAnsi="Arial"/>
          <w:i w:val="0"/>
          <w:color w:val="000000"/>
          <w:sz w:val="22"/>
          <w:sz w:val="22"/>
        </w:rPr>
        <w:t xml:space="preserve">Asi, A., Wang, S., Eisenstadt, R., Geckt, D., Kuper, Y., Mao, Y., &amp; Ronen, R. (2022). An end-to-end dialogue summarization system for sales calls. </w:t>
      </w:r>
      <w:r>
        <w:rPr>
          <w:rFonts w:ascii="Arial" w:hAnsi="Arial"/>
          <w:i w:val="0"/>
          <w:color w:val="000000"/>
          <w:sz w:val="22"/>
          <w:sz w:val="22"/>
        </w:rPr>
        <w:t xml:space="preserve">In A. Loukina, R. Gangadharaiah, &amp; B. Min (Eds.), </w:t>
      </w:r>
      <w:r>
        <w:rPr>
          <w:rFonts w:ascii="Arial" w:hAnsi="Arial"/>
          <w:i/>
          <w:color w:val="000000"/>
          <w:sz w:val="22"/>
          <w:sz w:val="22"/>
        </w:rPr>
        <w:t>Proceedings of the 2022 Conference of the North American Chapter of the Association for Computational Linguistics: Human Language Technologies: Industry Track</w:t>
      </w:r>
      <w:r>
        <w:rPr>
          <w:rFonts w:ascii="Arial" w:hAnsi="Arial"/>
          <w:i w:val="0"/>
          <w:color w:val="000000"/>
          <w:sz w:val="22"/>
          <w:sz w:val="22"/>
        </w:rPr>
        <w:t xml:space="preserve"> (pp. 45–53). Association for Computational Linguistics. </w:t>
      </w:r>
      <w:hyperlink r:id="rId61">
        <w:r>
          <w:rPr>
            <w:color w:val="000000"/>
            <w:sz w:val="22"/>
          </w:rPr>
          <w:t>https://doi.org/10.18653/v1/2022.naacl-industry.6</w:t>
        </w:r>
      </w:hyperlink>
    </w:p>
    <w:p>
      <w:pPr>
        <w:keepNext w:val="0"/>
        <w:keepLines/>
        <w:pageBreakBefore w:val="0"/>
        <w:spacing w:line="480" w:lineRule="auto" w:before="0" w:after="0"/>
        <w:ind w:left="720" w:hanging="720"/>
      </w:pPr>
      <w:r>
        <w:rPr>
          <w:rFonts w:ascii="Arial" w:hAnsi="Arial"/>
          <w:i w:val="0"/>
          <w:color w:val="000000"/>
          <w:sz w:val="22"/>
          <w:sz w:val="22"/>
        </w:rPr>
        <w:t xml:space="preserve">Bain, M., Huh, J., Han, T., &amp; Zisserman, A. (2023). WhisperX: Time-accurate speech transcription of long-form audio. </w:t>
      </w:r>
      <w:r>
        <w:rPr>
          <w:rFonts w:ascii="Arial" w:hAnsi="Arial"/>
          <w:i w:val="0"/>
          <w:color w:val="000000"/>
          <w:sz w:val="22"/>
          <w:sz w:val="22"/>
        </w:rPr>
        <w:t xml:space="preserve">In </w:t>
      </w:r>
      <w:r>
        <w:rPr>
          <w:rFonts w:ascii="Arial" w:hAnsi="Arial"/>
          <w:i/>
          <w:color w:val="000000"/>
          <w:sz w:val="22"/>
          <w:sz w:val="22"/>
        </w:rPr>
        <w:t>Interspeech 2023</w:t>
      </w:r>
      <w:r>
        <w:rPr>
          <w:rFonts w:ascii="Arial" w:hAnsi="Arial"/>
          <w:i w:val="0"/>
          <w:color w:val="000000"/>
          <w:sz w:val="22"/>
          <w:sz w:val="22"/>
        </w:rPr>
        <w:t xml:space="preserve"> (pp. 4489–4493). International Speech Communication Association. </w:t>
      </w:r>
      <w:hyperlink r:id="rId62">
        <w:r>
          <w:rPr>
            <w:color w:val="000000"/>
            <w:sz w:val="22"/>
          </w:rPr>
          <w:t>https://doi.org/10.21437/Interspeech.2023-78</w:t>
        </w:r>
      </w:hyperlink>
    </w:p>
    <w:p>
      <w:pPr>
        <w:keepNext w:val="0"/>
        <w:keepLines/>
        <w:pageBreakBefore w:val="0"/>
        <w:spacing w:line="480" w:lineRule="auto" w:before="0" w:after="0"/>
        <w:ind w:left="720" w:hanging="720"/>
      </w:pPr>
      <w:r>
        <w:rPr>
          <w:rFonts w:ascii="Arial" w:hAnsi="Arial"/>
          <w:i w:val="0"/>
          <w:color w:val="000000"/>
          <w:sz w:val="22"/>
          <w:sz w:val="22"/>
        </w:rPr>
        <w:t xml:space="preserve">Bredin, H. (2023). pyannote.audio 2.1 speaker diarization pipeline: Principle, benchmark, and recipe. </w:t>
      </w:r>
      <w:r>
        <w:rPr>
          <w:rFonts w:ascii="Arial" w:hAnsi="Arial"/>
          <w:i w:val="0"/>
          <w:color w:val="000000"/>
          <w:sz w:val="22"/>
          <w:sz w:val="22"/>
        </w:rPr>
        <w:t xml:space="preserve">In </w:t>
      </w:r>
      <w:r>
        <w:rPr>
          <w:rFonts w:ascii="Arial" w:hAnsi="Arial"/>
          <w:i/>
          <w:color w:val="000000"/>
          <w:sz w:val="22"/>
          <w:sz w:val="22"/>
        </w:rPr>
        <w:t>Interspeech 2023</w:t>
      </w:r>
      <w:r>
        <w:rPr>
          <w:rFonts w:ascii="Arial" w:hAnsi="Arial"/>
          <w:i w:val="0"/>
          <w:color w:val="000000"/>
          <w:sz w:val="22"/>
          <w:sz w:val="22"/>
        </w:rPr>
        <w:t xml:space="preserve"> (pp. 1983–1987). International Speech Communication Association. </w:t>
      </w:r>
      <w:hyperlink r:id="rId63">
        <w:r>
          <w:rPr>
            <w:color w:val="000000"/>
            <w:sz w:val="22"/>
          </w:rPr>
          <w:t>https://doi.org/10.21437/Interspeech.2023-105</w:t>
        </w:r>
      </w:hyperlink>
    </w:p>
    <w:p>
      <w:pPr>
        <w:keepNext w:val="0"/>
        <w:keepLines/>
        <w:pageBreakBefore w:val="0"/>
        <w:spacing w:line="480" w:lineRule="auto" w:before="0" w:after="0"/>
        <w:ind w:left="720" w:hanging="720"/>
      </w:pPr>
      <w:r>
        <w:rPr>
          <w:rFonts w:ascii="Arial" w:hAnsi="Arial"/>
          <w:i w:val="0"/>
          <w:color w:val="000000"/>
          <w:sz w:val="22"/>
          <w:sz w:val="22"/>
        </w:rPr>
        <w:t xml:space="preserve">Celery. (n.d.). </w:t>
      </w:r>
      <w:r>
        <w:rPr>
          <w:rFonts w:ascii="Arial" w:hAnsi="Arial"/>
          <w:i/>
          <w:color w:val="000000"/>
          <w:sz w:val="22"/>
          <w:sz w:val="22"/>
        </w:rPr>
        <w:t>Introduction to Celery</w:t>
      </w:r>
      <w:r>
        <w:rPr>
          <w:rFonts w:ascii="Arial" w:hAnsi="Arial"/>
          <w:i w:val="0"/>
          <w:color w:val="000000"/>
          <w:sz w:val="22"/>
          <w:sz w:val="22"/>
        </w:rPr>
        <w:t xml:space="preserve">. </w:t>
      </w:r>
      <w:r>
        <w:rPr>
          <w:rFonts w:ascii="Arial" w:hAnsi="Arial"/>
          <w:i w:val="0"/>
          <w:color w:val="000000"/>
          <w:sz w:val="22"/>
          <w:sz w:val="22"/>
        </w:rPr>
        <w:t xml:space="preserve">Retrieved October 23, 2026, from </w:t>
      </w:r>
      <w:hyperlink r:id="rId41">
        <w:r>
          <w:rPr>
            <w:color w:val="000000"/>
            <w:sz w:val="22"/>
          </w:rPr>
          <w:t>https://docs.celeryq.dev/en/stable/getting-started/introduction.html</w:t>
        </w:r>
      </w:hyperlink>
    </w:p>
    <w:p>
      <w:pPr>
        <w:keepNext w:val="0"/>
        <w:keepLines/>
        <w:pageBreakBefore w:val="0"/>
        <w:spacing w:line="480" w:lineRule="auto" w:before="0" w:after="0"/>
        <w:ind w:left="720" w:hanging="720"/>
      </w:pPr>
      <w:r>
        <w:rPr>
          <w:rFonts w:ascii="Arial" w:hAnsi="Arial"/>
          <w:i w:val="0"/>
          <w:color w:val="000000"/>
          <w:sz w:val="22"/>
          <w:sz w:val="22"/>
        </w:rPr>
        <w:t xml:space="preserve">Django Software Foundation. (n.d.). </w:t>
      </w:r>
      <w:r>
        <w:rPr>
          <w:rFonts w:ascii="Arial" w:hAnsi="Arial"/>
          <w:i/>
          <w:color w:val="000000"/>
          <w:sz w:val="22"/>
          <w:sz w:val="22"/>
        </w:rPr>
        <w:t>Django at a glance</w:t>
      </w:r>
      <w:r>
        <w:rPr>
          <w:rFonts w:ascii="Arial" w:hAnsi="Arial"/>
          <w:i w:val="0"/>
          <w:color w:val="000000"/>
          <w:sz w:val="22"/>
          <w:sz w:val="22"/>
        </w:rPr>
        <w:t xml:space="preserve">. </w:t>
      </w:r>
      <w:r>
        <w:rPr>
          <w:rFonts w:ascii="Arial" w:hAnsi="Arial"/>
          <w:i w:val="0"/>
          <w:color w:val="000000"/>
          <w:sz w:val="22"/>
          <w:sz w:val="22"/>
        </w:rPr>
        <w:t xml:space="preserve">Retrieved October 23, 2026, from </w:t>
      </w:r>
      <w:hyperlink r:id="rId30">
        <w:r>
          <w:rPr>
            <w:color w:val="000000"/>
            <w:sz w:val="22"/>
          </w:rPr>
          <w:t>https://docs.djangoproject.com/en/6.1/intro/overview/</w:t>
        </w:r>
      </w:hyperlink>
    </w:p>
    <w:p>
      <w:pPr>
        <w:keepNext w:val="0"/>
        <w:keepLines/>
        <w:pageBreakBefore w:val="0"/>
        <w:spacing w:line="480" w:lineRule="auto" w:before="0" w:after="0"/>
        <w:ind w:left="720" w:hanging="720"/>
      </w:pPr>
      <w:r>
        <w:rPr>
          <w:rFonts w:ascii="Arial" w:hAnsi="Arial"/>
          <w:i w:val="0"/>
          <w:color w:val="000000"/>
          <w:sz w:val="22"/>
          <w:sz w:val="22"/>
        </w:rPr>
        <w:t xml:space="preserve">FastAPI. (n.d.-a). </w:t>
      </w:r>
      <w:r>
        <w:rPr>
          <w:rFonts w:ascii="Arial" w:hAnsi="Arial"/>
          <w:i/>
          <w:color w:val="000000"/>
          <w:sz w:val="22"/>
          <w:sz w:val="22"/>
        </w:rPr>
        <w:t>Background tasks</w:t>
      </w:r>
      <w:r>
        <w:rPr>
          <w:rFonts w:ascii="Arial" w:hAnsi="Arial"/>
          <w:i w:val="0"/>
          <w:color w:val="000000"/>
          <w:sz w:val="22"/>
          <w:sz w:val="22"/>
        </w:rPr>
        <w:t xml:space="preserve">. </w:t>
      </w:r>
      <w:r>
        <w:rPr>
          <w:rFonts w:ascii="Arial" w:hAnsi="Arial"/>
          <w:i w:val="0"/>
          <w:color w:val="000000"/>
          <w:sz w:val="22"/>
          <w:sz w:val="22"/>
        </w:rPr>
        <w:t xml:space="preserve">Retrieved October 23, 2026, from </w:t>
      </w:r>
      <w:hyperlink r:id="rId40">
        <w:r>
          <w:rPr>
            <w:color w:val="000000"/>
            <w:sz w:val="22"/>
          </w:rPr>
          <w:t>https://fastapi.tiangolo.com/tutorial/background-tasks/</w:t>
        </w:r>
      </w:hyperlink>
    </w:p>
    <w:p>
      <w:pPr>
        <w:keepNext w:val="0"/>
        <w:keepLines/>
        <w:pageBreakBefore w:val="0"/>
        <w:spacing w:line="480" w:lineRule="auto" w:before="0" w:after="0"/>
        <w:ind w:left="720" w:hanging="720"/>
      </w:pPr>
      <w:r>
        <w:rPr>
          <w:rFonts w:ascii="Arial" w:hAnsi="Arial"/>
          <w:i w:val="0"/>
          <w:color w:val="000000"/>
          <w:sz w:val="22"/>
          <w:sz w:val="22"/>
        </w:rPr>
        <w:t xml:space="preserve">FastAPI. (n.d.-b). </w:t>
      </w:r>
      <w:r>
        <w:rPr>
          <w:rFonts w:ascii="Arial" w:hAnsi="Arial"/>
          <w:i/>
          <w:color w:val="000000"/>
          <w:sz w:val="22"/>
          <w:sz w:val="22"/>
        </w:rPr>
        <w:t>Features</w:t>
      </w:r>
      <w:r>
        <w:rPr>
          <w:rFonts w:ascii="Arial" w:hAnsi="Arial"/>
          <w:i w:val="0"/>
          <w:color w:val="000000"/>
          <w:sz w:val="22"/>
          <w:sz w:val="22"/>
        </w:rPr>
        <w:t xml:space="preserve">. </w:t>
      </w:r>
      <w:r>
        <w:rPr>
          <w:rFonts w:ascii="Arial" w:hAnsi="Arial"/>
          <w:i w:val="0"/>
          <w:color w:val="000000"/>
          <w:sz w:val="22"/>
          <w:sz w:val="22"/>
        </w:rPr>
        <w:t xml:space="preserve">Retrieved October 23, 2026, from </w:t>
      </w:r>
      <w:hyperlink r:id="rId29">
        <w:r>
          <w:rPr>
            <w:color w:val="000000"/>
            <w:sz w:val="22"/>
          </w:rPr>
          <w:t>https://fastapi.tiangolo.com/features/</w:t>
        </w:r>
      </w:hyperlink>
    </w:p>
    <w:p>
      <w:pPr>
        <w:keepNext w:val="0"/>
        <w:keepLines/>
        <w:pageBreakBefore w:val="0"/>
        <w:spacing w:line="480" w:lineRule="auto" w:before="0" w:after="0"/>
        <w:ind w:left="720" w:hanging="720"/>
      </w:pPr>
      <w:r>
        <w:rPr>
          <w:rFonts w:ascii="Arial" w:hAnsi="Arial"/>
          <w:i w:val="0"/>
          <w:color w:val="000000"/>
          <w:sz w:val="22"/>
          <w:sz w:val="22"/>
        </w:rPr>
        <w:t xml:space="preserve">Fu, X.-Y., Chen, C., Laskar, M. T. R., Gardiner, S., Hiranandani, P., &amp; TN, S. B. (2022). Entity-level sentiment analysis in contact center telephone conversations. </w:t>
      </w:r>
      <w:r>
        <w:rPr>
          <w:rFonts w:ascii="Arial" w:hAnsi="Arial"/>
          <w:i w:val="0"/>
          <w:color w:val="000000"/>
          <w:sz w:val="22"/>
          <w:sz w:val="22"/>
        </w:rPr>
        <w:t xml:space="preserve">In Y. Li &amp; A. Lazaridou (Eds.), </w:t>
      </w:r>
      <w:r>
        <w:rPr>
          <w:rFonts w:ascii="Arial" w:hAnsi="Arial"/>
          <w:i/>
          <w:color w:val="000000"/>
          <w:sz w:val="22"/>
          <w:sz w:val="22"/>
        </w:rPr>
        <w:t>Proceedings of the 2022 Conference on Empirical Methods in Natural Language Processing: Industry Track</w:t>
      </w:r>
      <w:r>
        <w:rPr>
          <w:rFonts w:ascii="Arial" w:hAnsi="Arial"/>
          <w:i w:val="0"/>
          <w:color w:val="000000"/>
          <w:sz w:val="22"/>
          <w:sz w:val="22"/>
        </w:rPr>
        <w:t xml:space="preserve"> (pp. 484–491). Association for Computational Linguistics. </w:t>
      </w:r>
      <w:hyperlink r:id="rId64">
        <w:r>
          <w:rPr>
            <w:color w:val="000000"/>
            <w:sz w:val="22"/>
          </w:rPr>
          <w:t>https://doi.org/10.18653/v1/2022.emnlp-industry.49</w:t>
        </w:r>
      </w:hyperlink>
    </w:p>
    <w:p>
      <w:pPr>
        <w:keepNext w:val="0"/>
        <w:keepLines/>
        <w:pageBreakBefore w:val="0"/>
        <w:spacing w:line="480" w:lineRule="auto" w:before="0" w:after="0"/>
        <w:ind w:left="720" w:hanging="720"/>
      </w:pPr>
      <w:r>
        <w:rPr>
          <w:rFonts w:ascii="Arial" w:hAnsi="Arial"/>
          <w:i w:val="0"/>
          <w:color w:val="000000"/>
          <w:sz w:val="22"/>
          <w:sz w:val="22"/>
        </w:rPr>
        <w:t xml:space="preserve">Gong. (n.d.). </w:t>
      </w:r>
      <w:r>
        <w:rPr>
          <w:rFonts w:ascii="Arial" w:hAnsi="Arial"/>
          <w:i/>
          <w:color w:val="000000"/>
          <w:sz w:val="22"/>
          <w:sz w:val="22"/>
        </w:rPr>
        <w:t>Conversation intelligence software that turns every call into revenue</w:t>
      </w:r>
      <w:r>
        <w:rPr>
          <w:rFonts w:ascii="Arial" w:hAnsi="Arial"/>
          <w:i w:val="0"/>
          <w:color w:val="000000"/>
          <w:sz w:val="22"/>
          <w:sz w:val="22"/>
        </w:rPr>
        <w:t xml:space="preserve">. </w:t>
      </w:r>
      <w:r>
        <w:rPr>
          <w:rFonts w:ascii="Arial" w:hAnsi="Arial"/>
          <w:i w:val="0"/>
          <w:color w:val="000000"/>
          <w:sz w:val="22"/>
          <w:sz w:val="22"/>
        </w:rPr>
        <w:t xml:space="preserve">Retrieved October 23, 2026, from </w:t>
      </w:r>
      <w:hyperlink r:id="rId11">
        <w:r>
          <w:rPr>
            <w:color w:val="000000"/>
            <w:sz w:val="22"/>
          </w:rPr>
          <w:t>https://www.gong.io/conversation-intelligence</w:t>
        </w:r>
      </w:hyperlink>
    </w:p>
    <w:p>
      <w:pPr>
        <w:keepNext w:val="0"/>
        <w:keepLines/>
        <w:pageBreakBefore w:val="0"/>
        <w:spacing w:line="480" w:lineRule="auto" w:before="0" w:after="0"/>
        <w:ind w:left="720" w:hanging="720"/>
      </w:pPr>
      <w:r>
        <w:rPr>
          <w:rFonts w:ascii="Arial" w:hAnsi="Arial"/>
          <w:i w:val="0"/>
          <w:color w:val="000000"/>
          <w:sz w:val="22"/>
          <w:sz w:val="22"/>
        </w:rPr>
        <w:t xml:space="preserve">Gong. (2026a, July 13). </w:t>
      </w:r>
      <w:r>
        <w:rPr>
          <w:rFonts w:ascii="Arial" w:hAnsi="Arial"/>
          <w:i/>
          <w:color w:val="000000"/>
          <w:sz w:val="22"/>
          <w:sz w:val="22"/>
        </w:rPr>
        <w:t>About language support in Gong</w:t>
      </w:r>
      <w:r>
        <w:rPr>
          <w:rFonts w:ascii="Arial" w:hAnsi="Arial"/>
          <w:i w:val="0"/>
          <w:color w:val="000000"/>
          <w:sz w:val="22"/>
          <w:sz w:val="22"/>
        </w:rPr>
        <w:t xml:space="preserve">. </w:t>
      </w:r>
      <w:r>
        <w:rPr>
          <w:rFonts w:ascii="Arial" w:hAnsi="Arial"/>
          <w:i w:val="0"/>
          <w:color w:val="000000"/>
          <w:sz w:val="22"/>
          <w:sz w:val="22"/>
        </w:rPr>
        <w:t xml:space="preserve">Retrieved October 23, 2026, from </w:t>
      </w:r>
      <w:hyperlink r:id="rId24">
        <w:r>
          <w:rPr>
            <w:color w:val="000000"/>
            <w:sz w:val="22"/>
          </w:rPr>
          <w:t>https://help.gong.io/docs/what-languages-are-supported-in-gong</w:t>
        </w:r>
      </w:hyperlink>
    </w:p>
    <w:p>
      <w:pPr>
        <w:keepNext w:val="0"/>
        <w:keepLines/>
        <w:pageBreakBefore w:val="0"/>
        <w:spacing w:line="480" w:lineRule="auto" w:before="0" w:after="0"/>
        <w:ind w:left="720" w:hanging="720"/>
      </w:pPr>
      <w:r>
        <w:rPr>
          <w:rFonts w:ascii="Arial" w:hAnsi="Arial"/>
          <w:i w:val="0"/>
          <w:color w:val="000000"/>
          <w:sz w:val="22"/>
          <w:sz w:val="22"/>
        </w:rPr>
        <w:t xml:space="preserve">Gong. (2026b, June 30). </w:t>
      </w:r>
      <w:r>
        <w:rPr>
          <w:rFonts w:ascii="Arial" w:hAnsi="Arial"/>
          <w:i/>
          <w:color w:val="000000"/>
          <w:sz w:val="22"/>
          <w:sz w:val="22"/>
        </w:rPr>
        <w:t>Analyze team performance</w:t>
      </w:r>
      <w:r>
        <w:rPr>
          <w:rFonts w:ascii="Arial" w:hAnsi="Arial"/>
          <w:i w:val="0"/>
          <w:color w:val="000000"/>
          <w:sz w:val="22"/>
          <w:sz w:val="22"/>
        </w:rPr>
        <w:t xml:space="preserve">. </w:t>
      </w:r>
      <w:r>
        <w:rPr>
          <w:rFonts w:ascii="Arial" w:hAnsi="Arial"/>
          <w:i w:val="0"/>
          <w:color w:val="000000"/>
          <w:sz w:val="22"/>
          <w:sz w:val="22"/>
        </w:rPr>
        <w:t xml:space="preserve">Retrieved October 23, 2026, from </w:t>
      </w:r>
      <w:hyperlink r:id="rId65">
        <w:r>
          <w:rPr>
            <w:color w:val="000000"/>
            <w:sz w:val="22"/>
          </w:rPr>
          <w:t>https://help.gong.io/docs/analyze-team-performance</w:t>
        </w:r>
      </w:hyperlink>
    </w:p>
    <w:p>
      <w:pPr>
        <w:keepNext w:val="0"/>
        <w:keepLines/>
        <w:pageBreakBefore w:val="0"/>
        <w:spacing w:line="480" w:lineRule="auto" w:before="0" w:after="0"/>
        <w:ind w:left="720" w:hanging="720"/>
      </w:pPr>
      <w:r>
        <w:rPr>
          <w:rFonts w:ascii="Arial" w:hAnsi="Arial"/>
          <w:i w:val="0"/>
          <w:color w:val="000000"/>
          <w:sz w:val="22"/>
          <w:sz w:val="22"/>
        </w:rPr>
        <w:t xml:space="preserve">Gong. (2026c, January 8). </w:t>
      </w:r>
      <w:r>
        <w:rPr>
          <w:rFonts w:ascii="Arial" w:hAnsi="Arial"/>
          <w:i/>
          <w:color w:val="000000"/>
          <w:sz w:val="22"/>
          <w:sz w:val="22"/>
        </w:rPr>
        <w:t>CRM integrations</w:t>
      </w:r>
      <w:r>
        <w:rPr>
          <w:rFonts w:ascii="Arial" w:hAnsi="Arial"/>
          <w:i w:val="0"/>
          <w:color w:val="000000"/>
          <w:sz w:val="22"/>
          <w:sz w:val="22"/>
        </w:rPr>
        <w:t xml:space="preserve">. </w:t>
      </w:r>
      <w:r>
        <w:rPr>
          <w:rFonts w:ascii="Arial" w:hAnsi="Arial"/>
          <w:i w:val="0"/>
          <w:color w:val="000000"/>
          <w:sz w:val="22"/>
          <w:sz w:val="22"/>
        </w:rPr>
        <w:t xml:space="preserve">Retrieved October 23, 2026, from </w:t>
      </w:r>
      <w:hyperlink r:id="rId18">
        <w:r>
          <w:rPr>
            <w:color w:val="000000"/>
            <w:sz w:val="22"/>
          </w:rPr>
          <w:t>https://help.gong.io/docs/crm-integrations</w:t>
        </w:r>
      </w:hyperlink>
    </w:p>
    <w:p>
      <w:pPr>
        <w:keepNext w:val="0"/>
        <w:keepLines/>
        <w:pageBreakBefore w:val="0"/>
        <w:spacing w:line="480" w:lineRule="auto" w:before="0" w:after="0"/>
        <w:ind w:left="720" w:hanging="720"/>
      </w:pPr>
      <w:r>
        <w:rPr>
          <w:rFonts w:ascii="Arial" w:hAnsi="Arial"/>
          <w:i w:val="0"/>
          <w:color w:val="000000"/>
          <w:sz w:val="22"/>
          <w:sz w:val="22"/>
        </w:rPr>
        <w:t xml:space="preserve">Gong. (2026d, September 10). </w:t>
      </w:r>
      <w:r>
        <w:rPr>
          <w:rFonts w:ascii="Arial" w:hAnsi="Arial"/>
          <w:i/>
          <w:color w:val="000000"/>
          <w:sz w:val="22"/>
          <w:sz w:val="22"/>
        </w:rPr>
        <w:t>Explore call content</w:t>
      </w:r>
      <w:r>
        <w:rPr>
          <w:rFonts w:ascii="Arial" w:hAnsi="Arial"/>
          <w:i w:val="0"/>
          <w:color w:val="000000"/>
          <w:sz w:val="22"/>
          <w:sz w:val="22"/>
        </w:rPr>
        <w:t xml:space="preserve">. </w:t>
      </w:r>
      <w:r>
        <w:rPr>
          <w:rFonts w:ascii="Arial" w:hAnsi="Arial"/>
          <w:i w:val="0"/>
          <w:color w:val="000000"/>
          <w:sz w:val="22"/>
          <w:sz w:val="22"/>
        </w:rPr>
        <w:t xml:space="preserve">Retrieved October 23, 2026, from </w:t>
      </w:r>
      <w:hyperlink r:id="rId15">
        <w:r>
          <w:rPr>
            <w:color w:val="000000"/>
            <w:sz w:val="22"/>
          </w:rPr>
          <w:t>https://help.gong.io/docs/explore-call-content</w:t>
        </w:r>
      </w:hyperlink>
    </w:p>
    <w:p>
      <w:pPr>
        <w:keepNext w:val="0"/>
        <w:keepLines/>
        <w:pageBreakBefore w:val="0"/>
        <w:spacing w:line="480" w:lineRule="auto" w:before="0" w:after="0"/>
        <w:ind w:left="720" w:hanging="720"/>
      </w:pPr>
      <w:r>
        <w:rPr>
          <w:rFonts w:ascii="Arial" w:hAnsi="Arial"/>
          <w:i w:val="0"/>
          <w:color w:val="000000"/>
          <w:sz w:val="22"/>
          <w:sz w:val="22"/>
        </w:rPr>
        <w:t xml:space="preserve">Gong. (2026e, January 8). </w:t>
      </w:r>
      <w:r>
        <w:rPr>
          <w:rFonts w:ascii="Arial" w:hAnsi="Arial"/>
          <w:i/>
          <w:color w:val="000000"/>
          <w:sz w:val="22"/>
          <w:sz w:val="22"/>
        </w:rPr>
        <w:t>Plans and seats</w:t>
      </w:r>
      <w:r>
        <w:rPr>
          <w:rFonts w:ascii="Arial" w:hAnsi="Arial"/>
          <w:i w:val="0"/>
          <w:color w:val="000000"/>
          <w:sz w:val="22"/>
          <w:sz w:val="22"/>
        </w:rPr>
        <w:t xml:space="preserve">. </w:t>
      </w:r>
      <w:r>
        <w:rPr>
          <w:rFonts w:ascii="Arial" w:hAnsi="Arial"/>
          <w:i w:val="0"/>
          <w:color w:val="000000"/>
          <w:sz w:val="22"/>
          <w:sz w:val="22"/>
        </w:rPr>
        <w:t xml:space="preserve">Retrieved October 23, 2026, from </w:t>
      </w:r>
      <w:hyperlink r:id="rId27">
        <w:r>
          <w:rPr>
            <w:color w:val="000000"/>
            <w:sz w:val="22"/>
          </w:rPr>
          <w:t>https://help.gong.io/docs/plans-and-seats</w:t>
        </w:r>
      </w:hyperlink>
    </w:p>
    <w:p>
      <w:pPr>
        <w:keepNext w:val="0"/>
        <w:keepLines/>
        <w:pageBreakBefore w:val="0"/>
        <w:spacing w:line="480" w:lineRule="auto" w:before="0" w:after="0"/>
        <w:ind w:left="720" w:hanging="720"/>
      </w:pPr>
      <w:r>
        <w:rPr>
          <w:rFonts w:ascii="Arial" w:hAnsi="Arial"/>
          <w:i w:val="0"/>
          <w:color w:val="000000"/>
          <w:sz w:val="22"/>
          <w:sz w:val="22"/>
        </w:rPr>
        <w:t xml:space="preserve">Good, V., Bhattacharya, A., Hochstein, B. W., &amp; Voorhees, C. M. (2026). Determining the quality of B2C sales leads from online chats. </w:t>
      </w:r>
      <w:r>
        <w:rPr>
          <w:rFonts w:ascii="Arial" w:hAnsi="Arial"/>
          <w:i/>
          <w:color w:val="000000"/>
          <w:sz w:val="22"/>
          <w:sz w:val="22"/>
        </w:rPr>
        <w:t>International Journal of Research in Marketing, 43</w:t>
      </w:r>
      <w:r>
        <w:rPr>
          <w:rFonts w:ascii="Arial" w:hAnsi="Arial"/>
          <w:i w:val="0"/>
          <w:color w:val="000000"/>
          <w:sz w:val="22"/>
          <w:sz w:val="22"/>
        </w:rPr>
        <w:t>(2)</w:t>
      </w:r>
      <w:r>
        <w:rPr>
          <w:rFonts w:ascii="Arial" w:hAnsi="Arial"/>
          <w:i w:val="0"/>
          <w:color w:val="000000"/>
          <w:sz w:val="22"/>
          <w:sz w:val="22"/>
        </w:rPr>
        <w:t xml:space="preserve">, 383–403. </w:t>
      </w:r>
      <w:hyperlink r:id="rId56">
        <w:r>
          <w:rPr>
            <w:color w:val="000000"/>
            <w:sz w:val="22"/>
          </w:rPr>
          <w:t>https://doi.org/10.1016/j.ijresmar.2025.07.001</w:t>
        </w:r>
      </w:hyperlink>
    </w:p>
    <w:p>
      <w:pPr>
        <w:keepNext w:val="0"/>
        <w:keepLines/>
        <w:pageBreakBefore w:val="0"/>
        <w:spacing w:line="480" w:lineRule="auto" w:before="0" w:after="0"/>
        <w:ind w:left="720" w:hanging="720"/>
      </w:pPr>
      <w:r>
        <w:rPr>
          <w:rFonts w:ascii="Arial" w:hAnsi="Arial"/>
          <w:i w:val="0"/>
          <w:color w:val="000000"/>
          <w:sz w:val="22"/>
          <w:sz w:val="22"/>
        </w:rPr>
        <w:t xml:space="preserve">Google Cloud. (2026a, October 22). </w:t>
      </w:r>
      <w:r>
        <w:rPr>
          <w:rFonts w:ascii="Arial" w:hAnsi="Arial"/>
          <w:i/>
          <w:color w:val="000000"/>
          <w:sz w:val="22"/>
          <w:sz w:val="22"/>
        </w:rPr>
        <w:t>Cloud Speech-to-Text V2 supported languages</w:t>
      </w:r>
      <w:r>
        <w:rPr>
          <w:rFonts w:ascii="Arial" w:hAnsi="Arial"/>
          <w:i w:val="0"/>
          <w:color w:val="000000"/>
          <w:sz w:val="22"/>
          <w:sz w:val="22"/>
        </w:rPr>
        <w:t xml:space="preserve">. </w:t>
      </w:r>
      <w:r>
        <w:rPr>
          <w:rFonts w:ascii="Arial" w:hAnsi="Arial"/>
          <w:i w:val="0"/>
          <w:color w:val="000000"/>
          <w:sz w:val="22"/>
          <w:sz w:val="22"/>
        </w:rPr>
        <w:t xml:space="preserve">Retrieved October 23, 2026, from </w:t>
      </w:r>
      <w:hyperlink r:id="rId39">
        <w:r>
          <w:rPr>
            <w:color w:val="000000"/>
            <w:sz w:val="22"/>
          </w:rPr>
          <w:t>https://docs.cloud.google.com/speech-to-text/docs/speech-to-text-supported-languages</w:t>
        </w:r>
      </w:hyperlink>
    </w:p>
    <w:p>
      <w:pPr>
        <w:keepNext w:val="0"/>
        <w:keepLines/>
        <w:pageBreakBefore w:val="0"/>
        <w:spacing w:line="480" w:lineRule="auto" w:before="0" w:after="0"/>
        <w:ind w:left="720" w:hanging="720"/>
      </w:pPr>
      <w:r>
        <w:rPr>
          <w:rFonts w:ascii="Arial" w:hAnsi="Arial"/>
          <w:i w:val="0"/>
          <w:color w:val="000000"/>
          <w:sz w:val="22"/>
          <w:sz w:val="22"/>
        </w:rPr>
        <w:t xml:space="preserve">Google Cloud. (2026b, October 22). </w:t>
      </w:r>
      <w:r>
        <w:rPr>
          <w:rFonts w:ascii="Arial" w:hAnsi="Arial"/>
          <w:i/>
          <w:color w:val="000000"/>
          <w:sz w:val="22"/>
          <w:sz w:val="22"/>
        </w:rPr>
        <w:t>Transcribe long audio files into text</w:t>
      </w:r>
      <w:r>
        <w:rPr>
          <w:rFonts w:ascii="Arial" w:hAnsi="Arial"/>
          <w:i w:val="0"/>
          <w:color w:val="000000"/>
          <w:sz w:val="22"/>
          <w:sz w:val="22"/>
        </w:rPr>
        <w:t xml:space="preserve">. </w:t>
      </w:r>
      <w:r>
        <w:rPr>
          <w:rFonts w:ascii="Arial" w:hAnsi="Arial"/>
          <w:i w:val="0"/>
          <w:color w:val="000000"/>
          <w:sz w:val="22"/>
          <w:sz w:val="22"/>
        </w:rPr>
        <w:t xml:space="preserve">Retrieved October 23, 2026, from </w:t>
      </w:r>
      <w:hyperlink r:id="rId66">
        <w:r>
          <w:rPr>
            <w:color w:val="000000"/>
            <w:sz w:val="22"/>
          </w:rPr>
          <w:t>https://docs.cloud.google.com/speech-to-text/docs/batch-recognize</w:t>
        </w:r>
      </w:hyperlink>
    </w:p>
    <w:p>
      <w:pPr>
        <w:keepNext w:val="0"/>
        <w:keepLines/>
        <w:pageBreakBefore w:val="0"/>
        <w:spacing w:line="480" w:lineRule="auto" w:before="0" w:after="0"/>
        <w:ind w:left="720" w:hanging="720"/>
      </w:pPr>
      <w:r>
        <w:rPr>
          <w:rFonts w:ascii="Arial" w:hAnsi="Arial"/>
          <w:i w:val="0"/>
          <w:color w:val="000000"/>
          <w:sz w:val="22"/>
          <w:sz w:val="22"/>
        </w:rPr>
        <w:t xml:space="preserve">HubSpot. (2026a, September 4). </w:t>
      </w:r>
      <w:r>
        <w:rPr>
          <w:rFonts w:ascii="Arial" w:hAnsi="Arial"/>
          <w:i/>
          <w:color w:val="000000"/>
          <w:sz w:val="22"/>
          <w:sz w:val="22"/>
        </w:rPr>
        <w:t>HubSpot language offerings</w:t>
      </w:r>
      <w:r>
        <w:rPr>
          <w:rFonts w:ascii="Arial" w:hAnsi="Arial"/>
          <w:i w:val="0"/>
          <w:color w:val="000000"/>
          <w:sz w:val="22"/>
          <w:sz w:val="22"/>
        </w:rPr>
        <w:t xml:space="preserve">. </w:t>
      </w:r>
      <w:r>
        <w:rPr>
          <w:rFonts w:ascii="Arial" w:hAnsi="Arial"/>
          <w:i w:val="0"/>
          <w:color w:val="000000"/>
          <w:sz w:val="22"/>
          <w:sz w:val="22"/>
        </w:rPr>
        <w:t xml:space="preserve">Retrieved October 23, 2026, from </w:t>
      </w:r>
      <w:hyperlink r:id="rId26">
        <w:r>
          <w:rPr>
            <w:color w:val="000000"/>
            <w:sz w:val="22"/>
          </w:rPr>
          <w:t>https://knowledge.hubspot.com/help-and-resources/hubspot-language-offerings</w:t>
        </w:r>
      </w:hyperlink>
    </w:p>
    <w:p>
      <w:pPr>
        <w:keepNext w:val="0"/>
        <w:keepLines/>
        <w:pageBreakBefore w:val="0"/>
        <w:spacing w:line="480" w:lineRule="auto" w:before="0" w:after="0"/>
        <w:ind w:left="720" w:hanging="720"/>
      </w:pPr>
      <w:r>
        <w:rPr>
          <w:rFonts w:ascii="Arial" w:hAnsi="Arial"/>
          <w:i w:val="0"/>
          <w:color w:val="000000"/>
          <w:sz w:val="22"/>
          <w:sz w:val="22"/>
        </w:rPr>
        <w:t xml:space="preserve">HubSpot. (2026b, October 9). </w:t>
      </w:r>
      <w:r>
        <w:rPr>
          <w:rFonts w:ascii="Arial" w:hAnsi="Arial"/>
          <w:i/>
          <w:color w:val="000000"/>
          <w:sz w:val="22"/>
          <w:sz w:val="22"/>
        </w:rPr>
        <w:t>Review call recordings and transcripts</w:t>
      </w:r>
      <w:r>
        <w:rPr>
          <w:rFonts w:ascii="Arial" w:hAnsi="Arial"/>
          <w:i w:val="0"/>
          <w:color w:val="000000"/>
          <w:sz w:val="22"/>
          <w:sz w:val="22"/>
        </w:rPr>
        <w:t xml:space="preserve">. </w:t>
      </w:r>
      <w:r>
        <w:rPr>
          <w:rFonts w:ascii="Arial" w:hAnsi="Arial"/>
          <w:i w:val="0"/>
          <w:color w:val="000000"/>
          <w:sz w:val="22"/>
          <w:sz w:val="22"/>
        </w:rPr>
        <w:t xml:space="preserve">Retrieved October 23, 2026, from </w:t>
      </w:r>
      <w:hyperlink r:id="rId13">
        <w:r>
          <w:rPr>
            <w:color w:val="000000"/>
            <w:sz w:val="22"/>
          </w:rPr>
          <w:t>https://knowledge.hubspot.com/calling/review-call-recordings-and-transcripts</w:t>
        </w:r>
      </w:hyperlink>
    </w:p>
    <w:p>
      <w:pPr>
        <w:keepNext w:val="0"/>
        <w:keepLines/>
        <w:pageBreakBefore w:val="0"/>
        <w:spacing w:line="480" w:lineRule="auto" w:before="0" w:after="0"/>
        <w:ind w:left="720" w:hanging="720"/>
      </w:pPr>
      <w:r>
        <w:rPr>
          <w:rFonts w:ascii="Arial" w:hAnsi="Arial"/>
          <w:i w:val="0"/>
          <w:color w:val="000000"/>
          <w:sz w:val="22"/>
          <w:sz w:val="22"/>
        </w:rPr>
        <w:t xml:space="preserve">Humă, B., &amp; Stokoe, E. (2023). Resistance in business-to-business “cold” sales calls. </w:t>
      </w:r>
      <w:r>
        <w:rPr>
          <w:rFonts w:ascii="Arial" w:hAnsi="Arial"/>
          <w:i/>
          <w:color w:val="000000"/>
          <w:sz w:val="22"/>
          <w:sz w:val="22"/>
        </w:rPr>
        <w:t>Journal of Language and Social Psychology, 42</w:t>
      </w:r>
      <w:r>
        <w:rPr>
          <w:rFonts w:ascii="Arial" w:hAnsi="Arial"/>
          <w:i w:val="0"/>
          <w:color w:val="000000"/>
          <w:sz w:val="22"/>
          <w:sz w:val="22"/>
        </w:rPr>
        <w:t>(5–6)</w:t>
      </w:r>
      <w:r>
        <w:rPr>
          <w:rFonts w:ascii="Arial" w:hAnsi="Arial"/>
          <w:i w:val="0"/>
          <w:color w:val="000000"/>
          <w:sz w:val="22"/>
          <w:sz w:val="22"/>
        </w:rPr>
        <w:t xml:space="preserve">, 630–652. </w:t>
      </w:r>
      <w:hyperlink r:id="rId58">
        <w:r>
          <w:rPr>
            <w:color w:val="000000"/>
            <w:sz w:val="22"/>
          </w:rPr>
          <w:t>https://doi.org/10.1177/0261927X231185520</w:t>
        </w:r>
      </w:hyperlink>
    </w:p>
    <w:p>
      <w:pPr>
        <w:keepNext w:val="0"/>
        <w:keepLines/>
        <w:pageBreakBefore w:val="0"/>
        <w:spacing w:line="480" w:lineRule="auto" w:before="0" w:after="0"/>
        <w:ind w:left="720" w:hanging="720"/>
      </w:pPr>
      <w:r>
        <w:rPr>
          <w:rFonts w:ascii="Arial" w:hAnsi="Arial"/>
          <w:i w:val="0"/>
          <w:color w:val="000000"/>
          <w:sz w:val="22"/>
          <w:sz w:val="22"/>
        </w:rPr>
        <w:t xml:space="preserve">Koenecke, A., Choi, A. S. G., Mei, K. X., Schellmann, H., &amp; Sloane, M. (2024). Careless Whisper: Speech-to-text hallucination harms. </w:t>
      </w:r>
      <w:r>
        <w:rPr>
          <w:rFonts w:ascii="Arial" w:hAnsi="Arial"/>
          <w:i w:val="0"/>
          <w:color w:val="000000"/>
          <w:sz w:val="22"/>
          <w:sz w:val="22"/>
        </w:rPr>
        <w:t xml:space="preserve">In </w:t>
      </w:r>
      <w:r>
        <w:rPr>
          <w:rFonts w:ascii="Arial" w:hAnsi="Arial"/>
          <w:i/>
          <w:color w:val="000000"/>
          <w:sz w:val="22"/>
          <w:sz w:val="22"/>
        </w:rPr>
        <w:t>Proceedings of the 2024 ACM Conference on Fairness, Accountability, and Transparency</w:t>
      </w:r>
      <w:r>
        <w:rPr>
          <w:rFonts w:ascii="Arial" w:hAnsi="Arial"/>
          <w:i w:val="0"/>
          <w:color w:val="000000"/>
          <w:sz w:val="22"/>
          <w:sz w:val="22"/>
        </w:rPr>
        <w:t xml:space="preserve"> (pp. 1672–1681). Association for Computing Machinery. </w:t>
      </w:r>
      <w:hyperlink r:id="rId52">
        <w:r>
          <w:rPr>
            <w:color w:val="000000"/>
            <w:sz w:val="22"/>
          </w:rPr>
          <w:t>https://doi.org/10.1145/3630106.3658996</w:t>
        </w:r>
      </w:hyperlink>
    </w:p>
    <w:p>
      <w:pPr>
        <w:keepNext w:val="0"/>
        <w:keepLines/>
        <w:pageBreakBefore w:val="0"/>
        <w:spacing w:line="480" w:lineRule="auto" w:before="0" w:after="0"/>
        <w:ind w:left="720" w:hanging="720"/>
      </w:pPr>
      <w:r>
        <w:rPr>
          <w:rFonts w:ascii="Arial" w:hAnsi="Arial"/>
          <w:i w:val="0"/>
          <w:color w:val="000000"/>
          <w:sz w:val="22"/>
          <w:sz w:val="22"/>
        </w:rPr>
        <w:t xml:space="preserve">Mäntyvaara, J., Nevalainen, P., Glavatskiy, K., &amp; Heikkonen, J. (2026). AI-assisted sales coaching framework: Empirically-derived models for B2B communication analysis. </w:t>
      </w:r>
      <w:r>
        <w:rPr>
          <w:rFonts w:ascii="Arial" w:hAnsi="Arial"/>
          <w:i/>
          <w:color w:val="000000"/>
          <w:sz w:val="22"/>
          <w:sz w:val="22"/>
        </w:rPr>
        <w:t>Array, 30</w:t>
      </w:r>
      <w:r>
        <w:rPr>
          <w:rFonts w:ascii="Arial" w:hAnsi="Arial"/>
          <w:i w:val="0"/>
          <w:color w:val="000000"/>
          <w:sz w:val="22"/>
          <w:sz w:val="22"/>
        </w:rPr>
        <w:t xml:space="preserve">, Article 100755. </w:t>
      </w:r>
      <w:hyperlink r:id="rId53">
        <w:r>
          <w:rPr>
            <w:color w:val="000000"/>
            <w:sz w:val="22"/>
          </w:rPr>
          <w:t>https://doi.org/10.1016/j.array.2026.100755</w:t>
        </w:r>
      </w:hyperlink>
    </w:p>
    <w:p>
      <w:pPr>
        <w:keepNext w:val="0"/>
        <w:keepLines/>
        <w:pageBreakBefore w:val="0"/>
        <w:spacing w:line="480" w:lineRule="auto" w:before="0" w:after="0"/>
        <w:ind w:left="720" w:hanging="720"/>
      </w:pPr>
      <w:r>
        <w:rPr>
          <w:rFonts w:ascii="Arial" w:hAnsi="Arial"/>
          <w:i w:val="0"/>
          <w:color w:val="000000"/>
          <w:sz w:val="22"/>
          <w:sz w:val="22"/>
        </w:rPr>
        <w:t xml:space="preserve">Microsoft. (2025, January 29). </w:t>
      </w:r>
      <w:r>
        <w:rPr>
          <w:rFonts w:ascii="Arial" w:hAnsi="Arial"/>
          <w:i/>
          <w:color w:val="000000"/>
          <w:sz w:val="22"/>
          <w:sz w:val="22"/>
        </w:rPr>
        <w:t>View and understand the call summary page</w:t>
      </w:r>
      <w:r>
        <w:rPr>
          <w:rFonts w:ascii="Arial" w:hAnsi="Arial"/>
          <w:i w:val="0"/>
          <w:color w:val="000000"/>
          <w:sz w:val="22"/>
          <w:sz w:val="22"/>
        </w:rPr>
        <w:t xml:space="preserve">. </w:t>
      </w:r>
      <w:r>
        <w:rPr>
          <w:rFonts w:ascii="Arial" w:hAnsi="Arial"/>
          <w:i w:val="0"/>
          <w:color w:val="000000"/>
          <w:sz w:val="22"/>
          <w:sz w:val="22"/>
        </w:rPr>
        <w:t xml:space="preserve">Microsoft Learn. </w:t>
      </w:r>
      <w:r>
        <w:rPr>
          <w:rFonts w:ascii="Arial" w:hAnsi="Arial"/>
          <w:i w:val="0"/>
          <w:color w:val="000000"/>
          <w:sz w:val="22"/>
          <w:sz w:val="22"/>
        </w:rPr>
        <w:t xml:space="preserve">Retrieved October 23, 2026, from </w:t>
      </w:r>
      <w:hyperlink r:id="rId17">
        <w:r>
          <w:rPr>
            <w:color w:val="000000"/>
            <w:sz w:val="22"/>
          </w:rPr>
          <w:t>https://learn.microsoft.com/en-us/dynamics365/sales/view-and-understand-call-summary-sales-app</w:t>
        </w:r>
      </w:hyperlink>
    </w:p>
    <w:p>
      <w:pPr>
        <w:keepNext w:val="0"/>
        <w:keepLines/>
        <w:pageBreakBefore w:val="0"/>
        <w:spacing w:line="480" w:lineRule="auto" w:before="0" w:after="0"/>
        <w:ind w:left="720" w:hanging="720"/>
      </w:pPr>
      <w:r>
        <w:rPr>
          <w:rFonts w:ascii="Arial" w:hAnsi="Arial"/>
          <w:i w:val="0"/>
          <w:color w:val="000000"/>
          <w:sz w:val="22"/>
          <w:sz w:val="22"/>
        </w:rPr>
        <w:t xml:space="preserve">Microsoft. (2026a, July 7). </w:t>
      </w:r>
      <w:r>
        <w:rPr>
          <w:rFonts w:ascii="Arial" w:hAnsi="Arial"/>
          <w:i/>
          <w:color w:val="000000"/>
          <w:sz w:val="22"/>
          <w:sz w:val="22"/>
        </w:rPr>
        <w:t>Conversation intelligence FAQs</w:t>
      </w:r>
      <w:r>
        <w:rPr>
          <w:rFonts w:ascii="Arial" w:hAnsi="Arial"/>
          <w:i w:val="0"/>
          <w:color w:val="000000"/>
          <w:sz w:val="22"/>
          <w:sz w:val="22"/>
        </w:rPr>
        <w:t xml:space="preserve">. </w:t>
      </w:r>
      <w:r>
        <w:rPr>
          <w:rFonts w:ascii="Arial" w:hAnsi="Arial"/>
          <w:i w:val="0"/>
          <w:color w:val="000000"/>
          <w:sz w:val="22"/>
          <w:sz w:val="22"/>
        </w:rPr>
        <w:t xml:space="preserve">Microsoft Learn. </w:t>
      </w:r>
      <w:r>
        <w:rPr>
          <w:rFonts w:ascii="Arial" w:hAnsi="Arial"/>
          <w:i w:val="0"/>
          <w:color w:val="000000"/>
          <w:sz w:val="22"/>
          <w:sz w:val="22"/>
        </w:rPr>
        <w:t xml:space="preserve">Retrieved October 23, 2026, from </w:t>
      </w:r>
      <w:hyperlink r:id="rId14">
        <w:r>
          <w:rPr>
            <w:color w:val="000000"/>
            <w:sz w:val="22"/>
          </w:rPr>
          <w:t>https://learn.microsoft.com/en-us/dynamics365/sales/faq-conversation-intelligence</w:t>
        </w:r>
      </w:hyperlink>
    </w:p>
    <w:p>
      <w:pPr>
        <w:keepNext w:val="0"/>
        <w:keepLines/>
        <w:pageBreakBefore w:val="0"/>
        <w:spacing w:line="480" w:lineRule="auto" w:before="0" w:after="0"/>
        <w:ind w:left="720" w:hanging="720"/>
      </w:pPr>
      <w:r>
        <w:rPr>
          <w:rFonts w:ascii="Arial" w:hAnsi="Arial"/>
          <w:i w:val="0"/>
          <w:color w:val="000000"/>
          <w:sz w:val="22"/>
          <w:sz w:val="22"/>
        </w:rPr>
        <w:t xml:space="preserve">Microsoft. (2026b, February 27). </w:t>
      </w:r>
      <w:r>
        <w:rPr>
          <w:rFonts w:ascii="Arial" w:hAnsi="Arial"/>
          <w:i/>
          <w:color w:val="000000"/>
          <w:sz w:val="22"/>
          <w:sz w:val="22"/>
        </w:rPr>
        <w:t>Enable and configure Sales Insights features</w:t>
      </w:r>
      <w:r>
        <w:rPr>
          <w:rFonts w:ascii="Arial" w:hAnsi="Arial"/>
          <w:i w:val="0"/>
          <w:color w:val="000000"/>
          <w:sz w:val="22"/>
          <w:sz w:val="22"/>
        </w:rPr>
        <w:t xml:space="preserve">. </w:t>
      </w:r>
      <w:r>
        <w:rPr>
          <w:rFonts w:ascii="Arial" w:hAnsi="Arial"/>
          <w:i w:val="0"/>
          <w:color w:val="000000"/>
          <w:sz w:val="22"/>
          <w:sz w:val="22"/>
        </w:rPr>
        <w:t xml:space="preserve">Microsoft Learn. </w:t>
      </w:r>
      <w:r>
        <w:rPr>
          <w:rFonts w:ascii="Arial" w:hAnsi="Arial"/>
          <w:i w:val="0"/>
          <w:color w:val="000000"/>
          <w:sz w:val="22"/>
          <w:sz w:val="22"/>
        </w:rPr>
        <w:t xml:space="preserve">Retrieved October 23, 2026, from </w:t>
      </w:r>
      <w:hyperlink r:id="rId28">
        <w:r>
          <w:rPr>
            <w:color w:val="000000"/>
            <w:sz w:val="22"/>
          </w:rPr>
          <w:t>https://learn.microsoft.com/en-us/dynamics365/sales/intro-admin-guide-sales-insights</w:t>
        </w:r>
      </w:hyperlink>
    </w:p>
    <w:p>
      <w:pPr>
        <w:keepNext w:val="0"/>
        <w:keepLines/>
        <w:pageBreakBefore w:val="0"/>
        <w:spacing w:line="480" w:lineRule="auto" w:before="0" w:after="0"/>
        <w:ind w:left="720" w:hanging="720"/>
      </w:pPr>
      <w:r>
        <w:rPr>
          <w:rFonts w:ascii="Arial" w:hAnsi="Arial"/>
          <w:i w:val="0"/>
          <w:color w:val="000000"/>
          <w:sz w:val="22"/>
          <w:sz w:val="22"/>
        </w:rPr>
        <w:t xml:space="preserve">Microsoft. (2026c, May 29). </w:t>
      </w:r>
      <w:r>
        <w:rPr>
          <w:rFonts w:ascii="Arial" w:hAnsi="Arial"/>
          <w:i/>
          <w:color w:val="000000"/>
          <w:sz w:val="22"/>
          <w:sz w:val="22"/>
        </w:rPr>
        <w:t>Languages supported for conversation intelligence</w:t>
      </w:r>
      <w:r>
        <w:rPr>
          <w:rFonts w:ascii="Arial" w:hAnsi="Arial"/>
          <w:i w:val="0"/>
          <w:color w:val="000000"/>
          <w:sz w:val="22"/>
          <w:sz w:val="22"/>
        </w:rPr>
        <w:t xml:space="preserve">. </w:t>
      </w:r>
      <w:r>
        <w:rPr>
          <w:rFonts w:ascii="Arial" w:hAnsi="Arial"/>
          <w:i w:val="0"/>
          <w:color w:val="000000"/>
          <w:sz w:val="22"/>
          <w:sz w:val="22"/>
        </w:rPr>
        <w:t xml:space="preserve">Microsoft Learn. </w:t>
      </w:r>
      <w:r>
        <w:rPr>
          <w:rFonts w:ascii="Arial" w:hAnsi="Arial"/>
          <w:i w:val="0"/>
          <w:color w:val="000000"/>
          <w:sz w:val="22"/>
          <w:sz w:val="22"/>
        </w:rPr>
        <w:t xml:space="preserve">Retrieved October 23, 2026, from </w:t>
      </w:r>
      <w:hyperlink r:id="rId20">
        <w:r>
          <w:rPr>
            <w:color w:val="000000"/>
            <w:sz w:val="22"/>
          </w:rPr>
          <w:t>https://learn.microsoft.com/en-us/dynamics365/sales/language-support-conversation-intelligence</w:t>
        </w:r>
      </w:hyperlink>
    </w:p>
    <w:p>
      <w:pPr>
        <w:keepNext w:val="0"/>
        <w:keepLines/>
        <w:pageBreakBefore w:val="0"/>
        <w:spacing w:line="480" w:lineRule="auto" w:before="0" w:after="0"/>
        <w:ind w:left="720" w:hanging="720"/>
      </w:pPr>
      <w:r>
        <w:rPr>
          <w:rFonts w:ascii="Arial" w:hAnsi="Arial"/>
          <w:i w:val="0"/>
          <w:color w:val="000000"/>
          <w:sz w:val="22"/>
          <w:sz w:val="22"/>
        </w:rPr>
        <w:t xml:space="preserve">Microsoft. (2026d, May 29). </w:t>
      </w:r>
      <w:r>
        <w:rPr>
          <w:rFonts w:ascii="Arial" w:hAnsi="Arial"/>
          <w:i/>
          <w:color w:val="000000"/>
          <w:sz w:val="22"/>
          <w:sz w:val="22"/>
        </w:rPr>
        <w:t>View and understand the home page</w:t>
      </w:r>
      <w:r>
        <w:rPr>
          <w:rFonts w:ascii="Arial" w:hAnsi="Arial"/>
          <w:i w:val="0"/>
          <w:color w:val="000000"/>
          <w:sz w:val="22"/>
          <w:sz w:val="22"/>
        </w:rPr>
        <w:t xml:space="preserve">. </w:t>
      </w:r>
      <w:r>
        <w:rPr>
          <w:rFonts w:ascii="Arial" w:hAnsi="Arial"/>
          <w:i w:val="0"/>
          <w:color w:val="000000"/>
          <w:sz w:val="22"/>
          <w:sz w:val="22"/>
        </w:rPr>
        <w:t xml:space="preserve">Microsoft Learn. </w:t>
      </w:r>
      <w:r>
        <w:rPr>
          <w:rFonts w:ascii="Arial" w:hAnsi="Arial"/>
          <w:i w:val="0"/>
          <w:color w:val="000000"/>
          <w:sz w:val="22"/>
          <w:sz w:val="22"/>
        </w:rPr>
        <w:t xml:space="preserve">Retrieved October 23, 2026, from </w:t>
      </w:r>
      <w:hyperlink r:id="rId23">
        <w:r>
          <w:rPr>
            <w:color w:val="000000"/>
            <w:sz w:val="22"/>
          </w:rPr>
          <w:t>https://learn.microsoft.com/en-us/dynamics365/sales/dynamics365-sales-insights-app-home-page</w:t>
        </w:r>
      </w:hyperlink>
    </w:p>
    <w:p>
      <w:pPr>
        <w:keepNext w:val="0"/>
        <w:keepLines/>
        <w:pageBreakBefore w:val="0"/>
        <w:spacing w:line="480" w:lineRule="auto" w:before="0" w:after="0"/>
        <w:ind w:left="720" w:hanging="720"/>
      </w:pPr>
      <w:r>
        <w:rPr>
          <w:rFonts w:ascii="Arial" w:hAnsi="Arial"/>
          <w:i w:val="0"/>
          <w:color w:val="000000"/>
          <w:sz w:val="22"/>
          <w:sz w:val="22"/>
        </w:rPr>
        <w:t xml:space="preserve">Microsoft. (2026e, October 19). </w:t>
      </w:r>
      <w:r>
        <w:rPr>
          <w:rFonts w:ascii="Arial" w:hAnsi="Arial"/>
          <w:i/>
          <w:color w:val="000000"/>
          <w:sz w:val="22"/>
          <w:sz w:val="22"/>
        </w:rPr>
        <w:t>What is speech to text?</w:t>
      </w:r>
      <w:r>
        <w:rPr>
          <w:rFonts w:ascii="Arial" w:hAnsi="Arial"/>
          <w:i w:val="0"/>
          <w:color w:val="000000"/>
          <w:sz w:val="22"/>
          <w:sz w:val="22"/>
        </w:rPr>
        <w:t xml:space="preserve"> </w:t>
      </w:r>
      <w:r>
        <w:rPr>
          <w:rFonts w:ascii="Arial" w:hAnsi="Arial"/>
          <w:i w:val="0"/>
          <w:color w:val="000000"/>
          <w:sz w:val="22"/>
          <w:sz w:val="22"/>
        </w:rPr>
        <w:t xml:space="preserve">Microsoft Learn. </w:t>
      </w:r>
      <w:r>
        <w:rPr>
          <w:rFonts w:ascii="Arial" w:hAnsi="Arial"/>
          <w:i w:val="0"/>
          <w:color w:val="000000"/>
          <w:sz w:val="22"/>
          <w:sz w:val="22"/>
        </w:rPr>
        <w:t xml:space="preserve">Retrieved October 23, 2026, from </w:t>
      </w:r>
      <w:hyperlink r:id="rId37">
        <w:r>
          <w:rPr>
            <w:color w:val="000000"/>
            <w:sz w:val="22"/>
          </w:rPr>
          <w:t>https://learn.microsoft.com/en-us/azure/ai-services/speech-service/speech-to-text</w:t>
        </w:r>
      </w:hyperlink>
    </w:p>
    <w:p>
      <w:pPr>
        <w:keepNext w:val="0"/>
        <w:keepLines/>
        <w:pageBreakBefore w:val="0"/>
        <w:spacing w:line="480" w:lineRule="auto" w:before="0" w:after="0"/>
        <w:ind w:left="720" w:hanging="720"/>
      </w:pPr>
      <w:r>
        <w:rPr>
          <w:rFonts w:ascii="Arial" w:hAnsi="Arial"/>
          <w:i w:val="0"/>
          <w:color w:val="000000"/>
          <w:sz w:val="22"/>
          <w:sz w:val="22"/>
        </w:rPr>
        <w:t xml:space="preserve">MongoDB. (n.d.). </w:t>
      </w:r>
      <w:r>
        <w:rPr>
          <w:rFonts w:ascii="Arial" w:hAnsi="Arial"/>
          <w:i/>
          <w:color w:val="000000"/>
          <w:sz w:val="22"/>
          <w:sz w:val="22"/>
        </w:rPr>
        <w:t>Data modeling in MongoDB</w:t>
      </w:r>
      <w:r>
        <w:rPr>
          <w:rFonts w:ascii="Arial" w:hAnsi="Arial"/>
          <w:i w:val="0"/>
          <w:color w:val="000000"/>
          <w:sz w:val="22"/>
          <w:sz w:val="22"/>
        </w:rPr>
        <w:t xml:space="preserve">. </w:t>
      </w:r>
      <w:r>
        <w:rPr>
          <w:rFonts w:ascii="Arial" w:hAnsi="Arial"/>
          <w:i w:val="0"/>
          <w:color w:val="000000"/>
          <w:sz w:val="22"/>
          <w:sz w:val="22"/>
        </w:rPr>
        <w:t xml:space="preserve">Retrieved October 23, 2026, from </w:t>
      </w:r>
      <w:hyperlink r:id="rId35">
        <w:r>
          <w:rPr>
            <w:color w:val="000000"/>
            <w:sz w:val="22"/>
          </w:rPr>
          <w:t>https://www.mongodb.com/docs/manual/data-modeling/</w:t>
        </w:r>
      </w:hyperlink>
    </w:p>
    <w:p>
      <w:pPr>
        <w:keepNext w:val="0"/>
        <w:keepLines/>
        <w:pageBreakBefore w:val="0"/>
        <w:spacing w:line="480" w:lineRule="auto" w:before="0" w:after="0"/>
        <w:ind w:left="720" w:hanging="720"/>
      </w:pPr>
      <w:r>
        <w:rPr>
          <w:rFonts w:ascii="Arial" w:hAnsi="Arial"/>
          <w:i w:val="0"/>
          <w:color w:val="000000"/>
          <w:sz w:val="22"/>
          <w:sz w:val="22"/>
        </w:rPr>
        <w:t xml:space="preserve">Moro, S., Rita, P., &amp; Cortez, P. (2014). </w:t>
      </w:r>
      <w:r>
        <w:rPr>
          <w:rFonts w:ascii="Arial" w:hAnsi="Arial"/>
          <w:i/>
          <w:color w:val="000000"/>
          <w:sz w:val="22"/>
          <w:sz w:val="22"/>
        </w:rPr>
        <w:t>Bank marketing</w:t>
      </w:r>
      <w:r>
        <w:rPr>
          <w:rFonts w:ascii="Arial" w:hAnsi="Arial"/>
          <w:i w:val="0"/>
          <w:color w:val="000000"/>
          <w:sz w:val="22"/>
          <w:sz w:val="22"/>
        </w:rPr>
        <w:t xml:space="preserve"> [Data set]. UCI Machine Learning Repository. </w:t>
      </w:r>
      <w:hyperlink r:id="rId67">
        <w:r>
          <w:rPr>
            <w:color w:val="000000"/>
            <w:sz w:val="22"/>
          </w:rPr>
          <w:t>https://doi.org/10.24432/C5K306</w:t>
        </w:r>
      </w:hyperlink>
    </w:p>
    <w:p>
      <w:pPr>
        <w:keepNext w:val="0"/>
        <w:keepLines/>
        <w:pageBreakBefore w:val="0"/>
        <w:spacing w:line="480" w:lineRule="auto" w:before="0" w:after="0"/>
        <w:ind w:left="720" w:hanging="720"/>
      </w:pPr>
      <w:r>
        <w:rPr>
          <w:rFonts w:ascii="Arial" w:hAnsi="Arial"/>
          <w:i w:val="0"/>
          <w:color w:val="000000"/>
          <w:sz w:val="22"/>
          <w:sz w:val="22"/>
        </w:rPr>
        <w:t xml:space="preserve">Mussakhojayeva, S., Khassanov, Y., &amp; Atakan Varol, H. (2022). KSC2: An industrial-scale open-source Kazakh speech corpus. </w:t>
      </w:r>
      <w:r>
        <w:rPr>
          <w:rFonts w:ascii="Arial" w:hAnsi="Arial"/>
          <w:i w:val="0"/>
          <w:color w:val="000000"/>
          <w:sz w:val="22"/>
          <w:sz w:val="22"/>
        </w:rPr>
        <w:t xml:space="preserve">In </w:t>
      </w:r>
      <w:r>
        <w:rPr>
          <w:rFonts w:ascii="Arial" w:hAnsi="Arial"/>
          <w:i/>
          <w:color w:val="000000"/>
          <w:sz w:val="22"/>
          <w:sz w:val="22"/>
        </w:rPr>
        <w:t>Interspeech 2022</w:t>
      </w:r>
      <w:r>
        <w:rPr>
          <w:rFonts w:ascii="Arial" w:hAnsi="Arial"/>
          <w:i w:val="0"/>
          <w:color w:val="000000"/>
          <w:sz w:val="22"/>
          <w:sz w:val="22"/>
        </w:rPr>
        <w:t xml:space="preserve"> (pp. 1367–1371). International Speech Communication Association. </w:t>
      </w:r>
      <w:hyperlink r:id="rId68">
        <w:r>
          <w:rPr>
            <w:color w:val="000000"/>
            <w:sz w:val="22"/>
          </w:rPr>
          <w:t>https://doi.org/10.21437/Interspeech.2022-421</w:t>
        </w:r>
      </w:hyperlink>
    </w:p>
    <w:p>
      <w:pPr>
        <w:keepNext w:val="0"/>
        <w:keepLines/>
        <w:pageBreakBefore w:val="0"/>
        <w:spacing w:line="480" w:lineRule="auto" w:before="0" w:after="0"/>
        <w:ind w:left="720" w:hanging="720"/>
      </w:pPr>
      <w:r>
        <w:rPr>
          <w:rFonts w:ascii="Arial" w:hAnsi="Arial"/>
          <w:i w:val="0"/>
          <w:color w:val="000000"/>
          <w:sz w:val="22"/>
          <w:sz w:val="22"/>
        </w:rPr>
        <w:t xml:space="preserve">NestJS. (n.d.). </w:t>
      </w:r>
      <w:r>
        <w:rPr>
          <w:rFonts w:ascii="Arial" w:hAnsi="Arial"/>
          <w:i/>
          <w:color w:val="000000"/>
          <w:sz w:val="22"/>
          <w:sz w:val="22"/>
        </w:rPr>
        <w:t>First steps</w:t>
      </w:r>
      <w:r>
        <w:rPr>
          <w:rFonts w:ascii="Arial" w:hAnsi="Arial"/>
          <w:i w:val="0"/>
          <w:color w:val="000000"/>
          <w:sz w:val="22"/>
          <w:sz w:val="22"/>
        </w:rPr>
        <w:t xml:space="preserve">. </w:t>
      </w:r>
      <w:r>
        <w:rPr>
          <w:rFonts w:ascii="Arial" w:hAnsi="Arial"/>
          <w:i w:val="0"/>
          <w:color w:val="000000"/>
          <w:sz w:val="22"/>
          <w:sz w:val="22"/>
        </w:rPr>
        <w:t xml:space="preserve">Retrieved October 23, 2026, from </w:t>
      </w:r>
      <w:hyperlink r:id="rId31">
        <w:r>
          <w:rPr>
            <w:color w:val="000000"/>
            <w:sz w:val="22"/>
          </w:rPr>
          <w:t>https://docs.nestjs.com/first-steps</w:t>
        </w:r>
      </w:hyperlink>
    </w:p>
    <w:p>
      <w:pPr>
        <w:keepNext w:val="0"/>
        <w:keepLines/>
        <w:pageBreakBefore w:val="0"/>
        <w:spacing w:line="480" w:lineRule="auto" w:before="0" w:after="0"/>
        <w:ind w:left="720" w:hanging="720"/>
      </w:pPr>
      <w:r>
        <w:rPr>
          <w:rFonts w:ascii="Arial" w:hAnsi="Arial"/>
          <w:i w:val="0"/>
          <w:color w:val="000000"/>
          <w:sz w:val="22"/>
          <w:sz w:val="22"/>
        </w:rPr>
        <w:t xml:space="preserve">OpenAI. (n.d.). </w:t>
      </w:r>
      <w:r>
        <w:rPr>
          <w:rFonts w:ascii="Arial" w:hAnsi="Arial"/>
          <w:i/>
          <w:color w:val="000000"/>
          <w:sz w:val="22"/>
          <w:sz w:val="22"/>
        </w:rPr>
        <w:t>Whisper</w:t>
      </w:r>
      <w:r>
        <w:rPr>
          <w:rFonts w:ascii="Arial" w:hAnsi="Arial"/>
          <w:i w:val="0"/>
          <w:color w:val="000000"/>
          <w:sz w:val="22"/>
          <w:sz w:val="22"/>
        </w:rPr>
        <w:t xml:space="preserve"> [Computer software]</w:t>
      </w:r>
      <w:r>
        <w:rPr>
          <w:rFonts w:ascii="Arial" w:hAnsi="Arial"/>
          <w:i w:val="0"/>
          <w:color w:val="000000"/>
          <w:sz w:val="22"/>
          <w:sz w:val="22"/>
        </w:rPr>
        <w:t xml:space="preserve">. </w:t>
      </w:r>
      <w:r>
        <w:rPr>
          <w:rFonts w:ascii="Arial" w:hAnsi="Arial"/>
          <w:i w:val="0"/>
          <w:color w:val="000000"/>
          <w:sz w:val="22"/>
          <w:sz w:val="22"/>
        </w:rPr>
        <w:t xml:space="preserve">GitHub. </w:t>
      </w:r>
      <w:r>
        <w:rPr>
          <w:rFonts w:ascii="Arial" w:hAnsi="Arial"/>
          <w:i w:val="0"/>
          <w:color w:val="000000"/>
          <w:sz w:val="22"/>
          <w:sz w:val="22"/>
        </w:rPr>
        <w:t xml:space="preserve">Retrieved October 23, 2026, from </w:t>
      </w:r>
      <w:hyperlink r:id="rId36">
        <w:r>
          <w:rPr>
            <w:color w:val="000000"/>
            <w:sz w:val="22"/>
          </w:rPr>
          <w:t>https://github.com/openai/whisper</w:t>
        </w:r>
      </w:hyperlink>
    </w:p>
    <w:p>
      <w:pPr>
        <w:keepNext w:val="0"/>
        <w:keepLines/>
        <w:pageBreakBefore w:val="0"/>
        <w:spacing w:line="480" w:lineRule="auto" w:before="0" w:after="0"/>
        <w:ind w:left="720" w:hanging="720"/>
      </w:pPr>
      <w:r>
        <w:rPr>
          <w:rFonts w:ascii="Arial" w:hAnsi="Arial"/>
          <w:i w:val="0"/>
          <w:color w:val="000000"/>
          <w:sz w:val="22"/>
          <w:sz w:val="22"/>
        </w:rPr>
        <w:t xml:space="preserve">PostgreSQL Global Development Group. (n.d.-a). </w:t>
      </w:r>
      <w:r>
        <w:rPr>
          <w:rFonts w:ascii="Arial" w:hAnsi="Arial"/>
          <w:i/>
          <w:color w:val="000000"/>
          <w:sz w:val="22"/>
          <w:sz w:val="22"/>
        </w:rPr>
        <w:t>5.5. Constraints</w:t>
      </w:r>
      <w:r>
        <w:rPr>
          <w:rFonts w:ascii="Arial" w:hAnsi="Arial"/>
          <w:i w:val="0"/>
          <w:color w:val="000000"/>
          <w:sz w:val="22"/>
          <w:sz w:val="22"/>
        </w:rPr>
        <w:t xml:space="preserve">. </w:t>
      </w:r>
      <w:r>
        <w:rPr>
          <w:rFonts w:ascii="Arial" w:hAnsi="Arial"/>
          <w:i w:val="0"/>
          <w:color w:val="000000"/>
          <w:sz w:val="22"/>
          <w:sz w:val="22"/>
        </w:rPr>
        <w:t xml:space="preserve">Retrieved October 23, 2026, from </w:t>
      </w:r>
      <w:hyperlink r:id="rId32">
        <w:r>
          <w:rPr>
            <w:color w:val="000000"/>
            <w:sz w:val="22"/>
          </w:rPr>
          <w:t>https://www.postgresql.org/docs/current/ddl-constraints.html</w:t>
        </w:r>
      </w:hyperlink>
    </w:p>
    <w:p>
      <w:pPr>
        <w:keepNext w:val="0"/>
        <w:keepLines/>
        <w:pageBreakBefore w:val="0"/>
        <w:spacing w:line="480" w:lineRule="auto" w:before="0" w:after="0"/>
        <w:ind w:left="720" w:hanging="720"/>
      </w:pPr>
      <w:r>
        <w:rPr>
          <w:rFonts w:ascii="Arial" w:hAnsi="Arial"/>
          <w:i w:val="0"/>
          <w:color w:val="000000"/>
          <w:sz w:val="22"/>
          <w:sz w:val="22"/>
        </w:rPr>
        <w:t xml:space="preserve">PostgreSQL Global Development Group. (n.d.-b). </w:t>
      </w:r>
      <w:r>
        <w:rPr>
          <w:rFonts w:ascii="Arial" w:hAnsi="Arial"/>
          <w:i/>
          <w:color w:val="000000"/>
          <w:sz w:val="22"/>
          <w:sz w:val="22"/>
        </w:rPr>
        <w:t>8.14. JSON types</w:t>
      </w:r>
      <w:r>
        <w:rPr>
          <w:rFonts w:ascii="Arial" w:hAnsi="Arial"/>
          <w:i w:val="0"/>
          <w:color w:val="000000"/>
          <w:sz w:val="22"/>
          <w:sz w:val="22"/>
        </w:rPr>
        <w:t xml:space="preserve">. </w:t>
      </w:r>
      <w:r>
        <w:rPr>
          <w:rFonts w:ascii="Arial" w:hAnsi="Arial"/>
          <w:i w:val="0"/>
          <w:color w:val="000000"/>
          <w:sz w:val="22"/>
          <w:sz w:val="22"/>
        </w:rPr>
        <w:t xml:space="preserve">Retrieved October 23, 2026, from </w:t>
      </w:r>
      <w:hyperlink r:id="rId33">
        <w:r>
          <w:rPr>
            <w:color w:val="000000"/>
            <w:sz w:val="22"/>
          </w:rPr>
          <w:t>https://www.postgresql.org/docs/current/datatype-json.html</w:t>
        </w:r>
      </w:hyperlink>
    </w:p>
    <w:p>
      <w:pPr>
        <w:keepNext w:val="0"/>
        <w:keepLines/>
        <w:pageBreakBefore w:val="0"/>
        <w:spacing w:line="480" w:lineRule="auto" w:before="0" w:after="0"/>
        <w:ind w:left="720" w:hanging="720"/>
      </w:pPr>
      <w:r>
        <w:rPr>
          <w:rFonts w:ascii="Arial" w:hAnsi="Arial"/>
          <w:i w:val="0"/>
          <w:color w:val="000000"/>
          <w:sz w:val="22"/>
          <w:sz w:val="22"/>
        </w:rPr>
        <w:t xml:space="preserve">Radford, A., Kim, J. W., Xu, T., Brockman, G., McLeavey, C., &amp; Sutskever, I. (2023). Robust speech recognition via large-scale weak supervision. </w:t>
      </w:r>
      <w:r>
        <w:rPr>
          <w:rFonts w:ascii="Arial" w:hAnsi="Arial"/>
          <w:i w:val="0"/>
          <w:color w:val="000000"/>
          <w:sz w:val="22"/>
          <w:sz w:val="22"/>
        </w:rPr>
        <w:t xml:space="preserve">In A. Krause, E. Brunskill, K. Cho, B. Engelhardt, S. Sabato, &amp; J. Scarlett (Eds.), </w:t>
      </w:r>
      <w:r>
        <w:rPr>
          <w:rFonts w:ascii="Arial" w:hAnsi="Arial"/>
          <w:i/>
          <w:color w:val="000000"/>
          <w:sz w:val="22"/>
          <w:sz w:val="22"/>
        </w:rPr>
        <w:t>Proceedings of the 40th International Conference on Machine Learning</w:t>
      </w:r>
      <w:r>
        <w:rPr>
          <w:rFonts w:ascii="Arial" w:hAnsi="Arial"/>
          <w:i w:val="0"/>
          <w:color w:val="000000"/>
          <w:sz w:val="22"/>
          <w:sz w:val="22"/>
        </w:rPr>
        <w:t xml:space="preserve"> (Vol. 202, pp. 28492–28518). PMLR. </w:t>
      </w:r>
      <w:hyperlink r:id="rId45">
        <w:r>
          <w:rPr>
            <w:color w:val="000000"/>
            <w:sz w:val="22"/>
          </w:rPr>
          <w:t>https://proceedings.mlr.press/v202/radford23a.html</w:t>
        </w:r>
      </w:hyperlink>
    </w:p>
    <w:p>
      <w:pPr>
        <w:keepNext w:val="0"/>
        <w:keepLines/>
        <w:pageBreakBefore w:val="0"/>
        <w:spacing w:line="480" w:lineRule="auto" w:before="0" w:after="0"/>
        <w:ind w:left="720" w:hanging="720"/>
      </w:pPr>
      <w:r>
        <w:rPr>
          <w:color w:val="000000"/>
        </w:rPr>
        <w:t xml:space="preserve">Salesloft. (n.d.-a). </w:t>
      </w:r>
      <w:r>
        <w:rPr>
          <w:i/>
          <w:color w:val="000000"/>
        </w:rPr>
        <w:t>AI-powered conversational intelligence</w:t>
      </w:r>
      <w:r>
        <w:rPr>
          <w:color w:val="000000"/>
        </w:rPr>
        <w:t xml:space="preserve">. Retrieved October 23, 2026, from </w:t>
      </w:r>
      <w:hyperlink r:id="rId69">
        <w:r>
          <w:rPr>
            <w:color w:val="000000"/>
          </w:rPr>
          <w:t>https://www.salesloft.com/lp/conversational-intelligence</w:t>
        </w:r>
      </w:hyperlink>
    </w:p>
    <w:p>
      <w:pPr>
        <w:keepNext w:val="0"/>
        <w:keepLines/>
        <w:pageBreakBefore w:val="0"/>
        <w:spacing w:line="480" w:lineRule="auto" w:before="0" w:after="0"/>
        <w:ind w:left="720" w:hanging="720"/>
      </w:pPr>
      <w:r>
        <w:rPr>
          <w:color w:val="000000"/>
        </w:rPr>
        <w:t xml:space="preserve">Salesloft. (n.d.-b). </w:t>
      </w:r>
      <w:r>
        <w:rPr>
          <w:i/>
          <w:color w:val="000000"/>
        </w:rPr>
        <w:t>Conversation intelligence in Salesloft</w:t>
      </w:r>
      <w:r>
        <w:rPr>
          <w:color w:val="000000"/>
        </w:rPr>
        <w:t xml:space="preserve">. Retrieved October 23, 2026, from </w:t>
      </w:r>
      <w:hyperlink r:id="rId72">
        <w:r>
          <w:rPr>
            <w:color w:val="000000"/>
          </w:rPr>
          <w:t>https://help.salesloft.com/s/article/Conversation-Intelligence-in-Salesloft?language=en_US</w:t>
        </w:r>
      </w:hyperlink>
    </w:p>
    <w:p>
      <w:pPr>
        <w:keepNext w:val="0"/>
        <w:keepLines/>
        <w:pageBreakBefore w:val="0"/>
        <w:spacing w:line="480" w:lineRule="auto" w:before="0" w:after="0"/>
        <w:ind w:left="720" w:hanging="720"/>
      </w:pPr>
      <w:r>
        <w:rPr>
          <w:color w:val="000000"/>
        </w:rPr>
        <w:t xml:space="preserve">Salesloft. (2026a, July 14). </w:t>
      </w:r>
      <w:r>
        <w:rPr>
          <w:i/>
          <w:color w:val="000000"/>
        </w:rPr>
        <w:t>Clari + Salesloft defines the next era of AI conversation intelligence, turning buyer signals into revenue actions</w:t>
      </w:r>
      <w:r>
        <w:rPr>
          <w:color w:val="000000"/>
        </w:rPr>
        <w:t xml:space="preserve"> [Press release]. </w:t>
      </w:r>
      <w:hyperlink r:id="rId12">
        <w:r>
          <w:rPr>
            <w:color w:val="000000"/>
          </w:rPr>
          <w:t>https://www.salesloft.com/company/newsroom/salesloft-conversation-intelligence</w:t>
        </w:r>
      </w:hyperlink>
    </w:p>
    <w:p>
      <w:pPr>
        <w:keepNext w:val="0"/>
        <w:keepLines/>
        <w:pageBreakBefore w:val="0"/>
        <w:spacing w:line="480" w:lineRule="auto" w:before="0" w:after="0"/>
        <w:ind w:left="720" w:hanging="720"/>
      </w:pPr>
      <w:r>
        <w:rPr>
          <w:color w:val="000000"/>
        </w:rPr>
        <w:t xml:space="preserve">Salesloft. (2026b, September 29). </w:t>
      </w:r>
      <w:r>
        <w:rPr>
          <w:i/>
          <w:color w:val="000000"/>
        </w:rPr>
        <w:t>Conversation Intelligence: Call review page UI reference</w:t>
      </w:r>
      <w:r>
        <w:rPr>
          <w:color w:val="000000"/>
        </w:rPr>
        <w:t xml:space="preserve">. Retrieved October 23, 2026, from </w:t>
      </w:r>
      <w:hyperlink r:id="rId16">
        <w:r>
          <w:rPr>
            <w:color w:val="000000"/>
          </w:rPr>
          <w:t>https://help.salesloft.com/s/article/Conversation-Intelligence-Call-Review-Page-UI-Reference?language=en_US</w:t>
        </w:r>
      </w:hyperlink>
    </w:p>
    <w:p>
      <w:pPr>
        <w:keepNext w:val="0"/>
        <w:keepLines/>
        <w:pageBreakBefore w:val="0"/>
        <w:spacing w:line="480" w:lineRule="auto" w:before="0" w:after="0"/>
        <w:ind w:left="720" w:hanging="720"/>
      </w:pPr>
      <w:r>
        <w:rPr>
          <w:color w:val="000000"/>
        </w:rPr>
        <w:t xml:space="preserve">Salesloft. (2026c, April 14). </w:t>
      </w:r>
      <w:r>
        <w:rPr>
          <w:i/>
          <w:color w:val="000000"/>
        </w:rPr>
        <w:t>Conversations transcripts</w:t>
      </w:r>
      <w:r>
        <w:rPr>
          <w:color w:val="000000"/>
        </w:rPr>
        <w:t xml:space="preserve">. Retrieved October 23, 2026, from </w:t>
      </w:r>
      <w:hyperlink r:id="rId25">
        <w:r>
          <w:rPr>
            <w:color w:val="000000"/>
          </w:rPr>
          <w:t>https://help.salesloft.com/s/article/Conversations-Transcripts?language=en_US</w:t>
        </w:r>
      </w:hyperlink>
    </w:p>
    <w:p>
      <w:pPr>
        <w:keepNext w:val="0"/>
        <w:keepLines/>
        <w:pageBreakBefore w:val="0"/>
        <w:spacing w:line="480" w:lineRule="auto" w:before="0" w:after="0"/>
        <w:ind w:left="720" w:hanging="720"/>
      </w:pPr>
      <w:r>
        <w:rPr>
          <w:color w:val="000000"/>
        </w:rPr>
        <w:t xml:space="preserve">Salesloft. (2026d, September 30). </w:t>
      </w:r>
      <w:r>
        <w:rPr>
          <w:i/>
          <w:color w:val="000000"/>
        </w:rPr>
        <w:t>Integrate Salesforce with Conversation Intelligence</w:t>
      </w:r>
      <w:r>
        <w:rPr>
          <w:color w:val="000000"/>
        </w:rPr>
        <w:t xml:space="preserve">. Retrieved October 23, 2026, from </w:t>
      </w:r>
      <w:hyperlink r:id="rId19">
        <w:r>
          <w:rPr>
            <w:color w:val="000000"/>
          </w:rPr>
          <w:t>https://help.salesloft.com/s/article/Integrate-Salesforce-with-Conversation-Intelligence?language=en_US</w:t>
        </w:r>
      </w:hyperlink>
    </w:p>
    <w:p>
      <w:pPr>
        <w:keepNext w:val="0"/>
        <w:keepLines/>
        <w:pageBreakBefore w:val="0"/>
        <w:spacing w:line="480" w:lineRule="auto" w:before="0" w:after="0"/>
        <w:ind w:left="720" w:hanging="720"/>
      </w:pPr>
      <w:r>
        <w:rPr>
          <w:color w:val="000000"/>
        </w:rPr>
        <w:t xml:space="preserve">Salesloft. (2026e, October 1). </w:t>
      </w:r>
      <w:r>
        <w:rPr>
          <w:i/>
          <w:color w:val="000000"/>
        </w:rPr>
        <w:t>Set up topics and filters in Conversation Intelligence</w:t>
      </w:r>
      <w:r>
        <w:rPr>
          <w:color w:val="000000"/>
        </w:rPr>
        <w:t xml:space="preserve">. Retrieved October 23, 2026, from </w:t>
      </w:r>
      <w:hyperlink r:id="rId22">
        <w:r>
          <w:rPr>
            <w:color w:val="000000"/>
          </w:rPr>
          <w:t>https://help.salesloft.com/s/article/Set-Up-Topics-and-Filters-in-Conversation-Intelligence?language=en_US</w:t>
        </w:r>
      </w:hyperlink>
    </w:p>
    <w:p>
      <w:pPr>
        <w:keepNext w:val="0"/>
        <w:keepLines/>
        <w:pageBreakBefore w:val="0"/>
        <w:spacing w:line="480" w:lineRule="auto" w:before="0" w:after="0"/>
        <w:ind w:left="720" w:hanging="720"/>
      </w:pPr>
      <w:r>
        <w:rPr>
          <w:rFonts w:ascii="Arial" w:hAnsi="Arial"/>
          <w:i w:val="0"/>
          <w:color w:val="000000"/>
          <w:sz w:val="22"/>
          <w:sz w:val="22"/>
        </w:rPr>
        <w:t xml:space="preserve">Song, Y., Zhao, X., Jiang, D., Huang, X., Zhao, W., Xu, Q., Wong, R. C.-W., &amp; Yang, Q. (2021). SmartSales: An AI-powered telemarketing coaching system in FinTech. </w:t>
      </w:r>
      <w:r>
        <w:rPr>
          <w:rFonts w:ascii="Arial" w:hAnsi="Arial"/>
          <w:i w:val="0"/>
          <w:color w:val="000000"/>
          <w:sz w:val="22"/>
          <w:sz w:val="22"/>
        </w:rPr>
        <w:t xml:space="preserve">In </w:t>
      </w:r>
      <w:r>
        <w:rPr>
          <w:rFonts w:ascii="Arial" w:hAnsi="Arial"/>
          <w:i/>
          <w:color w:val="000000"/>
          <w:sz w:val="22"/>
          <w:sz w:val="22"/>
        </w:rPr>
        <w:t>Proceedings of the 29th ACM International Conference on Multimedia</w:t>
      </w:r>
      <w:r>
        <w:rPr>
          <w:rFonts w:ascii="Arial" w:hAnsi="Arial"/>
          <w:i w:val="0"/>
          <w:color w:val="000000"/>
          <w:sz w:val="22"/>
          <w:sz w:val="22"/>
        </w:rPr>
        <w:t xml:space="preserve"> (pp. 2774–2776). Association for Computing Machinery. </w:t>
      </w:r>
      <w:hyperlink r:id="rId59">
        <w:r>
          <w:rPr>
            <w:color w:val="000000"/>
            <w:sz w:val="22"/>
          </w:rPr>
          <w:t>https://doi.org/10.1145/3474085.3478555</w:t>
        </w:r>
      </w:hyperlink>
    </w:p>
    <w:p>
      <w:pPr>
        <w:keepNext w:val="0"/>
        <w:keepLines/>
        <w:pageBreakBefore w:val="0"/>
        <w:spacing w:line="480" w:lineRule="auto" w:before="0" w:after="0"/>
        <w:ind w:left="720" w:hanging="720"/>
      </w:pPr>
      <w:r>
        <w:rPr>
          <w:rFonts w:ascii="Arial" w:hAnsi="Arial"/>
          <w:i w:val="0"/>
          <w:color w:val="000000"/>
          <w:sz w:val="22"/>
          <w:sz w:val="22"/>
        </w:rPr>
        <w:t xml:space="preserve">SQLite. (n.d.). </w:t>
      </w:r>
      <w:r>
        <w:rPr>
          <w:rFonts w:ascii="Arial" w:hAnsi="Arial"/>
          <w:i/>
          <w:color w:val="000000"/>
          <w:sz w:val="22"/>
          <w:sz w:val="22"/>
        </w:rPr>
        <w:t>Appropriate uses for SQLite</w:t>
      </w:r>
      <w:r>
        <w:rPr>
          <w:rFonts w:ascii="Arial" w:hAnsi="Arial"/>
          <w:i w:val="0"/>
          <w:color w:val="000000"/>
          <w:sz w:val="22"/>
          <w:sz w:val="22"/>
        </w:rPr>
        <w:t xml:space="preserve">. </w:t>
      </w:r>
      <w:r>
        <w:rPr>
          <w:rFonts w:ascii="Arial" w:hAnsi="Arial"/>
          <w:i w:val="0"/>
          <w:color w:val="000000"/>
          <w:sz w:val="22"/>
          <w:sz w:val="22"/>
        </w:rPr>
        <w:t xml:space="preserve">Retrieved October 23, 2026, from </w:t>
      </w:r>
      <w:hyperlink r:id="rId34">
        <w:r>
          <w:rPr>
            <w:color w:val="000000"/>
            <w:sz w:val="22"/>
          </w:rPr>
          <w:t>https://www.sqlite.org/whentouse.html</w:t>
        </w:r>
      </w:hyperlink>
    </w:p>
    <w:p>
      <w:pPr>
        <w:keepNext w:val="0"/>
        <w:keepLines/>
        <w:pageBreakBefore w:val="0"/>
        <w:spacing w:line="480" w:lineRule="auto" w:before="0" w:after="0"/>
        <w:ind w:left="720" w:hanging="720"/>
      </w:pPr>
      <w:r>
        <w:rPr>
          <w:rFonts w:ascii="Arial" w:hAnsi="Arial"/>
          <w:i w:val="0"/>
          <w:color w:val="000000"/>
          <w:sz w:val="22"/>
          <w:sz w:val="22"/>
        </w:rPr>
        <w:t xml:space="preserve">Stock, J., Klakow, D., &amp; Petukhova, V. (2024). Annotating customer-oriented behaviour in call centre sales dialogues. </w:t>
      </w:r>
      <w:r>
        <w:rPr>
          <w:rFonts w:ascii="Arial" w:hAnsi="Arial"/>
          <w:i w:val="0"/>
          <w:color w:val="000000"/>
          <w:sz w:val="22"/>
          <w:sz w:val="22"/>
        </w:rPr>
        <w:t xml:space="preserve">In N. Calzolari, M.-Y. Kan, V. Hoste, A. Lenci, S. Sakti, &amp; N. Xue (Eds.), </w:t>
      </w:r>
      <w:r>
        <w:rPr>
          <w:rFonts w:ascii="Arial" w:hAnsi="Arial"/>
          <w:i/>
          <w:color w:val="000000"/>
          <w:sz w:val="22"/>
          <w:sz w:val="22"/>
        </w:rPr>
        <w:t>Proceedings of the 2024 Joint International Conference on Computational Linguistics, Language Resources and Evaluation (LREC-COLING 2024)</w:t>
      </w:r>
      <w:r>
        <w:rPr>
          <w:rFonts w:ascii="Arial" w:hAnsi="Arial"/>
          <w:i w:val="0"/>
          <w:color w:val="000000"/>
          <w:sz w:val="22"/>
          <w:sz w:val="22"/>
        </w:rPr>
        <w:t xml:space="preserve"> (pp. 1197–1208). ELRA and ICCL. </w:t>
      </w:r>
      <w:hyperlink r:id="rId54">
        <w:r>
          <w:rPr>
            <w:color w:val="000000"/>
            <w:sz w:val="22"/>
          </w:rPr>
          <w:t>https://aclanthology.org/2024.lrec-main.107/</w:t>
        </w:r>
      </w:hyperlink>
    </w:p>
    <w:p>
      <w:pPr>
        <w:keepNext w:val="0"/>
        <w:keepLines/>
        <w:pageBreakBefore w:val="0"/>
        <w:spacing w:line="480" w:lineRule="auto" w:before="0" w:after="0"/>
        <w:ind w:left="720" w:hanging="720"/>
      </w:pPr>
      <w:r>
        <w:rPr>
          <w:rFonts w:ascii="Arial" w:hAnsi="Arial"/>
          <w:i w:val="0"/>
          <w:color w:val="000000"/>
          <w:sz w:val="22"/>
          <w:sz w:val="22"/>
        </w:rPr>
        <w:t xml:space="preserve">Tang, X., Nair, A., Wang, B., Wang, B., Desai, J., Wade, A., Li, H., Celikyilmaz, A., Mehdad, Y., &amp; Radev, D. (2022). CONFIT: Toward faithful dialogue summarization with linguistically-informed contrastive fine-tuning. </w:t>
      </w:r>
      <w:r>
        <w:rPr>
          <w:rFonts w:ascii="Arial" w:hAnsi="Arial"/>
          <w:i w:val="0"/>
          <w:color w:val="000000"/>
          <w:sz w:val="22"/>
          <w:sz w:val="22"/>
        </w:rPr>
        <w:t xml:space="preserve">In M. Carpuat, M.-C. de Marneffe, &amp; I. V. Meza Ruiz (Eds.), </w:t>
      </w:r>
      <w:r>
        <w:rPr>
          <w:rFonts w:ascii="Arial" w:hAnsi="Arial"/>
          <w:i/>
          <w:color w:val="000000"/>
          <w:sz w:val="22"/>
          <w:sz w:val="22"/>
        </w:rPr>
        <w:t>Proceedings of the 2022 Conference of the North American Chapter of the Association for Computational Linguistics: Human Language Technologies</w:t>
      </w:r>
      <w:r>
        <w:rPr>
          <w:rFonts w:ascii="Arial" w:hAnsi="Arial"/>
          <w:i w:val="0"/>
          <w:color w:val="000000"/>
          <w:sz w:val="22"/>
          <w:sz w:val="22"/>
        </w:rPr>
        <w:t xml:space="preserve"> (pp. 5657–5668). Association for Computational Linguistics. </w:t>
      </w:r>
      <w:hyperlink r:id="rId70">
        <w:r>
          <w:rPr>
            <w:color w:val="000000"/>
            <w:sz w:val="22"/>
          </w:rPr>
          <w:t>https://doi.org/10.18653/v1/2022.naacl-main.415</w:t>
        </w:r>
      </w:hyperlink>
    </w:p>
    <w:p>
      <w:pPr>
        <w:keepNext w:val="0"/>
        <w:keepLines/>
        <w:pageBreakBefore w:val="0"/>
        <w:spacing w:line="480" w:lineRule="auto" w:before="0" w:after="0"/>
        <w:ind w:left="720" w:hanging="720"/>
      </w:pPr>
      <w:r>
        <w:rPr>
          <w:rFonts w:ascii="Arial" w:hAnsi="Arial"/>
          <w:i w:val="0"/>
          <w:color w:val="000000"/>
          <w:sz w:val="22"/>
          <w:sz w:val="22"/>
        </w:rPr>
        <w:t xml:space="preserve">Vieira, V. A., Silva, J. D. da, Faia, V. da S., &amp; Gabler, C. (2024). Drivers of industrial sales performance in the agent-buyer chat channel: The role of social and functional content, message valence, and synchronicity. </w:t>
      </w:r>
      <w:r>
        <w:rPr>
          <w:rFonts w:ascii="Arial" w:hAnsi="Arial"/>
          <w:i/>
          <w:color w:val="000000"/>
          <w:sz w:val="22"/>
          <w:sz w:val="22"/>
        </w:rPr>
        <w:t>Journal of Retailing and Consumer Services, 78</w:t>
      </w:r>
      <w:r>
        <w:rPr>
          <w:rFonts w:ascii="Arial" w:hAnsi="Arial"/>
          <w:i w:val="0"/>
          <w:color w:val="000000"/>
          <w:sz w:val="22"/>
          <w:sz w:val="22"/>
        </w:rPr>
        <w:t xml:space="preserve">, Article 103774. </w:t>
      </w:r>
      <w:hyperlink r:id="rId57">
        <w:r>
          <w:rPr>
            <w:color w:val="000000"/>
            <w:sz w:val="22"/>
          </w:rPr>
          <w:t>https://doi.org/10.1016/j.jretconser.2024.103774</w:t>
        </w:r>
      </w:hyperlink>
    </w:p>
    <w:p>
      <w:pPr>
        <w:keepNext w:val="0"/>
        <w:keepLines/>
        <w:pageBreakBefore w:val="0"/>
        <w:spacing w:line="480" w:lineRule="auto" w:before="0" w:after="0"/>
        <w:ind w:left="720" w:hanging="720"/>
      </w:pPr>
      <w:r>
        <w:rPr>
          <w:rFonts w:ascii="Arial" w:hAnsi="Arial"/>
          <w:i w:val="0"/>
          <w:color w:val="000000"/>
          <w:sz w:val="22"/>
          <w:sz w:val="22"/>
        </w:rPr>
        <w:t xml:space="preserve">Zhong, M., Yin, D., Yu, T., Zaidi, A., Mutuma, M., Jha, R., Awadallah, A. H., Celikyilmaz, A., Liu, Y., Qiu, X., &amp; Radev, D. (2021). QMSum: A new benchmark for query-based multi-domain meeting summarization. </w:t>
      </w:r>
      <w:r>
        <w:rPr>
          <w:rFonts w:ascii="Arial" w:hAnsi="Arial"/>
          <w:i w:val="0"/>
          <w:color w:val="000000"/>
          <w:sz w:val="22"/>
          <w:sz w:val="22"/>
        </w:rPr>
        <w:t xml:space="preserve">In K. Toutanova, A. Rumshisky, L. Zettlemoyer, D. Hakkani-Tur, I. Beltagy, S. Bethard, R. Cotterell, T. Chakraborty, &amp; Y. Zhou (Eds.), </w:t>
      </w:r>
      <w:r>
        <w:rPr>
          <w:rFonts w:ascii="Arial" w:hAnsi="Arial"/>
          <w:i/>
          <w:color w:val="000000"/>
          <w:sz w:val="22"/>
          <w:sz w:val="22"/>
        </w:rPr>
        <w:t>Proceedings of the 2021 Conference of the North American Chapter of the Association for Computational Linguistics: Human Language Technologies</w:t>
      </w:r>
      <w:r>
        <w:rPr>
          <w:rFonts w:ascii="Arial" w:hAnsi="Arial"/>
          <w:i w:val="0"/>
          <w:color w:val="000000"/>
          <w:sz w:val="22"/>
          <w:sz w:val="22"/>
        </w:rPr>
        <w:t xml:space="preserve"> (pp. 5905–5921). Association for Computational Linguistics. </w:t>
      </w:r>
      <w:hyperlink r:id="rId71">
        <w:r>
          <w:rPr>
            <w:color w:val="000000"/>
            <w:sz w:val="22"/>
          </w:rPr>
          <w:t>https://doi.org/10.18653/v1/2021.naacl-main.472</w:t>
        </w:r>
      </w:hyperlink>
    </w:p>
    <w:sectPr w:rsidR="00FC693F" w:rsidRPr="0006063C" w:rsidSect="00034616">
      <w:pgSz w:w="11909" w:h="16834"/>
      <w:pgMar w:top="1008" w:right="1008" w:bottom="1008" w:left="1008" w:header="432" w:footer="432" w:gutter="0"/>
      <w:cols w:space="24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color w:val="000000"/>
      </w:rPr>
      <w:t xml:space="preserve">23 October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color w:val="000000"/>
        <w:sz w:val="16"/>
      </w:rPr>
      <w:t>Sales analytics research and design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rPr>
      <w:color w:val="000000"/>
    </w:rPr>
  </w:style>
  <w:style w:type="character" w:customStyle="1" w:styleId="HeaderChar">
    <w:name w:val="Header Char"/>
    <w:basedOn w:val="DefaultParagraphFont"/>
    <w:link w:val="Header"/>
    <w:uiPriority w:val="99"/>
    <w:rsid w:val="00E618BF"/>
    <w:rPr>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rPr>
      <w:color w:val="000000"/>
    </w:rPr>
  </w:style>
  <w:style w:type="character" w:customStyle="1" w:styleId="FooterChar">
    <w:name w:val="Footer Char"/>
    <w:basedOn w:val="DefaultParagraphFont"/>
    <w:link w:val="Footer"/>
    <w:uiPriority w:val="99"/>
    <w:rsid w:val="00E618BF"/>
    <w:rPr>
      <w:color w:val="000000"/>
    </w:rPr>
  </w:style>
  <w:style w:type="paragraph" w:styleId="Heading1">
    <w:name w:val="heading 1"/>
    <w:basedOn w:val="Normal"/>
    <w:next w:val="Normal"/>
    <w:link w:val="Heading1Char"/>
    <w:uiPriority w:val="9"/>
    <w:qFormat/>
    <w:rsid w:val="00FC693F"/>
    <w:pPr>
      <w:keepNext/>
      <w:keepLines/>
      <w:spacing w:before="180" w:after="20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60" w:after="12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rPr>
      <w:color w:val="000000"/>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spacing w:after="280" w:line="240" w:lineRule="auto"/>
      <w:contextualSpacing/>
    </w:pPr>
    <w:rPr>
      <w:rFonts w:asciiTheme="majorHAnsi" w:eastAsiaTheme="majorEastAsia" w:hAnsiTheme="majorHAnsi" w:cstheme="majorBidi" w:ascii="Arial" w:hAnsi="Arial"/>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rPr>
      <w:color w:val="000000"/>
    </w:rPr>
  </w:style>
  <w:style w:type="paragraph" w:styleId="BodyText">
    <w:name w:val="Body Text"/>
    <w:basedOn w:val="Normal"/>
    <w:link w:val="BodyTextChar"/>
    <w:uiPriority w:val="99"/>
    <w:unhideWhenUsed/>
    <w:rsid w:val="00AA1D8D"/>
    <w:pPr>
      <w:spacing w:after="120"/>
    </w:pPr>
    <w:rPr>
      <w:color w:val="000000"/>
    </w:rPr>
  </w:style>
  <w:style w:type="character" w:customStyle="1" w:styleId="BodyTextChar">
    <w:name w:val="Body Text Char"/>
    <w:basedOn w:val="DefaultParagraphFont"/>
    <w:link w:val="BodyText"/>
    <w:uiPriority w:val="99"/>
    <w:rsid w:val="00AA1D8D"/>
    <w:rPr>
      <w:color w:val="000000"/>
    </w:rPr>
  </w:style>
  <w:style w:type="paragraph" w:styleId="BodyText2">
    <w:name w:val="Body Text 2"/>
    <w:basedOn w:val="Normal"/>
    <w:link w:val="BodyText2Char"/>
    <w:uiPriority w:val="99"/>
    <w:unhideWhenUsed/>
    <w:rsid w:val="00AA1D8D"/>
    <w:pPr>
      <w:spacing w:after="120" w:line="480" w:lineRule="auto"/>
    </w:pPr>
    <w:rPr>
      <w:color w:val="000000"/>
    </w:rPr>
  </w:style>
  <w:style w:type="character" w:customStyle="1" w:styleId="BodyText2Char">
    <w:name w:val="Body Text 2 Char"/>
    <w:basedOn w:val="DefaultParagraphFont"/>
    <w:link w:val="BodyText2"/>
    <w:uiPriority w:val="99"/>
    <w:rsid w:val="00AA1D8D"/>
    <w:rPr>
      <w:color w:val="000000"/>
    </w:rPr>
  </w:style>
  <w:style w:type="paragraph" w:styleId="BodyText3">
    <w:name w:val="Body Text 3"/>
    <w:basedOn w:val="Normal"/>
    <w:link w:val="BodyText3Char"/>
    <w:uiPriority w:val="99"/>
    <w:unhideWhenUsed/>
    <w:rsid w:val="00AA1D8D"/>
    <w:pPr>
      <w:spacing w:after="120"/>
    </w:pPr>
    <w:rPr>
      <w:color w:val="000000"/>
      <w:sz w:val="16"/>
      <w:szCs w:val="16"/>
    </w:rPr>
  </w:style>
  <w:style w:type="character" w:customStyle="1" w:styleId="BodyText3Char">
    <w:name w:val="Body Text 3 Char"/>
    <w:basedOn w:val="DefaultParagraphFont"/>
    <w:link w:val="BodyText3"/>
    <w:uiPriority w:val="99"/>
    <w:rsid w:val="00AA1D8D"/>
    <w:rPr>
      <w:color w:val="000000"/>
      <w:sz w:val="16"/>
      <w:szCs w:val="16"/>
    </w:rPr>
  </w:style>
  <w:style w:type="paragraph" w:styleId="List">
    <w:name w:val="List"/>
    <w:basedOn w:val="Normal"/>
    <w:uiPriority w:val="99"/>
    <w:unhideWhenUsed/>
    <w:rsid w:val="00AA1D8D"/>
    <w:pPr>
      <w:ind w:left="360" w:hanging="360"/>
      <w:contextualSpacing/>
    </w:pPr>
    <w:rPr>
      <w:color w:val="000000"/>
    </w:rPr>
  </w:style>
  <w:style w:type="paragraph" w:styleId="List2">
    <w:name w:val="List 2"/>
    <w:basedOn w:val="Normal"/>
    <w:uiPriority w:val="99"/>
    <w:unhideWhenUsed/>
    <w:rsid w:val="00326F90"/>
    <w:pPr>
      <w:ind w:left="720" w:hanging="360"/>
      <w:contextualSpacing/>
    </w:pPr>
    <w:rPr>
      <w:color w:val="000000"/>
    </w:rPr>
  </w:style>
  <w:style w:type="paragraph" w:styleId="List3">
    <w:name w:val="List 3"/>
    <w:basedOn w:val="Normal"/>
    <w:uiPriority w:val="99"/>
    <w:unhideWhenUsed/>
    <w:rsid w:val="00326F90"/>
    <w:pPr>
      <w:ind w:left="1080" w:hanging="360"/>
      <w:contextualSpacing/>
    </w:pPr>
    <w:rPr>
      <w:color w:val="000000"/>
    </w:rPr>
  </w:style>
  <w:style w:type="paragraph" w:styleId="ListBullet">
    <w:name w:val="List Bullet"/>
    <w:basedOn w:val="Normal"/>
    <w:uiPriority w:val="99"/>
    <w:unhideWhenUsed/>
    <w:rsid w:val="00326F90"/>
    <w:pPr>
      <w:numPr>
        <w:numId w:val="1"/>
      </w:numPr>
      <w:contextualSpacing/>
    </w:pPr>
    <w:rPr>
      <w:color w:val="000000"/>
    </w:rPr>
  </w:style>
  <w:style w:type="paragraph" w:styleId="ListBullet2">
    <w:name w:val="List Bullet 2"/>
    <w:basedOn w:val="Normal"/>
    <w:uiPriority w:val="99"/>
    <w:unhideWhenUsed/>
    <w:rsid w:val="00326F90"/>
    <w:pPr>
      <w:numPr>
        <w:numId w:val="2"/>
      </w:numPr>
      <w:contextualSpacing/>
    </w:pPr>
    <w:rPr>
      <w:color w:val="000000"/>
    </w:rPr>
  </w:style>
  <w:style w:type="paragraph" w:styleId="ListBullet3">
    <w:name w:val="List Bullet 3"/>
    <w:basedOn w:val="Normal"/>
    <w:uiPriority w:val="99"/>
    <w:unhideWhenUsed/>
    <w:rsid w:val="00326F90"/>
    <w:pPr>
      <w:numPr>
        <w:numId w:val="3"/>
      </w:numPr>
      <w:contextualSpacing/>
    </w:pPr>
    <w:rPr>
      <w:color w:val="000000"/>
    </w:rPr>
  </w:style>
  <w:style w:type="paragraph" w:styleId="ListNumber">
    <w:name w:val="List Number"/>
    <w:basedOn w:val="Normal"/>
    <w:uiPriority w:val="99"/>
    <w:unhideWhenUsed/>
    <w:rsid w:val="00326F90"/>
    <w:pPr>
      <w:numPr>
        <w:numId w:val="5"/>
      </w:numPr>
      <w:contextualSpacing/>
    </w:pPr>
    <w:rPr>
      <w:color w:val="000000"/>
    </w:rPr>
  </w:style>
  <w:style w:type="paragraph" w:styleId="ListNumber2">
    <w:name w:val="List Number 2"/>
    <w:basedOn w:val="Normal"/>
    <w:uiPriority w:val="99"/>
    <w:unhideWhenUsed/>
    <w:rsid w:val="0029639D"/>
    <w:pPr>
      <w:numPr>
        <w:numId w:val="6"/>
      </w:numPr>
      <w:contextualSpacing/>
    </w:pPr>
    <w:rPr>
      <w:color w:val="000000"/>
    </w:rPr>
  </w:style>
  <w:style w:type="paragraph" w:styleId="ListNumber3">
    <w:name w:val="List Number 3"/>
    <w:basedOn w:val="Normal"/>
    <w:uiPriority w:val="99"/>
    <w:unhideWhenUsed/>
    <w:rsid w:val="0029639D"/>
    <w:pPr>
      <w:numPr>
        <w:numId w:val="7"/>
      </w:numPr>
      <w:contextualSpacing/>
    </w:pPr>
    <w:rPr>
      <w:color w:val="000000"/>
    </w:rPr>
  </w:style>
  <w:style w:type="paragraph" w:styleId="ListContinue">
    <w:name w:val="List Continue"/>
    <w:basedOn w:val="Normal"/>
    <w:uiPriority w:val="99"/>
    <w:unhideWhenUsed/>
    <w:rsid w:val="0029639D"/>
    <w:pPr>
      <w:spacing w:after="120"/>
      <w:ind w:left="360"/>
      <w:contextualSpacing/>
    </w:pPr>
    <w:rPr>
      <w:color w:val="000000"/>
    </w:rPr>
  </w:style>
  <w:style w:type="paragraph" w:styleId="ListContinue2">
    <w:name w:val="List Continue 2"/>
    <w:basedOn w:val="Normal"/>
    <w:uiPriority w:val="99"/>
    <w:unhideWhenUsed/>
    <w:rsid w:val="0029639D"/>
    <w:pPr>
      <w:spacing w:after="120"/>
      <w:ind w:left="720"/>
      <w:contextualSpacing/>
    </w:pPr>
    <w:rPr>
      <w:color w:val="000000"/>
    </w:rPr>
  </w:style>
  <w:style w:type="paragraph" w:styleId="ListContinue3">
    <w:name w:val="List Continue 3"/>
    <w:basedOn w:val="Normal"/>
    <w:uiPriority w:val="99"/>
    <w:unhideWhenUsed/>
    <w:rsid w:val="0029639D"/>
    <w:pPr>
      <w:spacing w:after="120"/>
      <w:ind w:left="1080"/>
      <w:contextualSpacing/>
    </w:pPr>
    <w:rPr>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color w:val="000000"/>
      <w:sz w:val="20"/>
      <w:szCs w:val="20"/>
    </w:rPr>
  </w:style>
  <w:style w:type="character" w:customStyle="1" w:styleId="MacroTextChar">
    <w:name w:val="Macro Text Char"/>
    <w:basedOn w:val="DefaultParagraphFont"/>
    <w:link w:val="MacroText"/>
    <w:uiPriority w:val="99"/>
    <w:rsid w:val="0029639D"/>
    <w:rPr>
      <w:rFonts w:ascii="Courier" w:hAnsi="Courier"/>
      <w:color w:val="000000"/>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after="120"/>
    </w:pPr>
    <w:rPr>
      <w:rFonts w:ascii="Arial" w:hAnsi="Arial"/>
      <w:b/>
      <w:bCs/>
      <w:i/>
      <w:color w:val="000000"/>
      <w:sz w:val="18"/>
      <w:szCs w:val="18"/>
    </w:rPr>
  </w:style>
  <w:style w:type="character" w:styleId="Strong">
    <w:name w:val="Strong"/>
    <w:basedOn w:val="DefaultParagraphFont"/>
    <w:uiPriority w:val="22"/>
    <w:qFormat/>
    <w:rsid w:val="00FC693F"/>
    <w:rPr>
      <w:b/>
      <w:bCs/>
      <w:color w:val="000000"/>
    </w:rPr>
  </w:style>
  <w:style w:type="character" w:styleId="Emphasis">
    <w:name w:val="Emphasis"/>
    <w:basedOn w:val="DefaultParagraphFont"/>
    <w:uiPriority w:val="20"/>
    <w:qFormat/>
    <w:rsid w:val="00FC693F"/>
    <w:rPr>
      <w:i/>
      <w:iCs/>
      <w:color w:val="000000"/>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color w:val="000000"/>
      <w:spacing w:val="5"/>
    </w:rPr>
  </w:style>
  <w:style w:type="paragraph" w:styleId="TOCHeading">
    <w:name w:val="TOC Heading"/>
    <w:basedOn w:val="Heading1"/>
    <w:next w:val="Normal"/>
    <w:uiPriority w:val="39"/>
    <w:semiHidden/>
    <w:unhideWhenUsed/>
    <w:qFormat/>
    <w:rsid w:val="00FC693F"/>
    <w:pPr>
      <w:outlineLvl w:val="9"/>
    </w:pPr>
    <w:rPr>
      <w:color w:val="000000"/>
    </w:rPr>
  </w:style>
  <w:style w:type="table" w:styleId="TableGrid">
    <w:name w:val="Table Grid"/>
    <w:basedOn w:val="TableNormal"/>
    <w:uiPriority w:val="59"/>
    <w:rsid w:val="00FC693F"/>
    <w:pPr>
      <w:spacing w:after="0" w:line="240" w:lineRule="auto"/>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000000" w:fill="FFFFFF"/>
      </w:tcPr>
    </w:tblStylePr>
    <w:tblStylePr w:type="band1Horz">
      <w:tblPr/>
      <w:tcPr>
        <w:tcBorders>
          <w:left w:val="nil"/>
          <w:right w:val="nil"/>
          <w:insideH w:val="nil"/>
          <w:insideV w:val="nil"/>
        </w:tcBorders>
        <w:shd w:val="clear" w:color="000000" w:fill="FFFFF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000000" w:fill="FFFFFF"/>
      </w:tcPr>
    </w:tblStylePr>
    <w:tblStylePr w:type="band1Horz">
      <w:tblPr/>
      <w:tcPr>
        <w:tcBorders>
          <w:left w:val="nil"/>
          <w:right w:val="nil"/>
          <w:insideH w:val="nil"/>
          <w:insideV w:val="nil"/>
        </w:tcBorders>
        <w:shd w:val="clear" w:color="000000" w:fill="FFFFF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000000" w:fill="FFFFFF"/>
      </w:tcPr>
    </w:tblStylePr>
    <w:tblStylePr w:type="band1Horz">
      <w:tblPr/>
      <w:tcPr>
        <w:tcBorders>
          <w:left w:val="nil"/>
          <w:right w:val="nil"/>
          <w:insideH w:val="nil"/>
          <w:insideV w:val="nil"/>
        </w:tcBorders>
        <w:shd w:val="clear" w:color="000000" w:fill="FFFFF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000000" w:fill="FFFFFF"/>
      </w:tcPr>
    </w:tblStylePr>
    <w:tblStylePr w:type="band1Horz">
      <w:tblPr/>
      <w:tcPr>
        <w:tcBorders>
          <w:left w:val="nil"/>
          <w:right w:val="nil"/>
          <w:insideH w:val="nil"/>
          <w:insideV w:val="nil"/>
        </w:tcBorders>
        <w:shd w:val="clear" w:color="000000" w:fill="FFFFF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000000" w:fill="FFFFFF"/>
      </w:tcPr>
    </w:tblStylePr>
    <w:tblStylePr w:type="band1Horz">
      <w:tblPr/>
      <w:tcPr>
        <w:tcBorders>
          <w:left w:val="nil"/>
          <w:right w:val="nil"/>
          <w:insideH w:val="nil"/>
          <w:insideV w:val="nil"/>
        </w:tcBorders>
        <w:shd w:val="clear" w:color="000000" w:fill="FFFFF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000000" w:fill="FFFFFF"/>
      </w:tcPr>
    </w:tblStylePr>
    <w:tblStylePr w:type="band1Horz">
      <w:tblPr/>
      <w:tcPr>
        <w:tcBorders>
          <w:left w:val="nil"/>
          <w:right w:val="nil"/>
          <w:insideH w:val="nil"/>
          <w:insideV w:val="nil"/>
        </w:tcBorders>
        <w:shd w:val="clear" w:color="000000" w:fill="FFFFF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000000" w:fill="FFFFFF"/>
      </w:tcPr>
    </w:tblStylePr>
    <w:tblStylePr w:type="band1Horz">
      <w:tblPr/>
      <w:tcPr>
        <w:tcBorders>
          <w:left w:val="nil"/>
          <w:right w:val="nil"/>
          <w:insideH w:val="nil"/>
          <w:insideV w:val="nil"/>
        </w:tcBorders>
        <w:shd w:val="clear" w:color="000000" w:fill="FFFFF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000000"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000000"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000000"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000000"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000000"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000000"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000000"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000000"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000000"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000000"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000000"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000000"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000000"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000000"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000000"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000000"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000000"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000000"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000000"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000000"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000000"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000000"/>
          <w:left w:val="single" w:sz="8" w:space="0" w:color="000000"/>
          <w:bottom w:val="single" w:sz="8" w:space="0" w:color="000000"/>
          <w:right w:val="single" w:sz="8" w:space="0" w:color="000000"/>
          <w:insideH w:val="nil"/>
          <w:insideV w:val="nil"/>
        </w:tcBorders>
        <w:shd w:val="clear" w:color="000000"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000000" w:fill="FFFFFF"/>
      </w:tcPr>
    </w:tblStylePr>
    <w:tblStylePr w:type="band1Horz">
      <w:tblPr/>
      <w:tcPr>
        <w:tcBorders>
          <w:insideH w:val="nil"/>
          <w:insideV w:val="nil"/>
        </w:tcBorders>
        <w:shd w:val="clear" w:color="000000" w:fill="FFFFF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000000"/>
          <w:left w:val="single" w:sz="8" w:space="0" w:color="000000"/>
          <w:bottom w:val="single" w:sz="8" w:space="0" w:color="000000"/>
          <w:right w:val="single" w:sz="8" w:space="0" w:color="000000"/>
          <w:insideH w:val="nil"/>
          <w:insideV w:val="nil"/>
        </w:tcBorders>
        <w:shd w:val="clear" w:color="000000"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000000" w:fill="FFFFFF"/>
      </w:tcPr>
    </w:tblStylePr>
    <w:tblStylePr w:type="band1Horz">
      <w:tblPr/>
      <w:tcPr>
        <w:tcBorders>
          <w:insideH w:val="nil"/>
          <w:insideV w:val="nil"/>
        </w:tcBorders>
        <w:shd w:val="clear" w:color="000000" w:fill="FFFFF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000000"/>
          <w:left w:val="single" w:sz="8" w:space="0" w:color="000000"/>
          <w:bottom w:val="single" w:sz="8" w:space="0" w:color="000000"/>
          <w:right w:val="single" w:sz="8" w:space="0" w:color="000000"/>
          <w:insideH w:val="nil"/>
          <w:insideV w:val="nil"/>
        </w:tcBorders>
        <w:shd w:val="clear" w:color="000000"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000000" w:fill="FFFFFF"/>
      </w:tcPr>
    </w:tblStylePr>
    <w:tblStylePr w:type="band1Horz">
      <w:tblPr/>
      <w:tcPr>
        <w:tcBorders>
          <w:insideH w:val="nil"/>
          <w:insideV w:val="nil"/>
        </w:tcBorders>
        <w:shd w:val="clear" w:color="000000" w:fill="FFFFF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000000"/>
          <w:left w:val="single" w:sz="8" w:space="0" w:color="000000"/>
          <w:bottom w:val="single" w:sz="8" w:space="0" w:color="000000"/>
          <w:right w:val="single" w:sz="8" w:space="0" w:color="000000"/>
          <w:insideH w:val="nil"/>
          <w:insideV w:val="nil"/>
        </w:tcBorders>
        <w:shd w:val="clear" w:color="000000"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000000" w:fill="FFFFFF"/>
      </w:tcPr>
    </w:tblStylePr>
    <w:tblStylePr w:type="band1Horz">
      <w:tblPr/>
      <w:tcPr>
        <w:tcBorders>
          <w:insideH w:val="nil"/>
          <w:insideV w:val="nil"/>
        </w:tcBorders>
        <w:shd w:val="clear" w:color="000000" w:fill="FFFFF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000000"/>
          <w:left w:val="single" w:sz="8" w:space="0" w:color="000000"/>
          <w:bottom w:val="single" w:sz="8" w:space="0" w:color="000000"/>
          <w:right w:val="single" w:sz="8" w:space="0" w:color="000000"/>
          <w:insideH w:val="nil"/>
          <w:insideV w:val="nil"/>
        </w:tcBorders>
        <w:shd w:val="clear" w:color="000000"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000000" w:fill="FFFFFF"/>
      </w:tcPr>
    </w:tblStylePr>
    <w:tblStylePr w:type="band1Horz">
      <w:tblPr/>
      <w:tcPr>
        <w:tcBorders>
          <w:insideH w:val="nil"/>
          <w:insideV w:val="nil"/>
        </w:tcBorders>
        <w:shd w:val="clear" w:color="000000" w:fill="FFFFF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000000"/>
          <w:left w:val="single" w:sz="8" w:space="0" w:color="000000"/>
          <w:bottom w:val="single" w:sz="8" w:space="0" w:color="000000"/>
          <w:right w:val="single" w:sz="8" w:space="0" w:color="000000"/>
          <w:insideH w:val="nil"/>
          <w:insideV w:val="nil"/>
        </w:tcBorders>
        <w:shd w:val="clear" w:color="000000"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000000" w:fill="FFFFFF"/>
      </w:tcPr>
    </w:tblStylePr>
    <w:tblStylePr w:type="band1Horz">
      <w:tblPr/>
      <w:tcPr>
        <w:tcBorders>
          <w:insideH w:val="nil"/>
          <w:insideV w:val="nil"/>
        </w:tcBorders>
        <w:shd w:val="clear" w:color="000000" w:fill="FFFFF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000000"/>
          <w:left w:val="single" w:sz="8" w:space="0" w:color="000000"/>
          <w:bottom w:val="single" w:sz="8" w:space="0" w:color="000000"/>
          <w:right w:val="single" w:sz="8" w:space="0" w:color="000000"/>
          <w:insideH w:val="nil"/>
          <w:insideV w:val="nil"/>
        </w:tcBorders>
        <w:shd w:val="clear" w:color="000000"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000000" w:fill="FFFFFF"/>
      </w:tcPr>
    </w:tblStylePr>
    <w:tblStylePr w:type="band1Horz">
      <w:tblPr/>
      <w:tcPr>
        <w:tcBorders>
          <w:insideH w:val="nil"/>
          <w:insideV w:val="nil"/>
        </w:tcBorders>
        <w:shd w:val="clear" w:color="000000" w:fill="FFFFF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000000"/>
        <w:bottom w:val="single" w:sz="1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000000"/>
          <w:left w:val="nil"/>
          <w:bottom w:val="single" w:sz="18" w:space="0" w:color="000000"/>
          <w:right w:val="nil"/>
          <w:insideH w:val="nil"/>
          <w:insideV w:val="nil"/>
        </w:tcBorders>
        <w:shd w:val="clear" w:color="000000" w:fill="FFFFFF"/>
      </w:tcPr>
    </w:tblStylePr>
    <w:tblStylePr w:type="lastRow">
      <w:pPr>
        <w:spacing w:before="0" w:after="0" w:line="240" w:lineRule="auto"/>
      </w:pPr>
      <w:rPr>
        <w:color w:val="000000"/>
      </w:rPr>
      <w:tblPr/>
      <w:tcPr>
        <w:tcBorders>
          <w:top w:val="double" w:sz="6" w:space="0" w:color="000000"/>
          <w:left w:val="nil"/>
          <w:bottom w:val="single" w:sz="18" w:space="0" w:color="000000"/>
          <w:right w:val="nil"/>
          <w:insideH w:val="nil"/>
          <w:insideV w:val="nil"/>
        </w:tcBorders>
        <w:shd w:val="clear" w:color="000000" w:fill="FFFFFF"/>
      </w:tcPr>
    </w:tblStylePr>
    <w:tblStylePr w:type="firstCol">
      <w:rPr>
        <w:b/>
        <w:bCs/>
        <w:color w:val="000000"/>
      </w:rPr>
      <w:tblPr/>
      <w:tcPr>
        <w:tcBorders>
          <w:top w:val="nil"/>
          <w:left w:val="nil"/>
          <w:bottom w:val="single" w:sz="18" w:space="0" w:color="000000"/>
          <w:right w:val="nil"/>
          <w:insideH w:val="nil"/>
          <w:insideV w:val="nil"/>
        </w:tcBorders>
        <w:shd w:val="clear" w:color="000000" w:fill="FFFFFF"/>
      </w:tcPr>
    </w:tblStylePr>
    <w:tblStylePr w:type="lastCol">
      <w:rPr>
        <w:b/>
        <w:bCs/>
        <w:color w:val="000000"/>
      </w:rPr>
      <w:tblPr/>
      <w:tcPr>
        <w:tcBorders>
          <w:left w:val="nil"/>
          <w:right w:val="nil"/>
          <w:insideH w:val="nil"/>
          <w:insideV w:val="nil"/>
        </w:tcBorders>
        <w:shd w:val="clear" w:color="000000" w:fill="FFFFFF"/>
      </w:tcPr>
    </w:tblStylePr>
    <w:tblStylePr w:type="band1Vert">
      <w:tblPr/>
      <w:tcPr>
        <w:tcBorders>
          <w:left w:val="nil"/>
          <w:right w:val="nil"/>
          <w:insideH w:val="nil"/>
          <w:insideV w:val="nil"/>
        </w:tcBorders>
        <w:shd w:val="clear" w:color="000000" w:fill="FFFFFF"/>
      </w:tcPr>
    </w:tblStylePr>
    <w:tblStylePr w:type="band1Horz">
      <w:tblPr/>
      <w:tcPr>
        <w:shd w:val="clear" w:color="000000" w:fill="FFFFFF"/>
      </w:tcPr>
    </w:tblStylePr>
    <w:tblStylePr w:type="neCell">
      <w:tblPr/>
      <w:tcPr>
        <w:tcBorders>
          <w:top w:val="single" w:sz="18" w:space="0" w:color="000000"/>
          <w:left w:val="nil"/>
          <w:bottom w:val="single" w:sz="18" w:space="0" w:color="000000"/>
          <w:right w:val="nil"/>
          <w:insideH w:val="nil"/>
          <w:insideV w:val="nil"/>
        </w:tcBorders>
      </w:tcPr>
    </w:tblStylePr>
    <w:tblStylePr w:type="nwCell">
      <w:rPr>
        <w:color w:val="000000"/>
      </w:rPr>
      <w:tblPr/>
      <w:tcPr>
        <w:tcBorders>
          <w:top w:val="single" w:sz="18" w:space="0" w:color="000000"/>
          <w:left w:val="nil"/>
          <w:bottom w:val="single" w:sz="18" w:space="0" w:color="00000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000000"/>
        <w:bottom w:val="single" w:sz="1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000000"/>
          <w:left w:val="nil"/>
          <w:bottom w:val="single" w:sz="18" w:space="0" w:color="000000"/>
          <w:right w:val="nil"/>
          <w:insideH w:val="nil"/>
          <w:insideV w:val="nil"/>
        </w:tcBorders>
        <w:shd w:val="clear" w:color="000000" w:fill="FFFFFF"/>
      </w:tcPr>
    </w:tblStylePr>
    <w:tblStylePr w:type="lastRow">
      <w:pPr>
        <w:spacing w:before="0" w:after="0" w:line="240" w:lineRule="auto"/>
      </w:pPr>
      <w:rPr>
        <w:color w:val="000000"/>
      </w:rPr>
      <w:tblPr/>
      <w:tcPr>
        <w:tcBorders>
          <w:top w:val="double" w:sz="6" w:space="0" w:color="000000"/>
          <w:left w:val="nil"/>
          <w:bottom w:val="single" w:sz="18" w:space="0" w:color="000000"/>
          <w:right w:val="nil"/>
          <w:insideH w:val="nil"/>
          <w:insideV w:val="nil"/>
        </w:tcBorders>
        <w:shd w:val="clear" w:color="000000" w:fill="FFFFFF"/>
      </w:tcPr>
    </w:tblStylePr>
    <w:tblStylePr w:type="firstCol">
      <w:rPr>
        <w:b/>
        <w:bCs/>
        <w:color w:val="000000"/>
      </w:rPr>
      <w:tblPr/>
      <w:tcPr>
        <w:tcBorders>
          <w:top w:val="nil"/>
          <w:left w:val="nil"/>
          <w:bottom w:val="single" w:sz="18" w:space="0" w:color="000000"/>
          <w:right w:val="nil"/>
          <w:insideH w:val="nil"/>
          <w:insideV w:val="nil"/>
        </w:tcBorders>
        <w:shd w:val="clear" w:color="000000" w:fill="FFFFFF"/>
      </w:tcPr>
    </w:tblStylePr>
    <w:tblStylePr w:type="lastCol">
      <w:rPr>
        <w:b/>
        <w:bCs/>
        <w:color w:val="000000"/>
      </w:rPr>
      <w:tblPr/>
      <w:tcPr>
        <w:tcBorders>
          <w:left w:val="nil"/>
          <w:right w:val="nil"/>
          <w:insideH w:val="nil"/>
          <w:insideV w:val="nil"/>
        </w:tcBorders>
        <w:shd w:val="clear" w:color="000000" w:fill="FFFFFF"/>
      </w:tcPr>
    </w:tblStylePr>
    <w:tblStylePr w:type="band1Vert">
      <w:tblPr/>
      <w:tcPr>
        <w:tcBorders>
          <w:left w:val="nil"/>
          <w:right w:val="nil"/>
          <w:insideH w:val="nil"/>
          <w:insideV w:val="nil"/>
        </w:tcBorders>
        <w:shd w:val="clear" w:color="000000" w:fill="FFFFFF"/>
      </w:tcPr>
    </w:tblStylePr>
    <w:tblStylePr w:type="band1Horz">
      <w:tblPr/>
      <w:tcPr>
        <w:shd w:val="clear" w:color="000000" w:fill="FFFFFF"/>
      </w:tcPr>
    </w:tblStylePr>
    <w:tblStylePr w:type="neCell">
      <w:tblPr/>
      <w:tcPr>
        <w:tcBorders>
          <w:top w:val="single" w:sz="18" w:space="0" w:color="000000"/>
          <w:left w:val="nil"/>
          <w:bottom w:val="single" w:sz="18" w:space="0" w:color="000000"/>
          <w:right w:val="nil"/>
          <w:insideH w:val="nil"/>
          <w:insideV w:val="nil"/>
        </w:tcBorders>
      </w:tcPr>
    </w:tblStylePr>
    <w:tblStylePr w:type="nwCell">
      <w:rPr>
        <w:color w:val="000000"/>
      </w:rPr>
      <w:tblPr/>
      <w:tcPr>
        <w:tcBorders>
          <w:top w:val="single" w:sz="18" w:space="0" w:color="000000"/>
          <w:left w:val="nil"/>
          <w:bottom w:val="single" w:sz="18" w:space="0" w:color="00000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000000"/>
        <w:bottom w:val="single" w:sz="1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000000"/>
          <w:left w:val="nil"/>
          <w:bottom w:val="single" w:sz="18" w:space="0" w:color="000000"/>
          <w:right w:val="nil"/>
          <w:insideH w:val="nil"/>
          <w:insideV w:val="nil"/>
        </w:tcBorders>
        <w:shd w:val="clear" w:color="000000" w:fill="FFFFFF"/>
      </w:tcPr>
    </w:tblStylePr>
    <w:tblStylePr w:type="lastRow">
      <w:pPr>
        <w:spacing w:before="0" w:after="0" w:line="240" w:lineRule="auto"/>
      </w:pPr>
      <w:rPr>
        <w:color w:val="000000"/>
      </w:rPr>
      <w:tblPr/>
      <w:tcPr>
        <w:tcBorders>
          <w:top w:val="double" w:sz="6" w:space="0" w:color="000000"/>
          <w:left w:val="nil"/>
          <w:bottom w:val="single" w:sz="18" w:space="0" w:color="000000"/>
          <w:right w:val="nil"/>
          <w:insideH w:val="nil"/>
          <w:insideV w:val="nil"/>
        </w:tcBorders>
        <w:shd w:val="clear" w:color="000000" w:fill="FFFFFF"/>
      </w:tcPr>
    </w:tblStylePr>
    <w:tblStylePr w:type="firstCol">
      <w:rPr>
        <w:b/>
        <w:bCs/>
        <w:color w:val="000000"/>
      </w:rPr>
      <w:tblPr/>
      <w:tcPr>
        <w:tcBorders>
          <w:top w:val="nil"/>
          <w:left w:val="nil"/>
          <w:bottom w:val="single" w:sz="18" w:space="0" w:color="000000"/>
          <w:right w:val="nil"/>
          <w:insideH w:val="nil"/>
          <w:insideV w:val="nil"/>
        </w:tcBorders>
        <w:shd w:val="clear" w:color="000000" w:fill="FFFFFF"/>
      </w:tcPr>
    </w:tblStylePr>
    <w:tblStylePr w:type="lastCol">
      <w:rPr>
        <w:b/>
        <w:bCs/>
        <w:color w:val="000000"/>
      </w:rPr>
      <w:tblPr/>
      <w:tcPr>
        <w:tcBorders>
          <w:left w:val="nil"/>
          <w:right w:val="nil"/>
          <w:insideH w:val="nil"/>
          <w:insideV w:val="nil"/>
        </w:tcBorders>
        <w:shd w:val="clear" w:color="000000" w:fill="FFFFFF"/>
      </w:tcPr>
    </w:tblStylePr>
    <w:tblStylePr w:type="band1Vert">
      <w:tblPr/>
      <w:tcPr>
        <w:tcBorders>
          <w:left w:val="nil"/>
          <w:right w:val="nil"/>
          <w:insideH w:val="nil"/>
          <w:insideV w:val="nil"/>
        </w:tcBorders>
        <w:shd w:val="clear" w:color="000000" w:fill="FFFFFF"/>
      </w:tcPr>
    </w:tblStylePr>
    <w:tblStylePr w:type="band1Horz">
      <w:tblPr/>
      <w:tcPr>
        <w:shd w:val="clear" w:color="000000" w:fill="FFFFFF"/>
      </w:tcPr>
    </w:tblStylePr>
    <w:tblStylePr w:type="neCell">
      <w:tblPr/>
      <w:tcPr>
        <w:tcBorders>
          <w:top w:val="single" w:sz="18" w:space="0" w:color="000000"/>
          <w:left w:val="nil"/>
          <w:bottom w:val="single" w:sz="18" w:space="0" w:color="000000"/>
          <w:right w:val="nil"/>
          <w:insideH w:val="nil"/>
          <w:insideV w:val="nil"/>
        </w:tcBorders>
      </w:tcPr>
    </w:tblStylePr>
    <w:tblStylePr w:type="nwCell">
      <w:rPr>
        <w:color w:val="000000"/>
      </w:rPr>
      <w:tblPr/>
      <w:tcPr>
        <w:tcBorders>
          <w:top w:val="single" w:sz="18" w:space="0" w:color="000000"/>
          <w:left w:val="nil"/>
          <w:bottom w:val="single" w:sz="18" w:space="0" w:color="00000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000000"/>
        <w:bottom w:val="single" w:sz="1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000000"/>
          <w:left w:val="nil"/>
          <w:bottom w:val="single" w:sz="18" w:space="0" w:color="000000"/>
          <w:right w:val="nil"/>
          <w:insideH w:val="nil"/>
          <w:insideV w:val="nil"/>
        </w:tcBorders>
        <w:shd w:val="clear" w:color="000000" w:fill="FFFFFF"/>
      </w:tcPr>
    </w:tblStylePr>
    <w:tblStylePr w:type="lastRow">
      <w:pPr>
        <w:spacing w:before="0" w:after="0" w:line="240" w:lineRule="auto"/>
      </w:pPr>
      <w:rPr>
        <w:color w:val="000000"/>
      </w:rPr>
      <w:tblPr/>
      <w:tcPr>
        <w:tcBorders>
          <w:top w:val="double" w:sz="6" w:space="0" w:color="000000"/>
          <w:left w:val="nil"/>
          <w:bottom w:val="single" w:sz="18" w:space="0" w:color="000000"/>
          <w:right w:val="nil"/>
          <w:insideH w:val="nil"/>
          <w:insideV w:val="nil"/>
        </w:tcBorders>
        <w:shd w:val="clear" w:color="000000" w:fill="FFFFFF"/>
      </w:tcPr>
    </w:tblStylePr>
    <w:tblStylePr w:type="firstCol">
      <w:rPr>
        <w:b/>
        <w:bCs/>
        <w:color w:val="000000"/>
      </w:rPr>
      <w:tblPr/>
      <w:tcPr>
        <w:tcBorders>
          <w:top w:val="nil"/>
          <w:left w:val="nil"/>
          <w:bottom w:val="single" w:sz="18" w:space="0" w:color="000000"/>
          <w:right w:val="nil"/>
          <w:insideH w:val="nil"/>
          <w:insideV w:val="nil"/>
        </w:tcBorders>
        <w:shd w:val="clear" w:color="000000" w:fill="FFFFFF"/>
      </w:tcPr>
    </w:tblStylePr>
    <w:tblStylePr w:type="lastCol">
      <w:rPr>
        <w:b/>
        <w:bCs/>
        <w:color w:val="000000"/>
      </w:rPr>
      <w:tblPr/>
      <w:tcPr>
        <w:tcBorders>
          <w:left w:val="nil"/>
          <w:right w:val="nil"/>
          <w:insideH w:val="nil"/>
          <w:insideV w:val="nil"/>
        </w:tcBorders>
        <w:shd w:val="clear" w:color="000000" w:fill="FFFFFF"/>
      </w:tcPr>
    </w:tblStylePr>
    <w:tblStylePr w:type="band1Vert">
      <w:tblPr/>
      <w:tcPr>
        <w:tcBorders>
          <w:left w:val="nil"/>
          <w:right w:val="nil"/>
          <w:insideH w:val="nil"/>
          <w:insideV w:val="nil"/>
        </w:tcBorders>
        <w:shd w:val="clear" w:color="000000" w:fill="FFFFFF"/>
      </w:tcPr>
    </w:tblStylePr>
    <w:tblStylePr w:type="band1Horz">
      <w:tblPr/>
      <w:tcPr>
        <w:shd w:val="clear" w:color="000000" w:fill="FFFFFF"/>
      </w:tcPr>
    </w:tblStylePr>
    <w:tblStylePr w:type="neCell">
      <w:tblPr/>
      <w:tcPr>
        <w:tcBorders>
          <w:top w:val="single" w:sz="18" w:space="0" w:color="000000"/>
          <w:left w:val="nil"/>
          <w:bottom w:val="single" w:sz="18" w:space="0" w:color="000000"/>
          <w:right w:val="nil"/>
          <w:insideH w:val="nil"/>
          <w:insideV w:val="nil"/>
        </w:tcBorders>
      </w:tcPr>
    </w:tblStylePr>
    <w:tblStylePr w:type="nwCell">
      <w:rPr>
        <w:color w:val="000000"/>
      </w:rPr>
      <w:tblPr/>
      <w:tcPr>
        <w:tcBorders>
          <w:top w:val="single" w:sz="18" w:space="0" w:color="000000"/>
          <w:left w:val="nil"/>
          <w:bottom w:val="single" w:sz="18" w:space="0" w:color="00000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000000"/>
        <w:bottom w:val="single" w:sz="1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000000"/>
          <w:left w:val="nil"/>
          <w:bottom w:val="single" w:sz="18" w:space="0" w:color="000000"/>
          <w:right w:val="nil"/>
          <w:insideH w:val="nil"/>
          <w:insideV w:val="nil"/>
        </w:tcBorders>
        <w:shd w:val="clear" w:color="000000" w:fill="FFFFFF"/>
      </w:tcPr>
    </w:tblStylePr>
    <w:tblStylePr w:type="lastRow">
      <w:pPr>
        <w:spacing w:before="0" w:after="0" w:line="240" w:lineRule="auto"/>
      </w:pPr>
      <w:rPr>
        <w:color w:val="000000"/>
      </w:rPr>
      <w:tblPr/>
      <w:tcPr>
        <w:tcBorders>
          <w:top w:val="double" w:sz="6" w:space="0" w:color="000000"/>
          <w:left w:val="nil"/>
          <w:bottom w:val="single" w:sz="18" w:space="0" w:color="000000"/>
          <w:right w:val="nil"/>
          <w:insideH w:val="nil"/>
          <w:insideV w:val="nil"/>
        </w:tcBorders>
        <w:shd w:val="clear" w:color="000000" w:fill="FFFFFF"/>
      </w:tcPr>
    </w:tblStylePr>
    <w:tblStylePr w:type="firstCol">
      <w:rPr>
        <w:b/>
        <w:bCs/>
        <w:color w:val="000000"/>
      </w:rPr>
      <w:tblPr/>
      <w:tcPr>
        <w:tcBorders>
          <w:top w:val="nil"/>
          <w:left w:val="nil"/>
          <w:bottom w:val="single" w:sz="18" w:space="0" w:color="000000"/>
          <w:right w:val="nil"/>
          <w:insideH w:val="nil"/>
          <w:insideV w:val="nil"/>
        </w:tcBorders>
        <w:shd w:val="clear" w:color="000000" w:fill="FFFFFF"/>
      </w:tcPr>
    </w:tblStylePr>
    <w:tblStylePr w:type="lastCol">
      <w:rPr>
        <w:b/>
        <w:bCs/>
        <w:color w:val="000000"/>
      </w:rPr>
      <w:tblPr/>
      <w:tcPr>
        <w:tcBorders>
          <w:left w:val="nil"/>
          <w:right w:val="nil"/>
          <w:insideH w:val="nil"/>
          <w:insideV w:val="nil"/>
        </w:tcBorders>
        <w:shd w:val="clear" w:color="000000" w:fill="FFFFFF"/>
      </w:tcPr>
    </w:tblStylePr>
    <w:tblStylePr w:type="band1Vert">
      <w:tblPr/>
      <w:tcPr>
        <w:tcBorders>
          <w:left w:val="nil"/>
          <w:right w:val="nil"/>
          <w:insideH w:val="nil"/>
          <w:insideV w:val="nil"/>
        </w:tcBorders>
        <w:shd w:val="clear" w:color="000000" w:fill="FFFFFF"/>
      </w:tcPr>
    </w:tblStylePr>
    <w:tblStylePr w:type="band1Horz">
      <w:tblPr/>
      <w:tcPr>
        <w:shd w:val="clear" w:color="000000" w:fill="FFFFFF"/>
      </w:tcPr>
    </w:tblStylePr>
    <w:tblStylePr w:type="neCell">
      <w:tblPr/>
      <w:tcPr>
        <w:tcBorders>
          <w:top w:val="single" w:sz="18" w:space="0" w:color="000000"/>
          <w:left w:val="nil"/>
          <w:bottom w:val="single" w:sz="18" w:space="0" w:color="000000"/>
          <w:right w:val="nil"/>
          <w:insideH w:val="nil"/>
          <w:insideV w:val="nil"/>
        </w:tcBorders>
      </w:tcPr>
    </w:tblStylePr>
    <w:tblStylePr w:type="nwCell">
      <w:rPr>
        <w:color w:val="000000"/>
      </w:rPr>
      <w:tblPr/>
      <w:tcPr>
        <w:tcBorders>
          <w:top w:val="single" w:sz="18" w:space="0" w:color="000000"/>
          <w:left w:val="nil"/>
          <w:bottom w:val="single" w:sz="18" w:space="0" w:color="00000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000000"/>
        <w:bottom w:val="single" w:sz="1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000000"/>
          <w:left w:val="nil"/>
          <w:bottom w:val="single" w:sz="18" w:space="0" w:color="000000"/>
          <w:right w:val="nil"/>
          <w:insideH w:val="nil"/>
          <w:insideV w:val="nil"/>
        </w:tcBorders>
        <w:shd w:val="clear" w:color="000000" w:fill="FFFFFF"/>
      </w:tcPr>
    </w:tblStylePr>
    <w:tblStylePr w:type="lastRow">
      <w:pPr>
        <w:spacing w:before="0" w:after="0" w:line="240" w:lineRule="auto"/>
      </w:pPr>
      <w:rPr>
        <w:color w:val="000000"/>
      </w:rPr>
      <w:tblPr/>
      <w:tcPr>
        <w:tcBorders>
          <w:top w:val="double" w:sz="6" w:space="0" w:color="000000"/>
          <w:left w:val="nil"/>
          <w:bottom w:val="single" w:sz="18" w:space="0" w:color="000000"/>
          <w:right w:val="nil"/>
          <w:insideH w:val="nil"/>
          <w:insideV w:val="nil"/>
        </w:tcBorders>
        <w:shd w:val="clear" w:color="000000" w:fill="FFFFFF"/>
      </w:tcPr>
    </w:tblStylePr>
    <w:tblStylePr w:type="firstCol">
      <w:rPr>
        <w:b/>
        <w:bCs/>
        <w:color w:val="000000"/>
      </w:rPr>
      <w:tblPr/>
      <w:tcPr>
        <w:tcBorders>
          <w:top w:val="nil"/>
          <w:left w:val="nil"/>
          <w:bottom w:val="single" w:sz="18" w:space="0" w:color="000000"/>
          <w:right w:val="nil"/>
          <w:insideH w:val="nil"/>
          <w:insideV w:val="nil"/>
        </w:tcBorders>
        <w:shd w:val="clear" w:color="000000" w:fill="FFFFFF"/>
      </w:tcPr>
    </w:tblStylePr>
    <w:tblStylePr w:type="lastCol">
      <w:rPr>
        <w:b/>
        <w:bCs/>
        <w:color w:val="000000"/>
      </w:rPr>
      <w:tblPr/>
      <w:tcPr>
        <w:tcBorders>
          <w:left w:val="nil"/>
          <w:right w:val="nil"/>
          <w:insideH w:val="nil"/>
          <w:insideV w:val="nil"/>
        </w:tcBorders>
        <w:shd w:val="clear" w:color="000000" w:fill="FFFFFF"/>
      </w:tcPr>
    </w:tblStylePr>
    <w:tblStylePr w:type="band1Vert">
      <w:tblPr/>
      <w:tcPr>
        <w:tcBorders>
          <w:left w:val="nil"/>
          <w:right w:val="nil"/>
          <w:insideH w:val="nil"/>
          <w:insideV w:val="nil"/>
        </w:tcBorders>
        <w:shd w:val="clear" w:color="000000" w:fill="FFFFFF"/>
      </w:tcPr>
    </w:tblStylePr>
    <w:tblStylePr w:type="band1Horz">
      <w:tblPr/>
      <w:tcPr>
        <w:shd w:val="clear" w:color="000000" w:fill="FFFFFF"/>
      </w:tcPr>
    </w:tblStylePr>
    <w:tblStylePr w:type="neCell">
      <w:tblPr/>
      <w:tcPr>
        <w:tcBorders>
          <w:top w:val="single" w:sz="18" w:space="0" w:color="000000"/>
          <w:left w:val="nil"/>
          <w:bottom w:val="single" w:sz="18" w:space="0" w:color="000000"/>
          <w:right w:val="nil"/>
          <w:insideH w:val="nil"/>
          <w:insideV w:val="nil"/>
        </w:tcBorders>
      </w:tcPr>
    </w:tblStylePr>
    <w:tblStylePr w:type="nwCell">
      <w:rPr>
        <w:color w:val="000000"/>
      </w:rPr>
      <w:tblPr/>
      <w:tcPr>
        <w:tcBorders>
          <w:top w:val="single" w:sz="18" w:space="0" w:color="000000"/>
          <w:left w:val="nil"/>
          <w:bottom w:val="single" w:sz="18" w:space="0" w:color="00000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000000"/>
        <w:bottom w:val="single" w:sz="1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000000"/>
          <w:left w:val="nil"/>
          <w:bottom w:val="single" w:sz="18" w:space="0" w:color="000000"/>
          <w:right w:val="nil"/>
          <w:insideH w:val="nil"/>
          <w:insideV w:val="nil"/>
        </w:tcBorders>
        <w:shd w:val="clear" w:color="000000" w:fill="FFFFFF"/>
      </w:tcPr>
    </w:tblStylePr>
    <w:tblStylePr w:type="lastRow">
      <w:pPr>
        <w:spacing w:before="0" w:after="0" w:line="240" w:lineRule="auto"/>
      </w:pPr>
      <w:rPr>
        <w:color w:val="000000"/>
      </w:rPr>
      <w:tblPr/>
      <w:tcPr>
        <w:tcBorders>
          <w:top w:val="double" w:sz="6" w:space="0" w:color="000000"/>
          <w:left w:val="nil"/>
          <w:bottom w:val="single" w:sz="18" w:space="0" w:color="000000"/>
          <w:right w:val="nil"/>
          <w:insideH w:val="nil"/>
          <w:insideV w:val="nil"/>
        </w:tcBorders>
        <w:shd w:val="clear" w:color="000000" w:fill="FFFFFF"/>
      </w:tcPr>
    </w:tblStylePr>
    <w:tblStylePr w:type="firstCol">
      <w:rPr>
        <w:b/>
        <w:bCs/>
        <w:color w:val="000000"/>
      </w:rPr>
      <w:tblPr/>
      <w:tcPr>
        <w:tcBorders>
          <w:top w:val="nil"/>
          <w:left w:val="nil"/>
          <w:bottom w:val="single" w:sz="18" w:space="0" w:color="000000"/>
          <w:right w:val="nil"/>
          <w:insideH w:val="nil"/>
          <w:insideV w:val="nil"/>
        </w:tcBorders>
        <w:shd w:val="clear" w:color="000000" w:fill="FFFFFF"/>
      </w:tcPr>
    </w:tblStylePr>
    <w:tblStylePr w:type="lastCol">
      <w:rPr>
        <w:b/>
        <w:bCs/>
        <w:color w:val="000000"/>
      </w:rPr>
      <w:tblPr/>
      <w:tcPr>
        <w:tcBorders>
          <w:left w:val="nil"/>
          <w:right w:val="nil"/>
          <w:insideH w:val="nil"/>
          <w:insideV w:val="nil"/>
        </w:tcBorders>
        <w:shd w:val="clear" w:color="000000" w:fill="FFFFFF"/>
      </w:tcPr>
    </w:tblStylePr>
    <w:tblStylePr w:type="band1Vert">
      <w:tblPr/>
      <w:tcPr>
        <w:tcBorders>
          <w:left w:val="nil"/>
          <w:right w:val="nil"/>
          <w:insideH w:val="nil"/>
          <w:insideV w:val="nil"/>
        </w:tcBorders>
        <w:shd w:val="clear" w:color="000000" w:fill="FFFFFF"/>
      </w:tcPr>
    </w:tblStylePr>
    <w:tblStylePr w:type="band1Horz">
      <w:tblPr/>
      <w:tcPr>
        <w:shd w:val="clear" w:color="000000" w:fill="FFFFFF"/>
      </w:tcPr>
    </w:tblStylePr>
    <w:tblStylePr w:type="neCell">
      <w:tblPr/>
      <w:tcPr>
        <w:tcBorders>
          <w:top w:val="single" w:sz="18" w:space="0" w:color="000000"/>
          <w:left w:val="nil"/>
          <w:bottom w:val="single" w:sz="18" w:space="0" w:color="000000"/>
          <w:right w:val="nil"/>
          <w:insideH w:val="nil"/>
          <w:insideV w:val="nil"/>
        </w:tcBorders>
      </w:tcPr>
    </w:tblStylePr>
    <w:tblStylePr w:type="nwCell">
      <w:rPr>
        <w:color w:val="000000"/>
      </w:rPr>
      <w:tblPr/>
      <w:tcPr>
        <w:tcBorders>
          <w:top w:val="single" w:sz="18" w:space="0" w:color="000000"/>
          <w:left w:val="nil"/>
          <w:bottom w:val="single" w:sz="18" w:space="0" w:color="00000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000000" w:fill="FFFFFF"/>
      </w:tcPr>
    </w:tblStylePr>
    <w:tblStylePr w:type="band1Horz">
      <w:tblPr/>
      <w:tcPr>
        <w:shd w:val="clear" w:color="000000" w:fill="FFFFF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000000" w:fill="FFFFFF"/>
      </w:tcPr>
    </w:tblStylePr>
    <w:tblStylePr w:type="band1Horz">
      <w:tblPr/>
      <w:tcPr>
        <w:shd w:val="clear" w:color="000000" w:fill="FFFFF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000000" w:fill="FFFFFF"/>
      </w:tcPr>
    </w:tblStylePr>
    <w:tblStylePr w:type="band1Horz">
      <w:tblPr/>
      <w:tcPr>
        <w:shd w:val="clear" w:color="000000" w:fill="FFFFF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000000" w:fill="FFFFFF"/>
      </w:tcPr>
    </w:tblStylePr>
    <w:tblStylePr w:type="band1Horz">
      <w:tblPr/>
      <w:tcPr>
        <w:shd w:val="clear" w:color="000000" w:fill="FFFFF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000000" w:fill="FFFFFF"/>
      </w:tcPr>
    </w:tblStylePr>
    <w:tblStylePr w:type="band1Horz">
      <w:tblPr/>
      <w:tcPr>
        <w:shd w:val="clear" w:color="000000" w:fill="FFFFF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000000" w:fill="FFFFFF"/>
      </w:tcPr>
    </w:tblStylePr>
    <w:tblStylePr w:type="band1Horz">
      <w:tblPr/>
      <w:tcPr>
        <w:shd w:val="clear" w:color="000000" w:fill="FFFFF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000000" w:fill="FFFFFF"/>
      </w:tcPr>
    </w:tblStylePr>
    <w:tblStylePr w:type="band1Horz">
      <w:tblPr/>
      <w:tcPr>
        <w:shd w:val="clear" w:color="000000" w:fill="FFFFF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000000" w:fill="FFFFFF"/>
      </w:tcPr>
    </w:tblStylePr>
    <w:tblStylePr w:type="lastRow">
      <w:tblPr/>
      <w:tcPr>
        <w:tcBorders>
          <w:top w:val="single" w:sz="8" w:space="0" w:color="000000"/>
          <w:left w:val="nil"/>
          <w:bottom w:val="nil"/>
          <w:right w:val="nil"/>
          <w:insideH w:val="nil"/>
          <w:insideV w:val="nil"/>
        </w:tcBorders>
        <w:shd w:val="clear" w:color="000000" w:fill="FFFFFF"/>
      </w:tcPr>
    </w:tblStylePr>
    <w:tblStylePr w:type="firstCol">
      <w:tblPr/>
      <w:tcPr>
        <w:tcBorders>
          <w:top w:val="nil"/>
          <w:left w:val="nil"/>
          <w:bottom w:val="nil"/>
          <w:right w:val="single" w:sz="8" w:space="0" w:color="000000"/>
          <w:insideH w:val="nil"/>
          <w:insideV w:val="nil"/>
        </w:tcBorders>
        <w:shd w:val="clear" w:color="000000" w:fill="FFFFFF"/>
      </w:tcPr>
    </w:tblStylePr>
    <w:tblStylePr w:type="lastCol">
      <w:tblPr/>
      <w:tcPr>
        <w:tcBorders>
          <w:top w:val="nil"/>
          <w:left w:val="single" w:sz="8" w:space="0" w:color="000000"/>
          <w:bottom w:val="nil"/>
          <w:right w:val="nil"/>
          <w:insideH w:val="nil"/>
          <w:insideV w:val="nil"/>
        </w:tcBorders>
        <w:shd w:val="clear" w:color="000000" w:fill="FFFFFF"/>
      </w:tcPr>
    </w:tblStylePr>
    <w:tblStylePr w:type="band1Vert">
      <w:tblPr/>
      <w:tcPr>
        <w:tcBorders>
          <w:left w:val="nil"/>
          <w:right w:val="nil"/>
          <w:insideH w:val="nil"/>
          <w:insideV w:val="nil"/>
        </w:tcBorders>
        <w:shd w:val="clear" w:color="000000" w:fill="FFFFFF"/>
      </w:tcPr>
    </w:tblStylePr>
    <w:tblStylePr w:type="band1Horz">
      <w:tblPr/>
      <w:tcPr>
        <w:tcBorders>
          <w:top w:val="nil"/>
          <w:bottom w:val="nil"/>
          <w:insideH w:val="nil"/>
          <w:insideV w:val="nil"/>
        </w:tcBorders>
        <w:shd w:val="clear" w:color="000000" w:fill="FFFFFF"/>
      </w:tcPr>
    </w:tblStylePr>
    <w:tblStylePr w:type="nwCell">
      <w:tblPr/>
      <w:tcPr>
        <w:shd w:val="clear" w:color="000000" w:fill="FFFFFF"/>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000000" w:fill="FFFFFF"/>
      </w:tcPr>
    </w:tblStylePr>
    <w:tblStylePr w:type="lastRow">
      <w:tblPr/>
      <w:tcPr>
        <w:tcBorders>
          <w:top w:val="single" w:sz="8" w:space="0" w:color="000000"/>
          <w:left w:val="nil"/>
          <w:bottom w:val="nil"/>
          <w:right w:val="nil"/>
          <w:insideH w:val="nil"/>
          <w:insideV w:val="nil"/>
        </w:tcBorders>
        <w:shd w:val="clear" w:color="000000" w:fill="FFFFFF"/>
      </w:tcPr>
    </w:tblStylePr>
    <w:tblStylePr w:type="firstCol">
      <w:tblPr/>
      <w:tcPr>
        <w:tcBorders>
          <w:top w:val="nil"/>
          <w:left w:val="nil"/>
          <w:bottom w:val="nil"/>
          <w:right w:val="single" w:sz="8" w:space="0" w:color="000000"/>
          <w:insideH w:val="nil"/>
          <w:insideV w:val="nil"/>
        </w:tcBorders>
        <w:shd w:val="clear" w:color="000000" w:fill="FFFFFF"/>
      </w:tcPr>
    </w:tblStylePr>
    <w:tblStylePr w:type="lastCol">
      <w:tblPr/>
      <w:tcPr>
        <w:tcBorders>
          <w:top w:val="nil"/>
          <w:left w:val="single" w:sz="8" w:space="0" w:color="000000"/>
          <w:bottom w:val="nil"/>
          <w:right w:val="nil"/>
          <w:insideH w:val="nil"/>
          <w:insideV w:val="nil"/>
        </w:tcBorders>
        <w:shd w:val="clear" w:color="000000" w:fill="FFFFFF"/>
      </w:tcPr>
    </w:tblStylePr>
    <w:tblStylePr w:type="band1Vert">
      <w:tblPr/>
      <w:tcPr>
        <w:tcBorders>
          <w:left w:val="nil"/>
          <w:right w:val="nil"/>
          <w:insideH w:val="nil"/>
          <w:insideV w:val="nil"/>
        </w:tcBorders>
        <w:shd w:val="clear" w:color="000000" w:fill="FFFFFF"/>
      </w:tcPr>
    </w:tblStylePr>
    <w:tblStylePr w:type="band1Horz">
      <w:tblPr/>
      <w:tcPr>
        <w:tcBorders>
          <w:top w:val="nil"/>
          <w:bottom w:val="nil"/>
          <w:insideH w:val="nil"/>
          <w:insideV w:val="nil"/>
        </w:tcBorders>
        <w:shd w:val="clear" w:color="000000" w:fill="FFFFFF"/>
      </w:tcPr>
    </w:tblStylePr>
    <w:tblStylePr w:type="nwCell">
      <w:tblPr/>
      <w:tcPr>
        <w:shd w:val="clear" w:color="000000" w:fill="FFFFFF"/>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000000" w:fill="FFFFFF"/>
      </w:tcPr>
    </w:tblStylePr>
    <w:tblStylePr w:type="lastRow">
      <w:tblPr/>
      <w:tcPr>
        <w:tcBorders>
          <w:top w:val="single" w:sz="8" w:space="0" w:color="000000"/>
          <w:left w:val="nil"/>
          <w:bottom w:val="nil"/>
          <w:right w:val="nil"/>
          <w:insideH w:val="nil"/>
          <w:insideV w:val="nil"/>
        </w:tcBorders>
        <w:shd w:val="clear" w:color="000000" w:fill="FFFFFF"/>
      </w:tcPr>
    </w:tblStylePr>
    <w:tblStylePr w:type="firstCol">
      <w:tblPr/>
      <w:tcPr>
        <w:tcBorders>
          <w:top w:val="nil"/>
          <w:left w:val="nil"/>
          <w:bottom w:val="nil"/>
          <w:right w:val="single" w:sz="8" w:space="0" w:color="000000"/>
          <w:insideH w:val="nil"/>
          <w:insideV w:val="nil"/>
        </w:tcBorders>
        <w:shd w:val="clear" w:color="000000" w:fill="FFFFFF"/>
      </w:tcPr>
    </w:tblStylePr>
    <w:tblStylePr w:type="lastCol">
      <w:tblPr/>
      <w:tcPr>
        <w:tcBorders>
          <w:top w:val="nil"/>
          <w:left w:val="single" w:sz="8" w:space="0" w:color="000000"/>
          <w:bottom w:val="nil"/>
          <w:right w:val="nil"/>
          <w:insideH w:val="nil"/>
          <w:insideV w:val="nil"/>
        </w:tcBorders>
        <w:shd w:val="clear" w:color="000000" w:fill="FFFFFF"/>
      </w:tcPr>
    </w:tblStylePr>
    <w:tblStylePr w:type="band1Vert">
      <w:tblPr/>
      <w:tcPr>
        <w:tcBorders>
          <w:left w:val="nil"/>
          <w:right w:val="nil"/>
          <w:insideH w:val="nil"/>
          <w:insideV w:val="nil"/>
        </w:tcBorders>
        <w:shd w:val="clear" w:color="000000" w:fill="FFFFFF"/>
      </w:tcPr>
    </w:tblStylePr>
    <w:tblStylePr w:type="band1Horz">
      <w:tblPr/>
      <w:tcPr>
        <w:tcBorders>
          <w:top w:val="nil"/>
          <w:bottom w:val="nil"/>
          <w:insideH w:val="nil"/>
          <w:insideV w:val="nil"/>
        </w:tcBorders>
        <w:shd w:val="clear" w:color="000000" w:fill="FFFFFF"/>
      </w:tcPr>
    </w:tblStylePr>
    <w:tblStylePr w:type="nwCell">
      <w:tblPr/>
      <w:tcPr>
        <w:shd w:val="clear" w:color="000000" w:fill="FFFFFF"/>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000000" w:fill="FFFFFF"/>
      </w:tcPr>
    </w:tblStylePr>
    <w:tblStylePr w:type="lastRow">
      <w:tblPr/>
      <w:tcPr>
        <w:tcBorders>
          <w:top w:val="single" w:sz="8" w:space="0" w:color="000000"/>
          <w:left w:val="nil"/>
          <w:bottom w:val="nil"/>
          <w:right w:val="nil"/>
          <w:insideH w:val="nil"/>
          <w:insideV w:val="nil"/>
        </w:tcBorders>
        <w:shd w:val="clear" w:color="000000" w:fill="FFFFFF"/>
      </w:tcPr>
    </w:tblStylePr>
    <w:tblStylePr w:type="firstCol">
      <w:tblPr/>
      <w:tcPr>
        <w:tcBorders>
          <w:top w:val="nil"/>
          <w:left w:val="nil"/>
          <w:bottom w:val="nil"/>
          <w:right w:val="single" w:sz="8" w:space="0" w:color="000000"/>
          <w:insideH w:val="nil"/>
          <w:insideV w:val="nil"/>
        </w:tcBorders>
        <w:shd w:val="clear" w:color="000000" w:fill="FFFFFF"/>
      </w:tcPr>
    </w:tblStylePr>
    <w:tblStylePr w:type="lastCol">
      <w:tblPr/>
      <w:tcPr>
        <w:tcBorders>
          <w:top w:val="nil"/>
          <w:left w:val="single" w:sz="8" w:space="0" w:color="000000"/>
          <w:bottom w:val="nil"/>
          <w:right w:val="nil"/>
          <w:insideH w:val="nil"/>
          <w:insideV w:val="nil"/>
        </w:tcBorders>
        <w:shd w:val="clear" w:color="000000" w:fill="FFFFFF"/>
      </w:tcPr>
    </w:tblStylePr>
    <w:tblStylePr w:type="band1Vert">
      <w:tblPr/>
      <w:tcPr>
        <w:tcBorders>
          <w:left w:val="nil"/>
          <w:right w:val="nil"/>
          <w:insideH w:val="nil"/>
          <w:insideV w:val="nil"/>
        </w:tcBorders>
        <w:shd w:val="clear" w:color="000000" w:fill="FFFFFF"/>
      </w:tcPr>
    </w:tblStylePr>
    <w:tblStylePr w:type="band1Horz">
      <w:tblPr/>
      <w:tcPr>
        <w:tcBorders>
          <w:top w:val="nil"/>
          <w:bottom w:val="nil"/>
          <w:insideH w:val="nil"/>
          <w:insideV w:val="nil"/>
        </w:tcBorders>
        <w:shd w:val="clear" w:color="000000" w:fill="FFFFFF"/>
      </w:tcPr>
    </w:tblStylePr>
    <w:tblStylePr w:type="nwCell">
      <w:tblPr/>
      <w:tcPr>
        <w:shd w:val="clear" w:color="000000" w:fill="FFFFFF"/>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000000" w:fill="FFFFFF"/>
      </w:tcPr>
    </w:tblStylePr>
    <w:tblStylePr w:type="lastRow">
      <w:tblPr/>
      <w:tcPr>
        <w:tcBorders>
          <w:top w:val="single" w:sz="8" w:space="0" w:color="000000"/>
          <w:left w:val="nil"/>
          <w:bottom w:val="nil"/>
          <w:right w:val="nil"/>
          <w:insideH w:val="nil"/>
          <w:insideV w:val="nil"/>
        </w:tcBorders>
        <w:shd w:val="clear" w:color="000000" w:fill="FFFFFF"/>
      </w:tcPr>
    </w:tblStylePr>
    <w:tblStylePr w:type="firstCol">
      <w:tblPr/>
      <w:tcPr>
        <w:tcBorders>
          <w:top w:val="nil"/>
          <w:left w:val="nil"/>
          <w:bottom w:val="nil"/>
          <w:right w:val="single" w:sz="8" w:space="0" w:color="000000"/>
          <w:insideH w:val="nil"/>
          <w:insideV w:val="nil"/>
        </w:tcBorders>
        <w:shd w:val="clear" w:color="000000" w:fill="FFFFFF"/>
      </w:tcPr>
    </w:tblStylePr>
    <w:tblStylePr w:type="lastCol">
      <w:tblPr/>
      <w:tcPr>
        <w:tcBorders>
          <w:top w:val="nil"/>
          <w:left w:val="single" w:sz="8" w:space="0" w:color="000000"/>
          <w:bottom w:val="nil"/>
          <w:right w:val="nil"/>
          <w:insideH w:val="nil"/>
          <w:insideV w:val="nil"/>
        </w:tcBorders>
        <w:shd w:val="clear" w:color="000000" w:fill="FFFFFF"/>
      </w:tcPr>
    </w:tblStylePr>
    <w:tblStylePr w:type="band1Vert">
      <w:tblPr/>
      <w:tcPr>
        <w:tcBorders>
          <w:left w:val="nil"/>
          <w:right w:val="nil"/>
          <w:insideH w:val="nil"/>
          <w:insideV w:val="nil"/>
        </w:tcBorders>
        <w:shd w:val="clear" w:color="000000" w:fill="FFFFFF"/>
      </w:tcPr>
    </w:tblStylePr>
    <w:tblStylePr w:type="band1Horz">
      <w:tblPr/>
      <w:tcPr>
        <w:tcBorders>
          <w:top w:val="nil"/>
          <w:bottom w:val="nil"/>
          <w:insideH w:val="nil"/>
          <w:insideV w:val="nil"/>
        </w:tcBorders>
        <w:shd w:val="clear" w:color="000000" w:fill="FFFFFF"/>
      </w:tcPr>
    </w:tblStylePr>
    <w:tblStylePr w:type="nwCell">
      <w:tblPr/>
      <w:tcPr>
        <w:shd w:val="clear" w:color="000000" w:fill="FFFFFF"/>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000000" w:fill="FFFFFF"/>
      </w:tcPr>
    </w:tblStylePr>
    <w:tblStylePr w:type="lastRow">
      <w:tblPr/>
      <w:tcPr>
        <w:tcBorders>
          <w:top w:val="single" w:sz="8" w:space="0" w:color="000000"/>
          <w:left w:val="nil"/>
          <w:bottom w:val="nil"/>
          <w:right w:val="nil"/>
          <w:insideH w:val="nil"/>
          <w:insideV w:val="nil"/>
        </w:tcBorders>
        <w:shd w:val="clear" w:color="000000" w:fill="FFFFFF"/>
      </w:tcPr>
    </w:tblStylePr>
    <w:tblStylePr w:type="firstCol">
      <w:tblPr/>
      <w:tcPr>
        <w:tcBorders>
          <w:top w:val="nil"/>
          <w:left w:val="nil"/>
          <w:bottom w:val="nil"/>
          <w:right w:val="single" w:sz="8" w:space="0" w:color="000000"/>
          <w:insideH w:val="nil"/>
          <w:insideV w:val="nil"/>
        </w:tcBorders>
        <w:shd w:val="clear" w:color="000000" w:fill="FFFFFF"/>
      </w:tcPr>
    </w:tblStylePr>
    <w:tblStylePr w:type="lastCol">
      <w:tblPr/>
      <w:tcPr>
        <w:tcBorders>
          <w:top w:val="nil"/>
          <w:left w:val="single" w:sz="8" w:space="0" w:color="000000"/>
          <w:bottom w:val="nil"/>
          <w:right w:val="nil"/>
          <w:insideH w:val="nil"/>
          <w:insideV w:val="nil"/>
        </w:tcBorders>
        <w:shd w:val="clear" w:color="000000" w:fill="FFFFFF"/>
      </w:tcPr>
    </w:tblStylePr>
    <w:tblStylePr w:type="band1Vert">
      <w:tblPr/>
      <w:tcPr>
        <w:tcBorders>
          <w:left w:val="nil"/>
          <w:right w:val="nil"/>
          <w:insideH w:val="nil"/>
          <w:insideV w:val="nil"/>
        </w:tcBorders>
        <w:shd w:val="clear" w:color="000000" w:fill="FFFFFF"/>
      </w:tcPr>
    </w:tblStylePr>
    <w:tblStylePr w:type="band1Horz">
      <w:tblPr/>
      <w:tcPr>
        <w:tcBorders>
          <w:top w:val="nil"/>
          <w:bottom w:val="nil"/>
          <w:insideH w:val="nil"/>
          <w:insideV w:val="nil"/>
        </w:tcBorders>
        <w:shd w:val="clear" w:color="000000" w:fill="FFFFFF"/>
      </w:tcPr>
    </w:tblStylePr>
    <w:tblStylePr w:type="nwCell">
      <w:tblPr/>
      <w:tcPr>
        <w:shd w:val="clear" w:color="000000" w:fill="FFFFFF"/>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000000" w:fill="FFFFFF"/>
      </w:tcPr>
    </w:tblStylePr>
    <w:tblStylePr w:type="lastRow">
      <w:tblPr/>
      <w:tcPr>
        <w:tcBorders>
          <w:top w:val="single" w:sz="8" w:space="0" w:color="000000"/>
          <w:left w:val="nil"/>
          <w:bottom w:val="nil"/>
          <w:right w:val="nil"/>
          <w:insideH w:val="nil"/>
          <w:insideV w:val="nil"/>
        </w:tcBorders>
        <w:shd w:val="clear" w:color="000000" w:fill="FFFFFF"/>
      </w:tcPr>
    </w:tblStylePr>
    <w:tblStylePr w:type="firstCol">
      <w:tblPr/>
      <w:tcPr>
        <w:tcBorders>
          <w:top w:val="nil"/>
          <w:left w:val="nil"/>
          <w:bottom w:val="nil"/>
          <w:right w:val="single" w:sz="8" w:space="0" w:color="000000"/>
          <w:insideH w:val="nil"/>
          <w:insideV w:val="nil"/>
        </w:tcBorders>
        <w:shd w:val="clear" w:color="000000" w:fill="FFFFFF"/>
      </w:tcPr>
    </w:tblStylePr>
    <w:tblStylePr w:type="lastCol">
      <w:tblPr/>
      <w:tcPr>
        <w:tcBorders>
          <w:top w:val="nil"/>
          <w:left w:val="single" w:sz="8" w:space="0" w:color="000000"/>
          <w:bottom w:val="nil"/>
          <w:right w:val="nil"/>
          <w:insideH w:val="nil"/>
          <w:insideV w:val="nil"/>
        </w:tcBorders>
        <w:shd w:val="clear" w:color="000000" w:fill="FFFFFF"/>
      </w:tcPr>
    </w:tblStylePr>
    <w:tblStylePr w:type="band1Vert">
      <w:tblPr/>
      <w:tcPr>
        <w:tcBorders>
          <w:left w:val="nil"/>
          <w:right w:val="nil"/>
          <w:insideH w:val="nil"/>
          <w:insideV w:val="nil"/>
        </w:tcBorders>
        <w:shd w:val="clear" w:color="000000" w:fill="FFFFFF"/>
      </w:tcPr>
    </w:tblStylePr>
    <w:tblStylePr w:type="band1Horz">
      <w:tblPr/>
      <w:tcPr>
        <w:tcBorders>
          <w:top w:val="nil"/>
          <w:bottom w:val="nil"/>
          <w:insideH w:val="nil"/>
          <w:insideV w:val="nil"/>
        </w:tcBorders>
        <w:shd w:val="clear" w:color="000000" w:fill="FFFFFF"/>
      </w:tcPr>
    </w:tblStylePr>
    <w:tblStylePr w:type="nwCell">
      <w:tblPr/>
      <w:tcPr>
        <w:shd w:val="clear" w:color="000000" w:fill="FFFFFF"/>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000000"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000000" w:fill="FFFFFF"/>
      </w:tcPr>
    </w:tblStylePr>
    <w:tblStylePr w:type="band1Horz">
      <w:tblPr/>
      <w:tcPr>
        <w:shd w:val="clear" w:color="000000" w:fill="FFFFF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000000"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000000" w:fill="FFFFFF"/>
      </w:tcPr>
    </w:tblStylePr>
    <w:tblStylePr w:type="band1Horz">
      <w:tblPr/>
      <w:tcPr>
        <w:shd w:val="clear" w:color="000000" w:fill="FFFFF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000000"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000000" w:fill="FFFFFF"/>
      </w:tcPr>
    </w:tblStylePr>
    <w:tblStylePr w:type="band1Horz">
      <w:tblPr/>
      <w:tcPr>
        <w:shd w:val="clear" w:color="000000" w:fill="FFFFF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000000"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000000" w:fill="FFFFFF"/>
      </w:tcPr>
    </w:tblStylePr>
    <w:tblStylePr w:type="band1Horz">
      <w:tblPr/>
      <w:tcPr>
        <w:shd w:val="clear" w:color="000000" w:fill="FFFFF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000000"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000000" w:fill="FFFFFF"/>
      </w:tcPr>
    </w:tblStylePr>
    <w:tblStylePr w:type="band1Horz">
      <w:tblPr/>
      <w:tcPr>
        <w:shd w:val="clear" w:color="000000" w:fill="FFFFF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000000"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000000" w:fill="FFFFFF"/>
      </w:tcPr>
    </w:tblStylePr>
    <w:tblStylePr w:type="band1Horz">
      <w:tblPr/>
      <w:tcPr>
        <w:shd w:val="clear" w:color="000000" w:fill="FFFFF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000000"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000000" w:fill="FFFFFF"/>
      </w:tcPr>
    </w:tblStylePr>
    <w:tblStylePr w:type="band1Horz">
      <w:tblPr/>
      <w:tcPr>
        <w:shd w:val="clear" w:color="000000" w:fill="FFFFF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000000" w:fill="FFFFFF"/>
    </w:tcPr>
    <w:tblStylePr w:type="firstRow">
      <w:rPr>
        <w:b/>
        <w:bCs/>
        <w:color w:val="000000"/>
      </w:rPr>
      <w:tblPr/>
      <w:tcPr>
        <w:shd w:val="clear" w:color="000000" w:fill="FFFFFF"/>
      </w:tcPr>
    </w:tblStylePr>
    <w:tblStylePr w:type="lastRow">
      <w:rPr>
        <w:b/>
        <w:bCs/>
        <w:color w:val="000000"/>
      </w:rPr>
      <w:tblPr/>
      <w:tcPr>
        <w:tcBorders>
          <w:top w:val="single" w:sz="12" w:space="0" w:color="000000"/>
          <w:left w:val="nil"/>
          <w:bottom w:val="nil"/>
          <w:right w:val="nil"/>
          <w:insideH w:val="nil"/>
          <w:insideV w:val="nil"/>
        </w:tcBorders>
        <w:shd w:val="clear" w:color="000000" w:fill="FFFFFF"/>
      </w:tcPr>
    </w:tblStylePr>
    <w:tblStylePr w:type="firstCol">
      <w:rPr>
        <w:b/>
        <w:bCs/>
        <w:color w:val="000000"/>
      </w:rPr>
      <w:tblPr/>
      <w:tcPr>
        <w:tcBorders>
          <w:top w:val="nil"/>
          <w:left w:val="nil"/>
          <w:bottom w:val="nil"/>
          <w:right w:val="nil"/>
          <w:insideH w:val="nil"/>
          <w:insideV w:val="nil"/>
        </w:tcBorders>
        <w:shd w:val="clear" w:color="000000" w:fill="FFFFFF"/>
      </w:tcPr>
    </w:tblStylePr>
    <w:tblStylePr w:type="lastCol">
      <w:rPr>
        <w:b w:val="0"/>
        <w:bCs w:val="0"/>
        <w:color w:val="000000"/>
      </w:rPr>
      <w:tblPr/>
      <w:tcPr>
        <w:tcBorders>
          <w:top w:val="nil"/>
          <w:left w:val="nil"/>
          <w:bottom w:val="nil"/>
          <w:right w:val="nil"/>
          <w:insideH w:val="nil"/>
          <w:insideV w:val="nil"/>
        </w:tcBorders>
        <w:shd w:val="clear" w:color="000000" w:fill="FFFFFF"/>
      </w:tcPr>
    </w:tblStylePr>
    <w:tblStylePr w:type="band1Vert">
      <w:tblPr/>
      <w:tcPr>
        <w:shd w:val="clear" w:color="000000" w:fill="FFFFFF"/>
      </w:tcPr>
    </w:tblStylePr>
    <w:tblStylePr w:type="band1Horz">
      <w:tblPr/>
      <w:tcPr>
        <w:tcBorders>
          <w:insideH w:val="single" w:sz="6" w:space="0" w:color="000000"/>
          <w:insideV w:val="single" w:sz="6" w:space="0" w:color="000000"/>
        </w:tcBorders>
        <w:shd w:val="clear" w:color="000000" w:fill="FFFFFF"/>
      </w:tcPr>
    </w:tblStylePr>
    <w:tblStylePr w:type="nwCell">
      <w:tblPr/>
      <w:tcPr>
        <w:shd w:val="clear" w:color="000000" w:fill="FFFFFF"/>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000000" w:fill="FFFFFF"/>
    </w:tcPr>
    <w:tblStylePr w:type="firstRow">
      <w:rPr>
        <w:b/>
        <w:bCs/>
        <w:color w:val="000000"/>
      </w:rPr>
      <w:tblPr/>
      <w:tcPr>
        <w:shd w:val="clear" w:color="000000" w:fill="FFFFFF"/>
      </w:tcPr>
    </w:tblStylePr>
    <w:tblStylePr w:type="lastRow">
      <w:rPr>
        <w:b/>
        <w:bCs/>
        <w:color w:val="000000"/>
      </w:rPr>
      <w:tblPr/>
      <w:tcPr>
        <w:tcBorders>
          <w:top w:val="single" w:sz="12" w:space="0" w:color="000000"/>
          <w:left w:val="nil"/>
          <w:bottom w:val="nil"/>
          <w:right w:val="nil"/>
          <w:insideH w:val="nil"/>
          <w:insideV w:val="nil"/>
        </w:tcBorders>
        <w:shd w:val="clear" w:color="000000" w:fill="FFFFFF"/>
      </w:tcPr>
    </w:tblStylePr>
    <w:tblStylePr w:type="firstCol">
      <w:rPr>
        <w:b/>
        <w:bCs/>
        <w:color w:val="000000"/>
      </w:rPr>
      <w:tblPr/>
      <w:tcPr>
        <w:tcBorders>
          <w:top w:val="nil"/>
          <w:left w:val="nil"/>
          <w:bottom w:val="nil"/>
          <w:right w:val="nil"/>
          <w:insideH w:val="nil"/>
          <w:insideV w:val="nil"/>
        </w:tcBorders>
        <w:shd w:val="clear" w:color="000000" w:fill="FFFFFF"/>
      </w:tcPr>
    </w:tblStylePr>
    <w:tblStylePr w:type="lastCol">
      <w:rPr>
        <w:b w:val="0"/>
        <w:bCs w:val="0"/>
        <w:color w:val="000000"/>
      </w:rPr>
      <w:tblPr/>
      <w:tcPr>
        <w:tcBorders>
          <w:top w:val="nil"/>
          <w:left w:val="nil"/>
          <w:bottom w:val="nil"/>
          <w:right w:val="nil"/>
          <w:insideH w:val="nil"/>
          <w:insideV w:val="nil"/>
        </w:tcBorders>
        <w:shd w:val="clear" w:color="000000" w:fill="FFFFFF"/>
      </w:tcPr>
    </w:tblStylePr>
    <w:tblStylePr w:type="band1Vert">
      <w:tblPr/>
      <w:tcPr>
        <w:shd w:val="clear" w:color="000000" w:fill="FFFFFF"/>
      </w:tcPr>
    </w:tblStylePr>
    <w:tblStylePr w:type="band1Horz">
      <w:tblPr/>
      <w:tcPr>
        <w:tcBorders>
          <w:insideH w:val="single" w:sz="6" w:space="0" w:color="000000"/>
          <w:insideV w:val="single" w:sz="6" w:space="0" w:color="000000"/>
        </w:tcBorders>
        <w:shd w:val="clear" w:color="000000" w:fill="FFFFFF"/>
      </w:tcPr>
    </w:tblStylePr>
    <w:tblStylePr w:type="nwCell">
      <w:tblPr/>
      <w:tcPr>
        <w:shd w:val="clear" w:color="000000" w:fill="FFFFFF"/>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000000" w:fill="FFFFFF"/>
    </w:tcPr>
    <w:tblStylePr w:type="firstRow">
      <w:rPr>
        <w:b/>
        <w:bCs/>
        <w:color w:val="000000"/>
      </w:rPr>
      <w:tblPr/>
      <w:tcPr>
        <w:shd w:val="clear" w:color="000000" w:fill="FFFFFF"/>
      </w:tcPr>
    </w:tblStylePr>
    <w:tblStylePr w:type="lastRow">
      <w:rPr>
        <w:b/>
        <w:bCs/>
        <w:color w:val="000000"/>
      </w:rPr>
      <w:tblPr/>
      <w:tcPr>
        <w:tcBorders>
          <w:top w:val="single" w:sz="12" w:space="0" w:color="000000"/>
          <w:left w:val="nil"/>
          <w:bottom w:val="nil"/>
          <w:right w:val="nil"/>
          <w:insideH w:val="nil"/>
          <w:insideV w:val="nil"/>
        </w:tcBorders>
        <w:shd w:val="clear" w:color="000000" w:fill="FFFFFF"/>
      </w:tcPr>
    </w:tblStylePr>
    <w:tblStylePr w:type="firstCol">
      <w:rPr>
        <w:b/>
        <w:bCs/>
        <w:color w:val="000000"/>
      </w:rPr>
      <w:tblPr/>
      <w:tcPr>
        <w:tcBorders>
          <w:top w:val="nil"/>
          <w:left w:val="nil"/>
          <w:bottom w:val="nil"/>
          <w:right w:val="nil"/>
          <w:insideH w:val="nil"/>
          <w:insideV w:val="nil"/>
        </w:tcBorders>
        <w:shd w:val="clear" w:color="000000" w:fill="FFFFFF"/>
      </w:tcPr>
    </w:tblStylePr>
    <w:tblStylePr w:type="lastCol">
      <w:rPr>
        <w:b w:val="0"/>
        <w:bCs w:val="0"/>
        <w:color w:val="000000"/>
      </w:rPr>
      <w:tblPr/>
      <w:tcPr>
        <w:tcBorders>
          <w:top w:val="nil"/>
          <w:left w:val="nil"/>
          <w:bottom w:val="nil"/>
          <w:right w:val="nil"/>
          <w:insideH w:val="nil"/>
          <w:insideV w:val="nil"/>
        </w:tcBorders>
        <w:shd w:val="clear" w:color="000000" w:fill="FFFFFF"/>
      </w:tcPr>
    </w:tblStylePr>
    <w:tblStylePr w:type="band1Vert">
      <w:tblPr/>
      <w:tcPr>
        <w:shd w:val="clear" w:color="000000" w:fill="FFFFFF"/>
      </w:tcPr>
    </w:tblStylePr>
    <w:tblStylePr w:type="band1Horz">
      <w:tblPr/>
      <w:tcPr>
        <w:tcBorders>
          <w:insideH w:val="single" w:sz="6" w:space="0" w:color="000000"/>
          <w:insideV w:val="single" w:sz="6" w:space="0" w:color="000000"/>
        </w:tcBorders>
        <w:shd w:val="clear" w:color="000000" w:fill="FFFFFF"/>
      </w:tcPr>
    </w:tblStylePr>
    <w:tblStylePr w:type="nwCell">
      <w:tblPr/>
      <w:tcPr>
        <w:shd w:val="clear" w:color="000000" w:fill="FFFFFF"/>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000000" w:fill="FFFFFF"/>
    </w:tcPr>
    <w:tblStylePr w:type="firstRow">
      <w:rPr>
        <w:b/>
        <w:bCs/>
        <w:color w:val="000000"/>
      </w:rPr>
      <w:tblPr/>
      <w:tcPr>
        <w:shd w:val="clear" w:color="000000" w:fill="FFFFFF"/>
      </w:tcPr>
    </w:tblStylePr>
    <w:tblStylePr w:type="lastRow">
      <w:rPr>
        <w:b/>
        <w:bCs/>
        <w:color w:val="000000"/>
      </w:rPr>
      <w:tblPr/>
      <w:tcPr>
        <w:tcBorders>
          <w:top w:val="single" w:sz="12" w:space="0" w:color="000000"/>
          <w:left w:val="nil"/>
          <w:bottom w:val="nil"/>
          <w:right w:val="nil"/>
          <w:insideH w:val="nil"/>
          <w:insideV w:val="nil"/>
        </w:tcBorders>
        <w:shd w:val="clear" w:color="000000" w:fill="FFFFFF"/>
      </w:tcPr>
    </w:tblStylePr>
    <w:tblStylePr w:type="firstCol">
      <w:rPr>
        <w:b/>
        <w:bCs/>
        <w:color w:val="000000"/>
      </w:rPr>
      <w:tblPr/>
      <w:tcPr>
        <w:tcBorders>
          <w:top w:val="nil"/>
          <w:left w:val="nil"/>
          <w:bottom w:val="nil"/>
          <w:right w:val="nil"/>
          <w:insideH w:val="nil"/>
          <w:insideV w:val="nil"/>
        </w:tcBorders>
        <w:shd w:val="clear" w:color="000000" w:fill="FFFFFF"/>
      </w:tcPr>
    </w:tblStylePr>
    <w:tblStylePr w:type="lastCol">
      <w:rPr>
        <w:b w:val="0"/>
        <w:bCs w:val="0"/>
        <w:color w:val="000000"/>
      </w:rPr>
      <w:tblPr/>
      <w:tcPr>
        <w:tcBorders>
          <w:top w:val="nil"/>
          <w:left w:val="nil"/>
          <w:bottom w:val="nil"/>
          <w:right w:val="nil"/>
          <w:insideH w:val="nil"/>
          <w:insideV w:val="nil"/>
        </w:tcBorders>
        <w:shd w:val="clear" w:color="000000" w:fill="FFFFFF"/>
      </w:tcPr>
    </w:tblStylePr>
    <w:tblStylePr w:type="band1Vert">
      <w:tblPr/>
      <w:tcPr>
        <w:shd w:val="clear" w:color="000000" w:fill="FFFFFF"/>
      </w:tcPr>
    </w:tblStylePr>
    <w:tblStylePr w:type="band1Horz">
      <w:tblPr/>
      <w:tcPr>
        <w:tcBorders>
          <w:insideH w:val="single" w:sz="6" w:space="0" w:color="000000"/>
          <w:insideV w:val="single" w:sz="6" w:space="0" w:color="000000"/>
        </w:tcBorders>
        <w:shd w:val="clear" w:color="000000" w:fill="FFFFFF"/>
      </w:tcPr>
    </w:tblStylePr>
    <w:tblStylePr w:type="nwCell">
      <w:tblPr/>
      <w:tcPr>
        <w:shd w:val="clear" w:color="000000" w:fill="FFFFFF"/>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000000" w:fill="FFFFFF"/>
    </w:tcPr>
    <w:tblStylePr w:type="firstRow">
      <w:rPr>
        <w:b/>
        <w:bCs/>
        <w:color w:val="000000"/>
      </w:rPr>
      <w:tblPr/>
      <w:tcPr>
        <w:shd w:val="clear" w:color="000000" w:fill="FFFFFF"/>
      </w:tcPr>
    </w:tblStylePr>
    <w:tblStylePr w:type="lastRow">
      <w:rPr>
        <w:b/>
        <w:bCs/>
        <w:color w:val="000000"/>
      </w:rPr>
      <w:tblPr/>
      <w:tcPr>
        <w:tcBorders>
          <w:top w:val="single" w:sz="12" w:space="0" w:color="000000"/>
          <w:left w:val="nil"/>
          <w:bottom w:val="nil"/>
          <w:right w:val="nil"/>
          <w:insideH w:val="nil"/>
          <w:insideV w:val="nil"/>
        </w:tcBorders>
        <w:shd w:val="clear" w:color="000000" w:fill="FFFFFF"/>
      </w:tcPr>
    </w:tblStylePr>
    <w:tblStylePr w:type="firstCol">
      <w:rPr>
        <w:b/>
        <w:bCs/>
        <w:color w:val="000000"/>
      </w:rPr>
      <w:tblPr/>
      <w:tcPr>
        <w:tcBorders>
          <w:top w:val="nil"/>
          <w:left w:val="nil"/>
          <w:bottom w:val="nil"/>
          <w:right w:val="nil"/>
          <w:insideH w:val="nil"/>
          <w:insideV w:val="nil"/>
        </w:tcBorders>
        <w:shd w:val="clear" w:color="000000" w:fill="FFFFFF"/>
      </w:tcPr>
    </w:tblStylePr>
    <w:tblStylePr w:type="lastCol">
      <w:rPr>
        <w:b w:val="0"/>
        <w:bCs w:val="0"/>
        <w:color w:val="000000"/>
      </w:rPr>
      <w:tblPr/>
      <w:tcPr>
        <w:tcBorders>
          <w:top w:val="nil"/>
          <w:left w:val="nil"/>
          <w:bottom w:val="nil"/>
          <w:right w:val="nil"/>
          <w:insideH w:val="nil"/>
          <w:insideV w:val="nil"/>
        </w:tcBorders>
        <w:shd w:val="clear" w:color="000000" w:fill="FFFFFF"/>
      </w:tcPr>
    </w:tblStylePr>
    <w:tblStylePr w:type="band1Vert">
      <w:tblPr/>
      <w:tcPr>
        <w:shd w:val="clear" w:color="000000" w:fill="FFFFFF"/>
      </w:tcPr>
    </w:tblStylePr>
    <w:tblStylePr w:type="band1Horz">
      <w:tblPr/>
      <w:tcPr>
        <w:tcBorders>
          <w:insideH w:val="single" w:sz="6" w:space="0" w:color="000000"/>
          <w:insideV w:val="single" w:sz="6" w:space="0" w:color="000000"/>
        </w:tcBorders>
        <w:shd w:val="clear" w:color="000000" w:fill="FFFFFF"/>
      </w:tcPr>
    </w:tblStylePr>
    <w:tblStylePr w:type="nwCell">
      <w:tblPr/>
      <w:tcPr>
        <w:shd w:val="clear" w:color="000000" w:fill="FFFFFF"/>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000000" w:fill="FFFFFF"/>
    </w:tcPr>
    <w:tblStylePr w:type="firstRow">
      <w:rPr>
        <w:b/>
        <w:bCs/>
        <w:color w:val="000000"/>
      </w:rPr>
      <w:tblPr/>
      <w:tcPr>
        <w:shd w:val="clear" w:color="000000" w:fill="FFFFFF"/>
      </w:tcPr>
    </w:tblStylePr>
    <w:tblStylePr w:type="lastRow">
      <w:rPr>
        <w:b/>
        <w:bCs/>
        <w:color w:val="000000"/>
      </w:rPr>
      <w:tblPr/>
      <w:tcPr>
        <w:tcBorders>
          <w:top w:val="single" w:sz="12" w:space="0" w:color="000000"/>
          <w:left w:val="nil"/>
          <w:bottom w:val="nil"/>
          <w:right w:val="nil"/>
          <w:insideH w:val="nil"/>
          <w:insideV w:val="nil"/>
        </w:tcBorders>
        <w:shd w:val="clear" w:color="000000" w:fill="FFFFFF"/>
      </w:tcPr>
    </w:tblStylePr>
    <w:tblStylePr w:type="firstCol">
      <w:rPr>
        <w:b/>
        <w:bCs/>
        <w:color w:val="000000"/>
      </w:rPr>
      <w:tblPr/>
      <w:tcPr>
        <w:tcBorders>
          <w:top w:val="nil"/>
          <w:left w:val="nil"/>
          <w:bottom w:val="nil"/>
          <w:right w:val="nil"/>
          <w:insideH w:val="nil"/>
          <w:insideV w:val="nil"/>
        </w:tcBorders>
        <w:shd w:val="clear" w:color="000000" w:fill="FFFFFF"/>
      </w:tcPr>
    </w:tblStylePr>
    <w:tblStylePr w:type="lastCol">
      <w:rPr>
        <w:b w:val="0"/>
        <w:bCs w:val="0"/>
        <w:color w:val="000000"/>
      </w:rPr>
      <w:tblPr/>
      <w:tcPr>
        <w:tcBorders>
          <w:top w:val="nil"/>
          <w:left w:val="nil"/>
          <w:bottom w:val="nil"/>
          <w:right w:val="nil"/>
          <w:insideH w:val="nil"/>
          <w:insideV w:val="nil"/>
        </w:tcBorders>
        <w:shd w:val="clear" w:color="000000" w:fill="FFFFFF"/>
      </w:tcPr>
    </w:tblStylePr>
    <w:tblStylePr w:type="band1Vert">
      <w:tblPr/>
      <w:tcPr>
        <w:shd w:val="clear" w:color="000000" w:fill="FFFFFF"/>
      </w:tcPr>
    </w:tblStylePr>
    <w:tblStylePr w:type="band1Horz">
      <w:tblPr/>
      <w:tcPr>
        <w:tcBorders>
          <w:insideH w:val="single" w:sz="6" w:space="0" w:color="000000"/>
          <w:insideV w:val="single" w:sz="6" w:space="0" w:color="000000"/>
        </w:tcBorders>
        <w:shd w:val="clear" w:color="000000" w:fill="FFFFFF"/>
      </w:tcPr>
    </w:tblStylePr>
    <w:tblStylePr w:type="nwCell">
      <w:tblPr/>
      <w:tcPr>
        <w:shd w:val="clear" w:color="000000" w:fill="FFFFFF"/>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000000" w:fill="FFFFFF"/>
    </w:tcPr>
    <w:tblStylePr w:type="firstRow">
      <w:rPr>
        <w:b/>
        <w:bCs/>
        <w:color w:val="000000"/>
      </w:rPr>
      <w:tblPr/>
      <w:tcPr>
        <w:shd w:val="clear" w:color="000000" w:fill="FFFFFF"/>
      </w:tcPr>
    </w:tblStylePr>
    <w:tblStylePr w:type="lastRow">
      <w:rPr>
        <w:b/>
        <w:bCs/>
        <w:color w:val="000000"/>
      </w:rPr>
      <w:tblPr/>
      <w:tcPr>
        <w:tcBorders>
          <w:top w:val="single" w:sz="12" w:space="0" w:color="000000"/>
          <w:left w:val="nil"/>
          <w:bottom w:val="nil"/>
          <w:right w:val="nil"/>
          <w:insideH w:val="nil"/>
          <w:insideV w:val="nil"/>
        </w:tcBorders>
        <w:shd w:val="clear" w:color="000000" w:fill="FFFFFF"/>
      </w:tcPr>
    </w:tblStylePr>
    <w:tblStylePr w:type="firstCol">
      <w:rPr>
        <w:b/>
        <w:bCs/>
        <w:color w:val="000000"/>
      </w:rPr>
      <w:tblPr/>
      <w:tcPr>
        <w:tcBorders>
          <w:top w:val="nil"/>
          <w:left w:val="nil"/>
          <w:bottom w:val="nil"/>
          <w:right w:val="nil"/>
          <w:insideH w:val="nil"/>
          <w:insideV w:val="nil"/>
        </w:tcBorders>
        <w:shd w:val="clear" w:color="000000" w:fill="FFFFFF"/>
      </w:tcPr>
    </w:tblStylePr>
    <w:tblStylePr w:type="lastCol">
      <w:rPr>
        <w:b w:val="0"/>
        <w:bCs w:val="0"/>
        <w:color w:val="000000"/>
      </w:rPr>
      <w:tblPr/>
      <w:tcPr>
        <w:tcBorders>
          <w:top w:val="nil"/>
          <w:left w:val="nil"/>
          <w:bottom w:val="nil"/>
          <w:right w:val="nil"/>
          <w:insideH w:val="nil"/>
          <w:insideV w:val="nil"/>
        </w:tcBorders>
        <w:shd w:val="clear" w:color="000000" w:fill="FFFFFF"/>
      </w:tcPr>
    </w:tblStylePr>
    <w:tblStylePr w:type="band1Vert">
      <w:tblPr/>
      <w:tcPr>
        <w:shd w:val="clear" w:color="000000" w:fill="FFFFFF"/>
      </w:tcPr>
    </w:tblStylePr>
    <w:tblStylePr w:type="band1Horz">
      <w:tblPr/>
      <w:tcPr>
        <w:tcBorders>
          <w:insideH w:val="single" w:sz="6" w:space="0" w:color="000000"/>
          <w:insideV w:val="single" w:sz="6" w:space="0" w:color="000000"/>
        </w:tcBorders>
        <w:shd w:val="clear" w:color="000000" w:fill="FFFFFF"/>
      </w:tcPr>
    </w:tblStylePr>
    <w:tblStylePr w:type="nwCell">
      <w:tblPr/>
      <w:tcPr>
        <w:shd w:val="clear" w:color="000000" w:fill="FFFFFF"/>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top w:w="0" w:type="dxa"/>
        <w:left w:w="108" w:type="dxa"/>
        <w:bottom w:w="0" w:type="dxa"/>
        <w:right w:w="108" w:type="dxa"/>
      </w:tblCellMar>
    </w:tblPr>
    <w:tcPr>
      <w:shd w:val="clear" w:color="000000" w:fill="FFFFFF"/>
    </w:tcPr>
    <w:tblStylePr w:type="firstRow">
      <w:rPr>
        <w:b/>
        <w:bCs/>
        <w:i w:val="0"/>
        <w:iCs w:val="0"/>
        <w:color w:val="000000"/>
      </w:rPr>
      <w:tblPr/>
      <w:tcPr>
        <w:tcBorders>
          <w:top w:val="single" w:sz="8" w:space="0" w:color="000000"/>
          <w:left w:val="single" w:sz="8" w:space="0" w:color="000000"/>
          <w:bottom w:val="single" w:sz="24" w:space="0" w:color="000000"/>
          <w:right w:val="single" w:sz="8" w:space="0" w:color="000000"/>
          <w:insideH w:val="nil"/>
          <w:insideV w:val="single" w:sz="8" w:space="0" w:color="000000"/>
        </w:tcBorders>
        <w:shd w:val="clear" w:color="000000" w:fill="FFFFFF"/>
      </w:tcPr>
    </w:tblStylePr>
    <w:tblStylePr w:type="lastRow">
      <w:rPr>
        <w:b/>
        <w:bCs/>
        <w:i w:val="0"/>
        <w:iCs w:val="0"/>
        <w:color w:val="000000"/>
      </w:rPr>
      <w:tblPr/>
      <w:tcPr>
        <w:tcBorders>
          <w:top w:val="single" w:sz="24" w:space="0" w:color="000000"/>
          <w:left w:val="single" w:sz="8" w:space="0" w:color="000000"/>
          <w:bottom w:val="single" w:sz="8" w:space="0" w:color="000000"/>
          <w:right w:val="single" w:sz="8" w:space="0" w:color="000000"/>
          <w:insideH w:val="nil"/>
          <w:insideV w:val="single" w:sz="8" w:space="0" w:color="000000"/>
        </w:tcBorders>
        <w:shd w:val="clear" w:color="000000" w:fill="FFFFFF"/>
      </w:tcPr>
    </w:tblStylePr>
    <w:tblStylePr w:type="firstCol">
      <w:rPr>
        <w:b/>
        <w:bCs/>
        <w:i w:val="0"/>
        <w:iCs w:val="0"/>
        <w:color w:val="000000"/>
      </w:rPr>
      <w:tblPr/>
      <w:tcPr>
        <w:tcBorders>
          <w:left w:val="single" w:sz="8" w:space="0" w:color="000000"/>
          <w:right w:val="single" w:sz="24" w:space="0" w:color="000000"/>
          <w:insideH w:val="nil"/>
          <w:insideV w:val="nil"/>
        </w:tcBorders>
        <w:shd w:val="clear" w:color="000000" w:fill="FFFFFF"/>
      </w:tcPr>
    </w:tblStylePr>
    <w:tblStylePr w:type="lastCol">
      <w:rPr>
        <w:b/>
        <w:bCs/>
        <w:i w:val="0"/>
        <w:iCs w:val="0"/>
        <w:color w:val="000000"/>
      </w:rPr>
      <w:tblPr/>
      <w:tcPr>
        <w:tcBorders>
          <w:top w:val="nil"/>
          <w:left w:val="single" w:sz="24" w:space="0" w:color="000000"/>
          <w:bottom w:val="nil"/>
          <w:right w:val="nil"/>
          <w:insideH w:val="nil"/>
          <w:insideV w:val="nil"/>
        </w:tcBorders>
        <w:shd w:val="clear" w:color="000000" w:fill="FFFFFF"/>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cBorders>
        <w:shd w:val="clear" w:color="000000" w:fill="FFFFFF"/>
      </w:tcPr>
    </w:tblStylePr>
    <w:tblStylePr w:type="band1Horz">
      <w:tblPr/>
      <w:tcP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val="clear" w:color="000000" w:fill="FFFFF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top w:w="0" w:type="dxa"/>
        <w:left w:w="108" w:type="dxa"/>
        <w:bottom w:w="0" w:type="dxa"/>
        <w:right w:w="108" w:type="dxa"/>
      </w:tblCellMar>
    </w:tblPr>
    <w:tcPr>
      <w:shd w:val="clear" w:color="000000" w:fill="FFFFFF"/>
    </w:tcPr>
    <w:tblStylePr w:type="firstRow">
      <w:rPr>
        <w:b/>
        <w:bCs/>
        <w:i w:val="0"/>
        <w:iCs w:val="0"/>
        <w:color w:val="000000"/>
      </w:rPr>
      <w:tblPr/>
      <w:tcPr>
        <w:tcBorders>
          <w:top w:val="single" w:sz="8" w:space="0" w:color="000000"/>
          <w:left w:val="single" w:sz="8" w:space="0" w:color="000000"/>
          <w:bottom w:val="single" w:sz="24" w:space="0" w:color="000000"/>
          <w:right w:val="single" w:sz="8" w:space="0" w:color="000000"/>
          <w:insideH w:val="nil"/>
          <w:insideV w:val="single" w:sz="8" w:space="0" w:color="000000"/>
        </w:tcBorders>
        <w:shd w:val="clear" w:color="000000" w:fill="FFFFFF"/>
      </w:tcPr>
    </w:tblStylePr>
    <w:tblStylePr w:type="lastRow">
      <w:rPr>
        <w:b/>
        <w:bCs/>
        <w:i w:val="0"/>
        <w:iCs w:val="0"/>
        <w:color w:val="000000"/>
      </w:rPr>
      <w:tblPr/>
      <w:tcPr>
        <w:tcBorders>
          <w:top w:val="single" w:sz="24" w:space="0" w:color="000000"/>
          <w:left w:val="single" w:sz="8" w:space="0" w:color="000000"/>
          <w:bottom w:val="single" w:sz="8" w:space="0" w:color="000000"/>
          <w:right w:val="single" w:sz="8" w:space="0" w:color="000000"/>
          <w:insideH w:val="nil"/>
          <w:insideV w:val="single" w:sz="8" w:space="0" w:color="000000"/>
        </w:tcBorders>
        <w:shd w:val="clear" w:color="000000" w:fill="FFFFFF"/>
      </w:tcPr>
    </w:tblStylePr>
    <w:tblStylePr w:type="firstCol">
      <w:rPr>
        <w:b/>
        <w:bCs/>
        <w:i w:val="0"/>
        <w:iCs w:val="0"/>
        <w:color w:val="000000"/>
      </w:rPr>
      <w:tblPr/>
      <w:tcPr>
        <w:tcBorders>
          <w:left w:val="single" w:sz="8" w:space="0" w:color="000000"/>
          <w:right w:val="single" w:sz="24" w:space="0" w:color="000000"/>
          <w:insideH w:val="nil"/>
          <w:insideV w:val="nil"/>
        </w:tcBorders>
        <w:shd w:val="clear" w:color="000000" w:fill="FFFFFF"/>
      </w:tcPr>
    </w:tblStylePr>
    <w:tblStylePr w:type="lastCol">
      <w:rPr>
        <w:b/>
        <w:bCs/>
        <w:i w:val="0"/>
        <w:iCs w:val="0"/>
        <w:color w:val="000000"/>
      </w:rPr>
      <w:tblPr/>
      <w:tcPr>
        <w:tcBorders>
          <w:top w:val="nil"/>
          <w:left w:val="single" w:sz="24" w:space="0" w:color="000000"/>
          <w:bottom w:val="nil"/>
          <w:right w:val="nil"/>
          <w:insideH w:val="nil"/>
          <w:insideV w:val="nil"/>
        </w:tcBorders>
        <w:shd w:val="clear" w:color="000000" w:fill="FFFFFF"/>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cBorders>
        <w:shd w:val="clear" w:color="000000" w:fill="FFFFFF"/>
      </w:tcPr>
    </w:tblStylePr>
    <w:tblStylePr w:type="band1Horz">
      <w:tblPr/>
      <w:tcP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val="clear" w:color="000000" w:fill="FFFFF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top w:w="0" w:type="dxa"/>
        <w:left w:w="108" w:type="dxa"/>
        <w:bottom w:w="0" w:type="dxa"/>
        <w:right w:w="108" w:type="dxa"/>
      </w:tblCellMar>
    </w:tblPr>
    <w:tcPr>
      <w:shd w:val="clear" w:color="000000" w:fill="FFFFFF"/>
    </w:tcPr>
    <w:tblStylePr w:type="firstRow">
      <w:rPr>
        <w:b/>
        <w:bCs/>
        <w:i w:val="0"/>
        <w:iCs w:val="0"/>
        <w:color w:val="000000"/>
      </w:rPr>
      <w:tblPr/>
      <w:tcPr>
        <w:tcBorders>
          <w:top w:val="single" w:sz="8" w:space="0" w:color="000000"/>
          <w:left w:val="single" w:sz="8" w:space="0" w:color="000000"/>
          <w:bottom w:val="single" w:sz="24" w:space="0" w:color="000000"/>
          <w:right w:val="single" w:sz="8" w:space="0" w:color="000000"/>
          <w:insideH w:val="nil"/>
          <w:insideV w:val="single" w:sz="8" w:space="0" w:color="000000"/>
        </w:tcBorders>
        <w:shd w:val="clear" w:color="000000" w:fill="FFFFFF"/>
      </w:tcPr>
    </w:tblStylePr>
    <w:tblStylePr w:type="lastRow">
      <w:rPr>
        <w:b/>
        <w:bCs/>
        <w:i w:val="0"/>
        <w:iCs w:val="0"/>
        <w:color w:val="000000"/>
      </w:rPr>
      <w:tblPr/>
      <w:tcPr>
        <w:tcBorders>
          <w:top w:val="single" w:sz="24" w:space="0" w:color="000000"/>
          <w:left w:val="single" w:sz="8" w:space="0" w:color="000000"/>
          <w:bottom w:val="single" w:sz="8" w:space="0" w:color="000000"/>
          <w:right w:val="single" w:sz="8" w:space="0" w:color="000000"/>
          <w:insideH w:val="nil"/>
          <w:insideV w:val="single" w:sz="8" w:space="0" w:color="000000"/>
        </w:tcBorders>
        <w:shd w:val="clear" w:color="000000" w:fill="FFFFFF"/>
      </w:tcPr>
    </w:tblStylePr>
    <w:tblStylePr w:type="firstCol">
      <w:rPr>
        <w:b/>
        <w:bCs/>
        <w:i w:val="0"/>
        <w:iCs w:val="0"/>
        <w:color w:val="000000"/>
      </w:rPr>
      <w:tblPr/>
      <w:tcPr>
        <w:tcBorders>
          <w:left w:val="single" w:sz="8" w:space="0" w:color="000000"/>
          <w:right w:val="single" w:sz="24" w:space="0" w:color="000000"/>
          <w:insideH w:val="nil"/>
          <w:insideV w:val="nil"/>
        </w:tcBorders>
        <w:shd w:val="clear" w:color="000000" w:fill="FFFFFF"/>
      </w:tcPr>
    </w:tblStylePr>
    <w:tblStylePr w:type="lastCol">
      <w:rPr>
        <w:b/>
        <w:bCs/>
        <w:i w:val="0"/>
        <w:iCs w:val="0"/>
        <w:color w:val="000000"/>
      </w:rPr>
      <w:tblPr/>
      <w:tcPr>
        <w:tcBorders>
          <w:top w:val="nil"/>
          <w:left w:val="single" w:sz="24" w:space="0" w:color="000000"/>
          <w:bottom w:val="nil"/>
          <w:right w:val="nil"/>
          <w:insideH w:val="nil"/>
          <w:insideV w:val="nil"/>
        </w:tcBorders>
        <w:shd w:val="clear" w:color="000000" w:fill="FFFFFF"/>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cBorders>
        <w:shd w:val="clear" w:color="000000" w:fill="FFFFFF"/>
      </w:tcPr>
    </w:tblStylePr>
    <w:tblStylePr w:type="band1Horz">
      <w:tblPr/>
      <w:tcP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val="clear" w:color="000000" w:fill="FFFFF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top w:w="0" w:type="dxa"/>
        <w:left w:w="108" w:type="dxa"/>
        <w:bottom w:w="0" w:type="dxa"/>
        <w:right w:w="108" w:type="dxa"/>
      </w:tblCellMar>
    </w:tblPr>
    <w:tcPr>
      <w:shd w:val="clear" w:color="000000" w:fill="FFFFFF"/>
    </w:tcPr>
    <w:tblStylePr w:type="firstRow">
      <w:rPr>
        <w:b/>
        <w:bCs/>
        <w:i w:val="0"/>
        <w:iCs w:val="0"/>
        <w:color w:val="000000"/>
      </w:rPr>
      <w:tblPr/>
      <w:tcPr>
        <w:tcBorders>
          <w:top w:val="single" w:sz="8" w:space="0" w:color="000000"/>
          <w:left w:val="single" w:sz="8" w:space="0" w:color="000000"/>
          <w:bottom w:val="single" w:sz="24" w:space="0" w:color="000000"/>
          <w:right w:val="single" w:sz="8" w:space="0" w:color="000000"/>
          <w:insideH w:val="nil"/>
          <w:insideV w:val="single" w:sz="8" w:space="0" w:color="000000"/>
        </w:tcBorders>
        <w:shd w:val="clear" w:color="000000" w:fill="FFFFFF"/>
      </w:tcPr>
    </w:tblStylePr>
    <w:tblStylePr w:type="lastRow">
      <w:rPr>
        <w:b/>
        <w:bCs/>
        <w:i w:val="0"/>
        <w:iCs w:val="0"/>
        <w:color w:val="000000"/>
      </w:rPr>
      <w:tblPr/>
      <w:tcPr>
        <w:tcBorders>
          <w:top w:val="single" w:sz="24" w:space="0" w:color="000000"/>
          <w:left w:val="single" w:sz="8" w:space="0" w:color="000000"/>
          <w:bottom w:val="single" w:sz="8" w:space="0" w:color="000000"/>
          <w:right w:val="single" w:sz="8" w:space="0" w:color="000000"/>
          <w:insideH w:val="nil"/>
          <w:insideV w:val="single" w:sz="8" w:space="0" w:color="000000"/>
        </w:tcBorders>
        <w:shd w:val="clear" w:color="000000" w:fill="FFFFFF"/>
      </w:tcPr>
    </w:tblStylePr>
    <w:tblStylePr w:type="firstCol">
      <w:rPr>
        <w:b/>
        <w:bCs/>
        <w:i w:val="0"/>
        <w:iCs w:val="0"/>
        <w:color w:val="000000"/>
      </w:rPr>
      <w:tblPr/>
      <w:tcPr>
        <w:tcBorders>
          <w:left w:val="single" w:sz="8" w:space="0" w:color="000000"/>
          <w:right w:val="single" w:sz="24" w:space="0" w:color="000000"/>
          <w:insideH w:val="nil"/>
          <w:insideV w:val="nil"/>
        </w:tcBorders>
        <w:shd w:val="clear" w:color="000000" w:fill="FFFFFF"/>
      </w:tcPr>
    </w:tblStylePr>
    <w:tblStylePr w:type="lastCol">
      <w:rPr>
        <w:b/>
        <w:bCs/>
        <w:i w:val="0"/>
        <w:iCs w:val="0"/>
        <w:color w:val="000000"/>
      </w:rPr>
      <w:tblPr/>
      <w:tcPr>
        <w:tcBorders>
          <w:top w:val="nil"/>
          <w:left w:val="single" w:sz="24" w:space="0" w:color="000000"/>
          <w:bottom w:val="nil"/>
          <w:right w:val="nil"/>
          <w:insideH w:val="nil"/>
          <w:insideV w:val="nil"/>
        </w:tcBorders>
        <w:shd w:val="clear" w:color="000000" w:fill="FFFFFF"/>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cBorders>
        <w:shd w:val="clear" w:color="000000" w:fill="FFFFFF"/>
      </w:tcPr>
    </w:tblStylePr>
    <w:tblStylePr w:type="band1Horz">
      <w:tblPr/>
      <w:tcP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val="clear" w:color="000000" w:fill="FFFFF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top w:w="0" w:type="dxa"/>
        <w:left w:w="108" w:type="dxa"/>
        <w:bottom w:w="0" w:type="dxa"/>
        <w:right w:w="108" w:type="dxa"/>
      </w:tblCellMar>
    </w:tblPr>
    <w:tcPr>
      <w:shd w:val="clear" w:color="000000" w:fill="FFFFFF"/>
    </w:tcPr>
    <w:tblStylePr w:type="firstRow">
      <w:rPr>
        <w:b/>
        <w:bCs/>
        <w:i w:val="0"/>
        <w:iCs w:val="0"/>
        <w:color w:val="000000"/>
      </w:rPr>
      <w:tblPr/>
      <w:tcPr>
        <w:tcBorders>
          <w:top w:val="single" w:sz="8" w:space="0" w:color="000000"/>
          <w:left w:val="single" w:sz="8" w:space="0" w:color="000000"/>
          <w:bottom w:val="single" w:sz="24" w:space="0" w:color="000000"/>
          <w:right w:val="single" w:sz="8" w:space="0" w:color="000000"/>
          <w:insideH w:val="nil"/>
          <w:insideV w:val="single" w:sz="8" w:space="0" w:color="000000"/>
        </w:tcBorders>
        <w:shd w:val="clear" w:color="000000" w:fill="FFFFFF"/>
      </w:tcPr>
    </w:tblStylePr>
    <w:tblStylePr w:type="lastRow">
      <w:rPr>
        <w:b/>
        <w:bCs/>
        <w:i w:val="0"/>
        <w:iCs w:val="0"/>
        <w:color w:val="000000"/>
      </w:rPr>
      <w:tblPr/>
      <w:tcPr>
        <w:tcBorders>
          <w:top w:val="single" w:sz="24" w:space="0" w:color="000000"/>
          <w:left w:val="single" w:sz="8" w:space="0" w:color="000000"/>
          <w:bottom w:val="single" w:sz="8" w:space="0" w:color="000000"/>
          <w:right w:val="single" w:sz="8" w:space="0" w:color="000000"/>
          <w:insideH w:val="nil"/>
          <w:insideV w:val="single" w:sz="8" w:space="0" w:color="000000"/>
        </w:tcBorders>
        <w:shd w:val="clear" w:color="000000" w:fill="FFFFFF"/>
      </w:tcPr>
    </w:tblStylePr>
    <w:tblStylePr w:type="firstCol">
      <w:rPr>
        <w:b/>
        <w:bCs/>
        <w:i w:val="0"/>
        <w:iCs w:val="0"/>
        <w:color w:val="000000"/>
      </w:rPr>
      <w:tblPr/>
      <w:tcPr>
        <w:tcBorders>
          <w:left w:val="single" w:sz="8" w:space="0" w:color="000000"/>
          <w:right w:val="single" w:sz="24" w:space="0" w:color="000000"/>
          <w:insideH w:val="nil"/>
          <w:insideV w:val="nil"/>
        </w:tcBorders>
        <w:shd w:val="clear" w:color="000000" w:fill="FFFFFF"/>
      </w:tcPr>
    </w:tblStylePr>
    <w:tblStylePr w:type="lastCol">
      <w:rPr>
        <w:b/>
        <w:bCs/>
        <w:i w:val="0"/>
        <w:iCs w:val="0"/>
        <w:color w:val="000000"/>
      </w:rPr>
      <w:tblPr/>
      <w:tcPr>
        <w:tcBorders>
          <w:top w:val="nil"/>
          <w:left w:val="single" w:sz="24" w:space="0" w:color="000000"/>
          <w:bottom w:val="nil"/>
          <w:right w:val="nil"/>
          <w:insideH w:val="nil"/>
          <w:insideV w:val="nil"/>
        </w:tcBorders>
        <w:shd w:val="clear" w:color="000000" w:fill="FFFFFF"/>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cBorders>
        <w:shd w:val="clear" w:color="000000" w:fill="FFFFFF"/>
      </w:tcPr>
    </w:tblStylePr>
    <w:tblStylePr w:type="band1Horz">
      <w:tblPr/>
      <w:tcP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val="clear" w:color="000000" w:fill="FFFFF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top w:w="0" w:type="dxa"/>
        <w:left w:w="108" w:type="dxa"/>
        <w:bottom w:w="0" w:type="dxa"/>
        <w:right w:w="108" w:type="dxa"/>
      </w:tblCellMar>
    </w:tblPr>
    <w:tcPr>
      <w:shd w:val="clear" w:color="000000" w:fill="FFFFFF"/>
    </w:tcPr>
    <w:tblStylePr w:type="firstRow">
      <w:rPr>
        <w:b/>
        <w:bCs/>
        <w:i w:val="0"/>
        <w:iCs w:val="0"/>
        <w:color w:val="000000"/>
      </w:rPr>
      <w:tblPr/>
      <w:tcPr>
        <w:tcBorders>
          <w:top w:val="single" w:sz="8" w:space="0" w:color="000000"/>
          <w:left w:val="single" w:sz="8" w:space="0" w:color="000000"/>
          <w:bottom w:val="single" w:sz="24" w:space="0" w:color="000000"/>
          <w:right w:val="single" w:sz="8" w:space="0" w:color="000000"/>
          <w:insideH w:val="nil"/>
          <w:insideV w:val="single" w:sz="8" w:space="0" w:color="000000"/>
        </w:tcBorders>
        <w:shd w:val="clear" w:color="000000" w:fill="FFFFFF"/>
      </w:tcPr>
    </w:tblStylePr>
    <w:tblStylePr w:type="lastRow">
      <w:rPr>
        <w:b/>
        <w:bCs/>
        <w:i w:val="0"/>
        <w:iCs w:val="0"/>
        <w:color w:val="000000"/>
      </w:rPr>
      <w:tblPr/>
      <w:tcPr>
        <w:tcBorders>
          <w:top w:val="single" w:sz="24" w:space="0" w:color="000000"/>
          <w:left w:val="single" w:sz="8" w:space="0" w:color="000000"/>
          <w:bottom w:val="single" w:sz="8" w:space="0" w:color="000000"/>
          <w:right w:val="single" w:sz="8" w:space="0" w:color="000000"/>
          <w:insideH w:val="nil"/>
          <w:insideV w:val="single" w:sz="8" w:space="0" w:color="000000"/>
        </w:tcBorders>
        <w:shd w:val="clear" w:color="000000" w:fill="FFFFFF"/>
      </w:tcPr>
    </w:tblStylePr>
    <w:tblStylePr w:type="firstCol">
      <w:rPr>
        <w:b/>
        <w:bCs/>
        <w:i w:val="0"/>
        <w:iCs w:val="0"/>
        <w:color w:val="000000"/>
      </w:rPr>
      <w:tblPr/>
      <w:tcPr>
        <w:tcBorders>
          <w:left w:val="single" w:sz="8" w:space="0" w:color="000000"/>
          <w:right w:val="single" w:sz="24" w:space="0" w:color="000000"/>
          <w:insideH w:val="nil"/>
          <w:insideV w:val="nil"/>
        </w:tcBorders>
        <w:shd w:val="clear" w:color="000000" w:fill="FFFFFF"/>
      </w:tcPr>
    </w:tblStylePr>
    <w:tblStylePr w:type="lastCol">
      <w:rPr>
        <w:b/>
        <w:bCs/>
        <w:i w:val="0"/>
        <w:iCs w:val="0"/>
        <w:color w:val="000000"/>
      </w:rPr>
      <w:tblPr/>
      <w:tcPr>
        <w:tcBorders>
          <w:top w:val="nil"/>
          <w:left w:val="single" w:sz="24" w:space="0" w:color="000000"/>
          <w:bottom w:val="nil"/>
          <w:right w:val="nil"/>
          <w:insideH w:val="nil"/>
          <w:insideV w:val="nil"/>
        </w:tcBorders>
        <w:shd w:val="clear" w:color="000000" w:fill="FFFFFF"/>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cBorders>
        <w:shd w:val="clear" w:color="000000" w:fill="FFFFFF"/>
      </w:tcPr>
    </w:tblStylePr>
    <w:tblStylePr w:type="band1Horz">
      <w:tblPr/>
      <w:tcP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val="clear" w:color="000000" w:fill="FFFFF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top w:w="0" w:type="dxa"/>
        <w:left w:w="108" w:type="dxa"/>
        <w:bottom w:w="0" w:type="dxa"/>
        <w:right w:w="108" w:type="dxa"/>
      </w:tblCellMar>
    </w:tblPr>
    <w:tcPr>
      <w:shd w:val="clear" w:color="000000" w:fill="FFFFFF"/>
    </w:tcPr>
    <w:tblStylePr w:type="firstRow">
      <w:rPr>
        <w:b/>
        <w:bCs/>
        <w:i w:val="0"/>
        <w:iCs w:val="0"/>
        <w:color w:val="000000"/>
      </w:rPr>
      <w:tblPr/>
      <w:tcPr>
        <w:tcBorders>
          <w:top w:val="single" w:sz="8" w:space="0" w:color="000000"/>
          <w:left w:val="single" w:sz="8" w:space="0" w:color="000000"/>
          <w:bottom w:val="single" w:sz="24" w:space="0" w:color="000000"/>
          <w:right w:val="single" w:sz="8" w:space="0" w:color="000000"/>
          <w:insideH w:val="nil"/>
          <w:insideV w:val="single" w:sz="8" w:space="0" w:color="000000"/>
        </w:tcBorders>
        <w:shd w:val="clear" w:color="000000" w:fill="FFFFFF"/>
      </w:tcPr>
    </w:tblStylePr>
    <w:tblStylePr w:type="lastRow">
      <w:rPr>
        <w:b/>
        <w:bCs/>
        <w:i w:val="0"/>
        <w:iCs w:val="0"/>
        <w:color w:val="000000"/>
      </w:rPr>
      <w:tblPr/>
      <w:tcPr>
        <w:tcBorders>
          <w:top w:val="single" w:sz="24" w:space="0" w:color="000000"/>
          <w:left w:val="single" w:sz="8" w:space="0" w:color="000000"/>
          <w:bottom w:val="single" w:sz="8" w:space="0" w:color="000000"/>
          <w:right w:val="single" w:sz="8" w:space="0" w:color="000000"/>
          <w:insideH w:val="nil"/>
          <w:insideV w:val="single" w:sz="8" w:space="0" w:color="000000"/>
        </w:tcBorders>
        <w:shd w:val="clear" w:color="000000" w:fill="FFFFFF"/>
      </w:tcPr>
    </w:tblStylePr>
    <w:tblStylePr w:type="firstCol">
      <w:rPr>
        <w:b/>
        <w:bCs/>
        <w:i w:val="0"/>
        <w:iCs w:val="0"/>
        <w:color w:val="000000"/>
      </w:rPr>
      <w:tblPr/>
      <w:tcPr>
        <w:tcBorders>
          <w:left w:val="single" w:sz="8" w:space="0" w:color="000000"/>
          <w:right w:val="single" w:sz="24" w:space="0" w:color="000000"/>
          <w:insideH w:val="nil"/>
          <w:insideV w:val="nil"/>
        </w:tcBorders>
        <w:shd w:val="clear" w:color="000000" w:fill="FFFFFF"/>
      </w:tcPr>
    </w:tblStylePr>
    <w:tblStylePr w:type="lastCol">
      <w:rPr>
        <w:b/>
        <w:bCs/>
        <w:i w:val="0"/>
        <w:iCs w:val="0"/>
        <w:color w:val="000000"/>
      </w:rPr>
      <w:tblPr/>
      <w:tcPr>
        <w:tcBorders>
          <w:top w:val="nil"/>
          <w:left w:val="single" w:sz="24" w:space="0" w:color="000000"/>
          <w:bottom w:val="nil"/>
          <w:right w:val="nil"/>
          <w:insideH w:val="nil"/>
          <w:insideV w:val="nil"/>
        </w:tcBorders>
        <w:shd w:val="clear" w:color="000000" w:fill="FFFFFF"/>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cBorders>
        <w:shd w:val="clear" w:color="000000" w:fill="FFFFFF"/>
      </w:tcPr>
    </w:tblStylePr>
    <w:tblStylePr w:type="band1Horz">
      <w:tblPr/>
      <w:tcP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val="clear" w:color="000000" w:fill="FFFFF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000000" w:fill="FFFFFF"/>
    </w:tcPr>
    <w:tblStylePr w:type="firstRow">
      <w:rPr>
        <w:b/>
        <w:bCs/>
      </w:rPr>
      <w:tblPr/>
      <w:tcPr>
        <w:tcBorders>
          <w:top w:val="nil"/>
          <w:left w:val="nil"/>
          <w:bottom w:val="single" w:sz="18" w:space="0" w:color="000000"/>
          <w:right w:val="nil"/>
          <w:insideH w:val="nil"/>
          <w:insideV w:val="nil"/>
        </w:tcBorders>
        <w:shd w:val="clear" w:color="000000" w:fill="FFFFFF"/>
      </w:tcPr>
    </w:tblStylePr>
    <w:tblStylePr w:type="lastRow">
      <w:tblPr/>
      <w:tcPr>
        <w:tcBorders>
          <w:top w:val="single" w:sz="18" w:space="0" w:color="000000"/>
          <w:left w:val="nil"/>
          <w:bottom w:val="nil"/>
          <w:right w:val="nil"/>
          <w:insideH w:val="nil"/>
          <w:insideV w:val="nil"/>
        </w:tcBorders>
        <w:shd w:val="clear" w:color="000000" w:fill="FFFFFF"/>
      </w:tcPr>
    </w:tblStylePr>
    <w:tblStylePr w:type="firstCol">
      <w:tblPr/>
      <w:tcPr>
        <w:tcBorders>
          <w:top w:val="nil"/>
          <w:left w:val="nil"/>
          <w:bottom w:val="nil"/>
          <w:right w:val="single" w:sz="18" w:space="0" w:color="000000"/>
          <w:insideH w:val="nil"/>
          <w:insideV w:val="nil"/>
        </w:tcBorders>
        <w:shd w:val="clear" w:color="000000" w:fill="FFFFFF"/>
      </w:tcPr>
    </w:tblStylePr>
    <w:tblStylePr w:type="lastCol">
      <w:tblPr/>
      <w:tcPr>
        <w:tcBorders>
          <w:top w:val="nil"/>
          <w:left w:val="single" w:sz="18" w:space="0" w:color="000000"/>
          <w:bottom w:val="nil"/>
          <w:right w:val="nil"/>
          <w:insideH w:val="nil"/>
          <w:insideV w:val="nil"/>
        </w:tcBorders>
        <w:shd w:val="clear" w:color="000000" w:fill="FFFFFF"/>
      </w:tcPr>
    </w:tblStylePr>
    <w:tblStylePr w:type="band1Vert">
      <w:tblPr/>
      <w:tcPr>
        <w:tcBorders>
          <w:top w:val="nil"/>
          <w:left w:val="nil"/>
          <w:bottom w:val="nil"/>
          <w:right w:val="nil"/>
          <w:insideH w:val="nil"/>
          <w:insideV w:val="nil"/>
        </w:tcBorders>
        <w:shd w:val="clear" w:color="000000" w:fill="FFFFFF"/>
      </w:tcPr>
    </w:tblStylePr>
    <w:tblStylePr w:type="band1Horz">
      <w:tblPr/>
      <w:tcPr>
        <w:tcBorders>
          <w:top w:val="nil"/>
          <w:left w:val="nil"/>
          <w:bottom w:val="nil"/>
          <w:right w:val="nil"/>
          <w:insideH w:val="nil"/>
          <w:insideV w:val="nil"/>
        </w:tcBorders>
        <w:shd w:val="clear" w:color="000000" w:fill="FFFFF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000000" w:fill="FFFFFF"/>
    </w:tcPr>
    <w:tblStylePr w:type="firstRow">
      <w:rPr>
        <w:b/>
        <w:bCs/>
      </w:rPr>
      <w:tblPr/>
      <w:tcPr>
        <w:tcBorders>
          <w:top w:val="nil"/>
          <w:left w:val="nil"/>
          <w:bottom w:val="single" w:sz="18" w:space="0" w:color="000000"/>
          <w:right w:val="nil"/>
          <w:insideH w:val="nil"/>
          <w:insideV w:val="nil"/>
        </w:tcBorders>
        <w:shd w:val="clear" w:color="000000" w:fill="FFFFFF"/>
      </w:tcPr>
    </w:tblStylePr>
    <w:tblStylePr w:type="lastRow">
      <w:tblPr/>
      <w:tcPr>
        <w:tcBorders>
          <w:top w:val="single" w:sz="18" w:space="0" w:color="000000"/>
          <w:left w:val="nil"/>
          <w:bottom w:val="nil"/>
          <w:right w:val="nil"/>
          <w:insideH w:val="nil"/>
          <w:insideV w:val="nil"/>
        </w:tcBorders>
        <w:shd w:val="clear" w:color="000000" w:fill="FFFFFF"/>
      </w:tcPr>
    </w:tblStylePr>
    <w:tblStylePr w:type="firstCol">
      <w:tblPr/>
      <w:tcPr>
        <w:tcBorders>
          <w:top w:val="nil"/>
          <w:left w:val="nil"/>
          <w:bottom w:val="nil"/>
          <w:right w:val="single" w:sz="18" w:space="0" w:color="000000"/>
          <w:insideH w:val="nil"/>
          <w:insideV w:val="nil"/>
        </w:tcBorders>
        <w:shd w:val="clear" w:color="000000" w:fill="FFFFFF"/>
      </w:tcPr>
    </w:tblStylePr>
    <w:tblStylePr w:type="lastCol">
      <w:tblPr/>
      <w:tcPr>
        <w:tcBorders>
          <w:top w:val="nil"/>
          <w:left w:val="single" w:sz="18" w:space="0" w:color="000000"/>
          <w:bottom w:val="nil"/>
          <w:right w:val="nil"/>
          <w:insideH w:val="nil"/>
          <w:insideV w:val="nil"/>
        </w:tcBorders>
        <w:shd w:val="clear" w:color="000000" w:fill="FFFFFF"/>
      </w:tcPr>
    </w:tblStylePr>
    <w:tblStylePr w:type="band1Vert">
      <w:tblPr/>
      <w:tcPr>
        <w:tcBorders>
          <w:top w:val="nil"/>
          <w:left w:val="nil"/>
          <w:bottom w:val="nil"/>
          <w:right w:val="nil"/>
          <w:insideH w:val="nil"/>
          <w:insideV w:val="nil"/>
        </w:tcBorders>
        <w:shd w:val="clear" w:color="000000" w:fill="FFFFFF"/>
      </w:tcPr>
    </w:tblStylePr>
    <w:tblStylePr w:type="band1Horz">
      <w:tblPr/>
      <w:tcPr>
        <w:tcBorders>
          <w:top w:val="nil"/>
          <w:left w:val="nil"/>
          <w:bottom w:val="nil"/>
          <w:right w:val="nil"/>
          <w:insideH w:val="nil"/>
          <w:insideV w:val="nil"/>
        </w:tcBorders>
        <w:shd w:val="clear" w:color="000000" w:fill="FFFFF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000000" w:fill="FFFFFF"/>
    </w:tcPr>
    <w:tblStylePr w:type="firstRow">
      <w:rPr>
        <w:b/>
        <w:bCs/>
      </w:rPr>
      <w:tblPr/>
      <w:tcPr>
        <w:tcBorders>
          <w:top w:val="nil"/>
          <w:left w:val="nil"/>
          <w:bottom w:val="single" w:sz="18" w:space="0" w:color="000000"/>
          <w:right w:val="nil"/>
          <w:insideH w:val="nil"/>
          <w:insideV w:val="nil"/>
        </w:tcBorders>
        <w:shd w:val="clear" w:color="000000" w:fill="FFFFFF"/>
      </w:tcPr>
    </w:tblStylePr>
    <w:tblStylePr w:type="lastRow">
      <w:tblPr/>
      <w:tcPr>
        <w:tcBorders>
          <w:top w:val="single" w:sz="18" w:space="0" w:color="000000"/>
          <w:left w:val="nil"/>
          <w:bottom w:val="nil"/>
          <w:right w:val="nil"/>
          <w:insideH w:val="nil"/>
          <w:insideV w:val="nil"/>
        </w:tcBorders>
        <w:shd w:val="clear" w:color="000000" w:fill="FFFFFF"/>
      </w:tcPr>
    </w:tblStylePr>
    <w:tblStylePr w:type="firstCol">
      <w:tblPr/>
      <w:tcPr>
        <w:tcBorders>
          <w:top w:val="nil"/>
          <w:left w:val="nil"/>
          <w:bottom w:val="nil"/>
          <w:right w:val="single" w:sz="18" w:space="0" w:color="000000"/>
          <w:insideH w:val="nil"/>
          <w:insideV w:val="nil"/>
        </w:tcBorders>
        <w:shd w:val="clear" w:color="000000" w:fill="FFFFFF"/>
      </w:tcPr>
    </w:tblStylePr>
    <w:tblStylePr w:type="lastCol">
      <w:tblPr/>
      <w:tcPr>
        <w:tcBorders>
          <w:top w:val="nil"/>
          <w:left w:val="single" w:sz="18" w:space="0" w:color="000000"/>
          <w:bottom w:val="nil"/>
          <w:right w:val="nil"/>
          <w:insideH w:val="nil"/>
          <w:insideV w:val="nil"/>
        </w:tcBorders>
        <w:shd w:val="clear" w:color="000000" w:fill="FFFFFF"/>
      </w:tcPr>
    </w:tblStylePr>
    <w:tblStylePr w:type="band1Vert">
      <w:tblPr/>
      <w:tcPr>
        <w:tcBorders>
          <w:top w:val="nil"/>
          <w:left w:val="nil"/>
          <w:bottom w:val="nil"/>
          <w:right w:val="nil"/>
          <w:insideH w:val="nil"/>
          <w:insideV w:val="nil"/>
        </w:tcBorders>
        <w:shd w:val="clear" w:color="000000" w:fill="FFFFFF"/>
      </w:tcPr>
    </w:tblStylePr>
    <w:tblStylePr w:type="band1Horz">
      <w:tblPr/>
      <w:tcPr>
        <w:tcBorders>
          <w:top w:val="nil"/>
          <w:left w:val="nil"/>
          <w:bottom w:val="nil"/>
          <w:right w:val="nil"/>
          <w:insideH w:val="nil"/>
          <w:insideV w:val="nil"/>
        </w:tcBorders>
        <w:shd w:val="clear" w:color="000000" w:fill="FFFFF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000000" w:fill="FFFFFF"/>
    </w:tcPr>
    <w:tblStylePr w:type="firstRow">
      <w:rPr>
        <w:b/>
        <w:bCs/>
      </w:rPr>
      <w:tblPr/>
      <w:tcPr>
        <w:tcBorders>
          <w:top w:val="nil"/>
          <w:left w:val="nil"/>
          <w:bottom w:val="single" w:sz="18" w:space="0" w:color="000000"/>
          <w:right w:val="nil"/>
          <w:insideH w:val="nil"/>
          <w:insideV w:val="nil"/>
        </w:tcBorders>
        <w:shd w:val="clear" w:color="000000" w:fill="FFFFFF"/>
      </w:tcPr>
    </w:tblStylePr>
    <w:tblStylePr w:type="lastRow">
      <w:tblPr/>
      <w:tcPr>
        <w:tcBorders>
          <w:top w:val="single" w:sz="18" w:space="0" w:color="000000"/>
          <w:left w:val="nil"/>
          <w:bottom w:val="nil"/>
          <w:right w:val="nil"/>
          <w:insideH w:val="nil"/>
          <w:insideV w:val="nil"/>
        </w:tcBorders>
        <w:shd w:val="clear" w:color="000000" w:fill="FFFFFF"/>
      </w:tcPr>
    </w:tblStylePr>
    <w:tblStylePr w:type="firstCol">
      <w:tblPr/>
      <w:tcPr>
        <w:tcBorders>
          <w:top w:val="nil"/>
          <w:left w:val="nil"/>
          <w:bottom w:val="nil"/>
          <w:right w:val="single" w:sz="18" w:space="0" w:color="000000"/>
          <w:insideH w:val="nil"/>
          <w:insideV w:val="nil"/>
        </w:tcBorders>
        <w:shd w:val="clear" w:color="000000" w:fill="FFFFFF"/>
      </w:tcPr>
    </w:tblStylePr>
    <w:tblStylePr w:type="lastCol">
      <w:tblPr/>
      <w:tcPr>
        <w:tcBorders>
          <w:top w:val="nil"/>
          <w:left w:val="single" w:sz="18" w:space="0" w:color="000000"/>
          <w:bottom w:val="nil"/>
          <w:right w:val="nil"/>
          <w:insideH w:val="nil"/>
          <w:insideV w:val="nil"/>
        </w:tcBorders>
        <w:shd w:val="clear" w:color="000000" w:fill="FFFFFF"/>
      </w:tcPr>
    </w:tblStylePr>
    <w:tblStylePr w:type="band1Vert">
      <w:tblPr/>
      <w:tcPr>
        <w:tcBorders>
          <w:top w:val="nil"/>
          <w:left w:val="nil"/>
          <w:bottom w:val="nil"/>
          <w:right w:val="nil"/>
          <w:insideH w:val="nil"/>
          <w:insideV w:val="nil"/>
        </w:tcBorders>
        <w:shd w:val="clear" w:color="000000" w:fill="FFFFFF"/>
      </w:tcPr>
    </w:tblStylePr>
    <w:tblStylePr w:type="band1Horz">
      <w:tblPr/>
      <w:tcPr>
        <w:tcBorders>
          <w:top w:val="nil"/>
          <w:left w:val="nil"/>
          <w:bottom w:val="nil"/>
          <w:right w:val="nil"/>
          <w:insideH w:val="nil"/>
          <w:insideV w:val="nil"/>
        </w:tcBorders>
        <w:shd w:val="clear" w:color="000000" w:fill="FFFFF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000000" w:fill="FFFFFF"/>
    </w:tcPr>
    <w:tblStylePr w:type="firstRow">
      <w:rPr>
        <w:b/>
        <w:bCs/>
      </w:rPr>
      <w:tblPr/>
      <w:tcPr>
        <w:tcBorders>
          <w:top w:val="nil"/>
          <w:left w:val="nil"/>
          <w:bottom w:val="single" w:sz="18" w:space="0" w:color="000000"/>
          <w:right w:val="nil"/>
          <w:insideH w:val="nil"/>
          <w:insideV w:val="nil"/>
        </w:tcBorders>
        <w:shd w:val="clear" w:color="000000" w:fill="FFFFFF"/>
      </w:tcPr>
    </w:tblStylePr>
    <w:tblStylePr w:type="lastRow">
      <w:tblPr/>
      <w:tcPr>
        <w:tcBorders>
          <w:top w:val="single" w:sz="18" w:space="0" w:color="000000"/>
          <w:left w:val="nil"/>
          <w:bottom w:val="nil"/>
          <w:right w:val="nil"/>
          <w:insideH w:val="nil"/>
          <w:insideV w:val="nil"/>
        </w:tcBorders>
        <w:shd w:val="clear" w:color="000000" w:fill="FFFFFF"/>
      </w:tcPr>
    </w:tblStylePr>
    <w:tblStylePr w:type="firstCol">
      <w:tblPr/>
      <w:tcPr>
        <w:tcBorders>
          <w:top w:val="nil"/>
          <w:left w:val="nil"/>
          <w:bottom w:val="nil"/>
          <w:right w:val="single" w:sz="18" w:space="0" w:color="000000"/>
          <w:insideH w:val="nil"/>
          <w:insideV w:val="nil"/>
        </w:tcBorders>
        <w:shd w:val="clear" w:color="000000" w:fill="FFFFFF"/>
      </w:tcPr>
    </w:tblStylePr>
    <w:tblStylePr w:type="lastCol">
      <w:tblPr/>
      <w:tcPr>
        <w:tcBorders>
          <w:top w:val="nil"/>
          <w:left w:val="single" w:sz="18" w:space="0" w:color="000000"/>
          <w:bottom w:val="nil"/>
          <w:right w:val="nil"/>
          <w:insideH w:val="nil"/>
          <w:insideV w:val="nil"/>
        </w:tcBorders>
        <w:shd w:val="clear" w:color="000000" w:fill="FFFFFF"/>
      </w:tcPr>
    </w:tblStylePr>
    <w:tblStylePr w:type="band1Vert">
      <w:tblPr/>
      <w:tcPr>
        <w:tcBorders>
          <w:top w:val="nil"/>
          <w:left w:val="nil"/>
          <w:bottom w:val="nil"/>
          <w:right w:val="nil"/>
          <w:insideH w:val="nil"/>
          <w:insideV w:val="nil"/>
        </w:tcBorders>
        <w:shd w:val="clear" w:color="000000" w:fill="FFFFFF"/>
      </w:tcPr>
    </w:tblStylePr>
    <w:tblStylePr w:type="band1Horz">
      <w:tblPr/>
      <w:tcPr>
        <w:tcBorders>
          <w:top w:val="nil"/>
          <w:left w:val="nil"/>
          <w:bottom w:val="nil"/>
          <w:right w:val="nil"/>
          <w:insideH w:val="nil"/>
          <w:insideV w:val="nil"/>
        </w:tcBorders>
        <w:shd w:val="clear" w:color="000000" w:fill="FFFFF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000000" w:fill="FFFFFF"/>
    </w:tcPr>
    <w:tblStylePr w:type="firstRow">
      <w:rPr>
        <w:b/>
        <w:bCs/>
      </w:rPr>
      <w:tblPr/>
      <w:tcPr>
        <w:tcBorders>
          <w:top w:val="nil"/>
          <w:left w:val="nil"/>
          <w:bottom w:val="single" w:sz="18" w:space="0" w:color="000000"/>
          <w:right w:val="nil"/>
          <w:insideH w:val="nil"/>
          <w:insideV w:val="nil"/>
        </w:tcBorders>
        <w:shd w:val="clear" w:color="000000" w:fill="FFFFFF"/>
      </w:tcPr>
    </w:tblStylePr>
    <w:tblStylePr w:type="lastRow">
      <w:tblPr/>
      <w:tcPr>
        <w:tcBorders>
          <w:top w:val="single" w:sz="18" w:space="0" w:color="000000"/>
          <w:left w:val="nil"/>
          <w:bottom w:val="nil"/>
          <w:right w:val="nil"/>
          <w:insideH w:val="nil"/>
          <w:insideV w:val="nil"/>
        </w:tcBorders>
        <w:shd w:val="clear" w:color="000000" w:fill="FFFFFF"/>
      </w:tcPr>
    </w:tblStylePr>
    <w:tblStylePr w:type="firstCol">
      <w:tblPr/>
      <w:tcPr>
        <w:tcBorders>
          <w:top w:val="nil"/>
          <w:left w:val="nil"/>
          <w:bottom w:val="nil"/>
          <w:right w:val="single" w:sz="18" w:space="0" w:color="000000"/>
          <w:insideH w:val="nil"/>
          <w:insideV w:val="nil"/>
        </w:tcBorders>
        <w:shd w:val="clear" w:color="000000" w:fill="FFFFFF"/>
      </w:tcPr>
    </w:tblStylePr>
    <w:tblStylePr w:type="lastCol">
      <w:tblPr/>
      <w:tcPr>
        <w:tcBorders>
          <w:top w:val="nil"/>
          <w:left w:val="single" w:sz="18" w:space="0" w:color="000000"/>
          <w:bottom w:val="nil"/>
          <w:right w:val="nil"/>
          <w:insideH w:val="nil"/>
          <w:insideV w:val="nil"/>
        </w:tcBorders>
        <w:shd w:val="clear" w:color="000000" w:fill="FFFFFF"/>
      </w:tcPr>
    </w:tblStylePr>
    <w:tblStylePr w:type="band1Vert">
      <w:tblPr/>
      <w:tcPr>
        <w:tcBorders>
          <w:top w:val="nil"/>
          <w:left w:val="nil"/>
          <w:bottom w:val="nil"/>
          <w:right w:val="nil"/>
          <w:insideH w:val="nil"/>
          <w:insideV w:val="nil"/>
        </w:tcBorders>
        <w:shd w:val="clear" w:color="000000" w:fill="FFFFFF"/>
      </w:tcPr>
    </w:tblStylePr>
    <w:tblStylePr w:type="band1Horz">
      <w:tblPr/>
      <w:tcPr>
        <w:tcBorders>
          <w:top w:val="nil"/>
          <w:left w:val="nil"/>
          <w:bottom w:val="nil"/>
          <w:right w:val="nil"/>
          <w:insideH w:val="nil"/>
          <w:insideV w:val="nil"/>
        </w:tcBorders>
        <w:shd w:val="clear" w:color="000000" w:fill="FFFFF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000000" w:fill="FFFFFF"/>
    </w:tcPr>
    <w:tblStylePr w:type="firstRow">
      <w:rPr>
        <w:b/>
        <w:bCs/>
      </w:rPr>
      <w:tblPr/>
      <w:tcPr>
        <w:tcBorders>
          <w:top w:val="nil"/>
          <w:left w:val="nil"/>
          <w:bottom w:val="single" w:sz="18" w:space="0" w:color="000000"/>
          <w:right w:val="nil"/>
          <w:insideH w:val="nil"/>
          <w:insideV w:val="nil"/>
        </w:tcBorders>
        <w:shd w:val="clear" w:color="000000" w:fill="FFFFFF"/>
      </w:tcPr>
    </w:tblStylePr>
    <w:tblStylePr w:type="lastRow">
      <w:tblPr/>
      <w:tcPr>
        <w:tcBorders>
          <w:top w:val="single" w:sz="18" w:space="0" w:color="000000"/>
          <w:left w:val="nil"/>
          <w:bottom w:val="nil"/>
          <w:right w:val="nil"/>
          <w:insideH w:val="nil"/>
          <w:insideV w:val="nil"/>
        </w:tcBorders>
        <w:shd w:val="clear" w:color="000000" w:fill="FFFFFF"/>
      </w:tcPr>
    </w:tblStylePr>
    <w:tblStylePr w:type="firstCol">
      <w:tblPr/>
      <w:tcPr>
        <w:tcBorders>
          <w:top w:val="nil"/>
          <w:left w:val="nil"/>
          <w:bottom w:val="nil"/>
          <w:right w:val="single" w:sz="18" w:space="0" w:color="000000"/>
          <w:insideH w:val="nil"/>
          <w:insideV w:val="nil"/>
        </w:tcBorders>
        <w:shd w:val="clear" w:color="000000" w:fill="FFFFFF"/>
      </w:tcPr>
    </w:tblStylePr>
    <w:tblStylePr w:type="lastCol">
      <w:tblPr/>
      <w:tcPr>
        <w:tcBorders>
          <w:top w:val="nil"/>
          <w:left w:val="single" w:sz="18" w:space="0" w:color="000000"/>
          <w:bottom w:val="nil"/>
          <w:right w:val="nil"/>
          <w:insideH w:val="nil"/>
          <w:insideV w:val="nil"/>
        </w:tcBorders>
        <w:shd w:val="clear" w:color="000000" w:fill="FFFFFF"/>
      </w:tcPr>
    </w:tblStylePr>
    <w:tblStylePr w:type="band1Vert">
      <w:tblPr/>
      <w:tcPr>
        <w:tcBorders>
          <w:top w:val="nil"/>
          <w:left w:val="nil"/>
          <w:bottom w:val="nil"/>
          <w:right w:val="nil"/>
          <w:insideH w:val="nil"/>
          <w:insideV w:val="nil"/>
        </w:tcBorders>
        <w:shd w:val="clear" w:color="000000" w:fill="FFFFFF"/>
      </w:tcPr>
    </w:tblStylePr>
    <w:tblStylePr w:type="band1Horz">
      <w:tblPr/>
      <w:tcPr>
        <w:tcBorders>
          <w:top w:val="nil"/>
          <w:left w:val="nil"/>
          <w:bottom w:val="nil"/>
          <w:right w:val="nil"/>
          <w:insideH w:val="nil"/>
          <w:insideV w:val="nil"/>
        </w:tcBorders>
        <w:shd w:val="clear" w:color="000000" w:fill="FFFFF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tcPr>
      <w:shd w:val="clear" w:color="000000" w:fill="FFFFFF"/>
    </w:tcPr>
    <w:tblStylePr w:type="firstRow">
      <w:rPr>
        <w:b/>
        <w:bCs/>
      </w:rPr>
      <w:tblPr/>
      <w:tcPr>
        <w:tcBorders>
          <w:top w:val="nil"/>
          <w:left w:val="nil"/>
          <w:bottom w:val="single" w:sz="24" w:space="0" w:color="000000"/>
          <w:right w:val="nil"/>
          <w:insideH w:val="nil"/>
          <w:insideV w:val="nil"/>
        </w:tcBorders>
        <w:shd w:val="clear" w:color="000000" w:fill="FFFFFF"/>
      </w:tcPr>
    </w:tblStylePr>
    <w:tblStylePr w:type="lastRow">
      <w:rPr>
        <w:b/>
        <w:bCs/>
        <w:color w:val="000000"/>
      </w:rPr>
      <w:tblPr/>
      <w:tcPr>
        <w:tcBorders>
          <w:top w:val="single" w:sz="6" w:space="0" w:color="000000"/>
        </w:tcBorders>
        <w:shd w:val="clear" w:color="000000" w:fill="FFFFFF"/>
      </w:tcPr>
    </w:tblStylePr>
    <w:tblStylePr w:type="firstCol">
      <w:rPr>
        <w:color w:val="000000"/>
      </w:rPr>
      <w:tblPr/>
      <w:tcPr>
        <w:tcBorders>
          <w:top w:val="nil"/>
          <w:left w:val="nil"/>
          <w:bottom w:val="nil"/>
          <w:right w:val="nil"/>
          <w:insideH w:val="single" w:sz="4" w:space="0" w:color="000000"/>
          <w:insideV w:val="nil"/>
        </w:tcBorders>
        <w:shd w:val="clear" w:color="000000" w:fill="FFFFFF"/>
      </w:tcPr>
    </w:tblStylePr>
    <w:tblStylePr w:type="lastCol">
      <w:rPr>
        <w:color w:val="000000"/>
      </w:rPr>
      <w:tblPr/>
      <w:tcPr>
        <w:tcBorders>
          <w:top w:val="nil"/>
          <w:left w:val="nil"/>
          <w:bottom w:val="nil"/>
          <w:right w:val="nil"/>
          <w:insideH w:val="nil"/>
          <w:insideV w:val="nil"/>
        </w:tcBorders>
        <w:shd w:val="clear" w:color="000000" w:fill="FFFFFF"/>
      </w:tcPr>
    </w:tblStylePr>
    <w:tblStylePr w:type="band1Vert">
      <w:tblPr/>
      <w:tcPr>
        <w:shd w:val="clear" w:color="000000" w:fill="FFFFFF"/>
      </w:tcPr>
    </w:tblStylePr>
    <w:tblStylePr w:type="band1Horz">
      <w:tblPr/>
      <w:tcPr>
        <w:shd w:val="clear" w:color="000000" w:fill="FFFFF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tcPr>
      <w:shd w:val="clear" w:color="000000" w:fill="FFFFFF"/>
    </w:tcPr>
    <w:tblStylePr w:type="firstRow">
      <w:rPr>
        <w:b/>
        <w:bCs/>
      </w:rPr>
      <w:tblPr/>
      <w:tcPr>
        <w:tcBorders>
          <w:top w:val="nil"/>
          <w:left w:val="nil"/>
          <w:bottom w:val="single" w:sz="24" w:space="0" w:color="000000"/>
          <w:right w:val="nil"/>
          <w:insideH w:val="nil"/>
          <w:insideV w:val="nil"/>
        </w:tcBorders>
        <w:shd w:val="clear" w:color="000000" w:fill="FFFFFF"/>
      </w:tcPr>
    </w:tblStylePr>
    <w:tblStylePr w:type="lastRow">
      <w:rPr>
        <w:b/>
        <w:bCs/>
        <w:color w:val="000000"/>
      </w:rPr>
      <w:tblPr/>
      <w:tcPr>
        <w:tcBorders>
          <w:top w:val="single" w:sz="6" w:space="0" w:color="000000"/>
        </w:tcBorders>
        <w:shd w:val="clear" w:color="000000" w:fill="FFFFFF"/>
      </w:tcPr>
    </w:tblStylePr>
    <w:tblStylePr w:type="firstCol">
      <w:rPr>
        <w:color w:val="000000"/>
      </w:rPr>
      <w:tblPr/>
      <w:tcPr>
        <w:tcBorders>
          <w:top w:val="nil"/>
          <w:left w:val="nil"/>
          <w:bottom w:val="nil"/>
          <w:right w:val="nil"/>
          <w:insideH w:val="single" w:sz="4" w:space="0" w:color="000000"/>
          <w:insideV w:val="nil"/>
        </w:tcBorders>
        <w:shd w:val="clear" w:color="000000" w:fill="FFFFFF"/>
      </w:tcPr>
    </w:tblStylePr>
    <w:tblStylePr w:type="lastCol">
      <w:rPr>
        <w:color w:val="000000"/>
      </w:rPr>
      <w:tblPr/>
      <w:tcPr>
        <w:tcBorders>
          <w:top w:val="nil"/>
          <w:left w:val="nil"/>
          <w:bottom w:val="nil"/>
          <w:right w:val="nil"/>
          <w:insideH w:val="nil"/>
          <w:insideV w:val="nil"/>
        </w:tcBorders>
        <w:shd w:val="clear" w:color="000000" w:fill="FFFFFF"/>
      </w:tcPr>
    </w:tblStylePr>
    <w:tblStylePr w:type="band1Vert">
      <w:tblPr/>
      <w:tcPr>
        <w:shd w:val="clear" w:color="000000" w:fill="FFFFFF"/>
      </w:tcPr>
    </w:tblStylePr>
    <w:tblStylePr w:type="band1Horz">
      <w:tblPr/>
      <w:tcPr>
        <w:shd w:val="clear" w:color="000000" w:fill="FFFFF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tcPr>
      <w:shd w:val="clear" w:color="000000" w:fill="FFFFFF"/>
    </w:tcPr>
    <w:tblStylePr w:type="firstRow">
      <w:rPr>
        <w:b/>
        <w:bCs/>
      </w:rPr>
      <w:tblPr/>
      <w:tcPr>
        <w:tcBorders>
          <w:top w:val="nil"/>
          <w:left w:val="nil"/>
          <w:bottom w:val="single" w:sz="24" w:space="0" w:color="000000"/>
          <w:right w:val="nil"/>
          <w:insideH w:val="nil"/>
          <w:insideV w:val="nil"/>
        </w:tcBorders>
        <w:shd w:val="clear" w:color="000000" w:fill="FFFFFF"/>
      </w:tcPr>
    </w:tblStylePr>
    <w:tblStylePr w:type="lastRow">
      <w:rPr>
        <w:b/>
        <w:bCs/>
        <w:color w:val="000000"/>
      </w:rPr>
      <w:tblPr/>
      <w:tcPr>
        <w:tcBorders>
          <w:top w:val="single" w:sz="6" w:space="0" w:color="000000"/>
        </w:tcBorders>
        <w:shd w:val="clear" w:color="000000" w:fill="FFFFFF"/>
      </w:tcPr>
    </w:tblStylePr>
    <w:tblStylePr w:type="firstCol">
      <w:rPr>
        <w:color w:val="000000"/>
      </w:rPr>
      <w:tblPr/>
      <w:tcPr>
        <w:tcBorders>
          <w:top w:val="nil"/>
          <w:left w:val="nil"/>
          <w:bottom w:val="nil"/>
          <w:right w:val="nil"/>
          <w:insideH w:val="single" w:sz="4" w:space="0" w:color="000000"/>
          <w:insideV w:val="nil"/>
        </w:tcBorders>
        <w:shd w:val="clear" w:color="000000" w:fill="FFFFFF"/>
      </w:tcPr>
    </w:tblStylePr>
    <w:tblStylePr w:type="lastCol">
      <w:rPr>
        <w:color w:val="000000"/>
      </w:rPr>
      <w:tblPr/>
      <w:tcPr>
        <w:tcBorders>
          <w:top w:val="nil"/>
          <w:left w:val="nil"/>
          <w:bottom w:val="nil"/>
          <w:right w:val="nil"/>
          <w:insideH w:val="nil"/>
          <w:insideV w:val="nil"/>
        </w:tcBorders>
        <w:shd w:val="clear" w:color="000000" w:fill="FFFFFF"/>
      </w:tcPr>
    </w:tblStylePr>
    <w:tblStylePr w:type="band1Vert">
      <w:tblPr/>
      <w:tcPr>
        <w:shd w:val="clear" w:color="000000" w:fill="FFFFFF"/>
      </w:tcPr>
    </w:tblStylePr>
    <w:tblStylePr w:type="band1Horz">
      <w:tblPr/>
      <w:tcPr>
        <w:shd w:val="clear" w:color="000000" w:fill="FFFFF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tcPr>
      <w:shd w:val="clear" w:color="000000" w:fill="FFFFFF"/>
    </w:tcPr>
    <w:tblStylePr w:type="firstRow">
      <w:rPr>
        <w:b/>
        <w:bCs/>
      </w:rPr>
      <w:tblPr/>
      <w:tcPr>
        <w:tcBorders>
          <w:top w:val="nil"/>
          <w:left w:val="nil"/>
          <w:bottom w:val="single" w:sz="24" w:space="0" w:color="000000"/>
          <w:right w:val="nil"/>
          <w:insideH w:val="nil"/>
          <w:insideV w:val="nil"/>
        </w:tcBorders>
        <w:shd w:val="clear" w:color="000000" w:fill="FFFFFF"/>
      </w:tcPr>
    </w:tblStylePr>
    <w:tblStylePr w:type="lastRow">
      <w:rPr>
        <w:b/>
        <w:bCs/>
        <w:color w:val="000000"/>
      </w:rPr>
      <w:tblPr/>
      <w:tcPr>
        <w:tcBorders>
          <w:top w:val="single" w:sz="6" w:space="0" w:color="000000"/>
        </w:tcBorders>
        <w:shd w:val="clear" w:color="000000" w:fill="FFFFFF"/>
      </w:tcPr>
    </w:tblStylePr>
    <w:tblStylePr w:type="firstCol">
      <w:rPr>
        <w:color w:val="000000"/>
      </w:rPr>
      <w:tblPr/>
      <w:tcPr>
        <w:tcBorders>
          <w:top w:val="nil"/>
          <w:left w:val="nil"/>
          <w:bottom w:val="nil"/>
          <w:right w:val="nil"/>
          <w:insideH w:val="single" w:sz="4" w:space="0" w:color="000000"/>
          <w:insideV w:val="nil"/>
        </w:tcBorders>
        <w:shd w:val="clear" w:color="000000" w:fill="FFFFFF"/>
      </w:tcPr>
    </w:tblStylePr>
    <w:tblStylePr w:type="lastCol">
      <w:rPr>
        <w:color w:val="000000"/>
      </w:rPr>
      <w:tblPr/>
      <w:tcPr>
        <w:tcBorders>
          <w:top w:val="nil"/>
          <w:left w:val="nil"/>
          <w:bottom w:val="nil"/>
          <w:right w:val="nil"/>
          <w:insideH w:val="nil"/>
          <w:insideV w:val="nil"/>
        </w:tcBorders>
        <w:shd w:val="clear" w:color="000000" w:fill="FFFFFF"/>
      </w:tcPr>
    </w:tblStylePr>
    <w:tblStylePr w:type="band1Vert">
      <w:tblPr/>
      <w:tcPr>
        <w:shd w:val="clear" w:color="000000" w:fill="FFFFFF"/>
      </w:tcPr>
    </w:tblStylePr>
    <w:tblStylePr w:type="band1Horz">
      <w:tblPr/>
      <w:tcPr>
        <w:shd w:val="clear" w:color="000000" w:fill="FFFFF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tcPr>
      <w:shd w:val="clear" w:color="000000" w:fill="FFFFFF"/>
    </w:tcPr>
    <w:tblStylePr w:type="firstRow">
      <w:rPr>
        <w:b/>
        <w:bCs/>
      </w:rPr>
      <w:tblPr/>
      <w:tcPr>
        <w:tcBorders>
          <w:top w:val="nil"/>
          <w:left w:val="nil"/>
          <w:bottom w:val="single" w:sz="24" w:space="0" w:color="000000"/>
          <w:right w:val="nil"/>
          <w:insideH w:val="nil"/>
          <w:insideV w:val="nil"/>
        </w:tcBorders>
        <w:shd w:val="clear" w:color="000000" w:fill="FFFFFF"/>
      </w:tcPr>
    </w:tblStylePr>
    <w:tblStylePr w:type="lastRow">
      <w:rPr>
        <w:b/>
        <w:bCs/>
        <w:color w:val="000000"/>
      </w:rPr>
      <w:tblPr/>
      <w:tcPr>
        <w:tcBorders>
          <w:top w:val="single" w:sz="6" w:space="0" w:color="000000"/>
        </w:tcBorders>
        <w:shd w:val="clear" w:color="000000" w:fill="FFFFFF"/>
      </w:tcPr>
    </w:tblStylePr>
    <w:tblStylePr w:type="firstCol">
      <w:rPr>
        <w:color w:val="000000"/>
      </w:rPr>
      <w:tblPr/>
      <w:tcPr>
        <w:tcBorders>
          <w:top w:val="nil"/>
          <w:left w:val="nil"/>
          <w:bottom w:val="nil"/>
          <w:right w:val="nil"/>
          <w:insideH w:val="single" w:sz="4" w:space="0" w:color="000000"/>
          <w:insideV w:val="nil"/>
        </w:tcBorders>
        <w:shd w:val="clear" w:color="000000" w:fill="FFFFFF"/>
      </w:tcPr>
    </w:tblStylePr>
    <w:tblStylePr w:type="lastCol">
      <w:rPr>
        <w:color w:val="000000"/>
      </w:rPr>
      <w:tblPr/>
      <w:tcPr>
        <w:tcBorders>
          <w:top w:val="nil"/>
          <w:left w:val="nil"/>
          <w:bottom w:val="nil"/>
          <w:right w:val="nil"/>
          <w:insideH w:val="nil"/>
          <w:insideV w:val="nil"/>
        </w:tcBorders>
        <w:shd w:val="clear" w:color="000000" w:fill="FFFFFF"/>
      </w:tcPr>
    </w:tblStylePr>
    <w:tblStylePr w:type="band1Vert">
      <w:tblPr/>
      <w:tcPr>
        <w:shd w:val="clear" w:color="000000" w:fill="FFFFFF"/>
      </w:tcPr>
    </w:tblStylePr>
    <w:tblStylePr w:type="band1Horz">
      <w:tblPr/>
      <w:tcPr>
        <w:shd w:val="clear" w:color="000000" w:fill="FFFFF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tcPr>
      <w:shd w:val="clear" w:color="000000" w:fill="FFFFFF"/>
    </w:tcPr>
    <w:tblStylePr w:type="firstRow">
      <w:rPr>
        <w:b/>
        <w:bCs/>
      </w:rPr>
      <w:tblPr/>
      <w:tcPr>
        <w:tcBorders>
          <w:top w:val="nil"/>
          <w:left w:val="nil"/>
          <w:bottom w:val="single" w:sz="24" w:space="0" w:color="000000"/>
          <w:right w:val="nil"/>
          <w:insideH w:val="nil"/>
          <w:insideV w:val="nil"/>
        </w:tcBorders>
        <w:shd w:val="clear" w:color="000000" w:fill="FFFFFF"/>
      </w:tcPr>
    </w:tblStylePr>
    <w:tblStylePr w:type="lastRow">
      <w:rPr>
        <w:b/>
        <w:bCs/>
        <w:color w:val="000000"/>
      </w:rPr>
      <w:tblPr/>
      <w:tcPr>
        <w:tcBorders>
          <w:top w:val="single" w:sz="6" w:space="0" w:color="000000"/>
        </w:tcBorders>
        <w:shd w:val="clear" w:color="000000" w:fill="FFFFFF"/>
      </w:tcPr>
    </w:tblStylePr>
    <w:tblStylePr w:type="firstCol">
      <w:rPr>
        <w:color w:val="000000"/>
      </w:rPr>
      <w:tblPr/>
      <w:tcPr>
        <w:tcBorders>
          <w:top w:val="nil"/>
          <w:left w:val="nil"/>
          <w:bottom w:val="nil"/>
          <w:right w:val="nil"/>
          <w:insideH w:val="single" w:sz="4" w:space="0" w:color="000000"/>
          <w:insideV w:val="nil"/>
        </w:tcBorders>
        <w:shd w:val="clear" w:color="000000" w:fill="FFFFFF"/>
      </w:tcPr>
    </w:tblStylePr>
    <w:tblStylePr w:type="lastCol">
      <w:rPr>
        <w:color w:val="000000"/>
      </w:rPr>
      <w:tblPr/>
      <w:tcPr>
        <w:tcBorders>
          <w:top w:val="nil"/>
          <w:left w:val="nil"/>
          <w:bottom w:val="nil"/>
          <w:right w:val="nil"/>
          <w:insideH w:val="nil"/>
          <w:insideV w:val="nil"/>
        </w:tcBorders>
        <w:shd w:val="clear" w:color="000000" w:fill="FFFFFF"/>
      </w:tcPr>
    </w:tblStylePr>
    <w:tblStylePr w:type="band1Vert">
      <w:tblPr/>
      <w:tcPr>
        <w:shd w:val="clear" w:color="000000" w:fill="FFFFFF"/>
      </w:tcPr>
    </w:tblStylePr>
    <w:tblStylePr w:type="band1Horz">
      <w:tblPr/>
      <w:tcPr>
        <w:shd w:val="clear" w:color="000000" w:fill="FFFFF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tcPr>
      <w:shd w:val="clear" w:color="000000" w:fill="FFFFFF"/>
    </w:tcPr>
    <w:tblStylePr w:type="firstRow">
      <w:rPr>
        <w:b/>
        <w:bCs/>
      </w:rPr>
      <w:tblPr/>
      <w:tcPr>
        <w:tcBorders>
          <w:top w:val="nil"/>
          <w:left w:val="nil"/>
          <w:bottom w:val="single" w:sz="24" w:space="0" w:color="000000"/>
          <w:right w:val="nil"/>
          <w:insideH w:val="nil"/>
          <w:insideV w:val="nil"/>
        </w:tcBorders>
        <w:shd w:val="clear" w:color="000000" w:fill="FFFFFF"/>
      </w:tcPr>
    </w:tblStylePr>
    <w:tblStylePr w:type="lastRow">
      <w:rPr>
        <w:b/>
        <w:bCs/>
        <w:color w:val="000000"/>
      </w:rPr>
      <w:tblPr/>
      <w:tcPr>
        <w:tcBorders>
          <w:top w:val="single" w:sz="6" w:space="0" w:color="000000"/>
        </w:tcBorders>
        <w:shd w:val="clear" w:color="000000" w:fill="FFFFFF"/>
      </w:tcPr>
    </w:tblStylePr>
    <w:tblStylePr w:type="firstCol">
      <w:rPr>
        <w:color w:val="000000"/>
      </w:rPr>
      <w:tblPr/>
      <w:tcPr>
        <w:tcBorders>
          <w:top w:val="nil"/>
          <w:left w:val="nil"/>
          <w:bottom w:val="nil"/>
          <w:right w:val="nil"/>
          <w:insideH w:val="single" w:sz="4" w:space="0" w:color="000000"/>
          <w:insideV w:val="nil"/>
        </w:tcBorders>
        <w:shd w:val="clear" w:color="000000" w:fill="FFFFFF"/>
      </w:tcPr>
    </w:tblStylePr>
    <w:tblStylePr w:type="lastCol">
      <w:rPr>
        <w:color w:val="000000"/>
      </w:rPr>
      <w:tblPr/>
      <w:tcPr>
        <w:tcBorders>
          <w:top w:val="nil"/>
          <w:left w:val="nil"/>
          <w:bottom w:val="nil"/>
          <w:right w:val="nil"/>
          <w:insideH w:val="nil"/>
          <w:insideV w:val="nil"/>
        </w:tcBorders>
        <w:shd w:val="clear" w:color="000000" w:fill="FFFFFF"/>
      </w:tcPr>
    </w:tblStylePr>
    <w:tblStylePr w:type="band1Vert">
      <w:tblPr/>
      <w:tcPr>
        <w:shd w:val="clear" w:color="000000" w:fill="FFFFFF"/>
      </w:tcPr>
    </w:tblStylePr>
    <w:tblStylePr w:type="band1Horz">
      <w:tblPr/>
      <w:tcPr>
        <w:shd w:val="clear" w:color="000000" w:fill="FFFFF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000000" w:fill="FFFFFF"/>
    </w:tcPr>
    <w:tblStylePr w:type="firstRow">
      <w:rPr>
        <w:b/>
        <w:bCs/>
        <w:color w:val="000000"/>
      </w:rPr>
      <w:tblPr/>
      <w:tcPr>
        <w:tcBorders>
          <w:bottom w:val="single" w:sz="12" w:space="0" w:color="000000"/>
        </w:tcBorders>
        <w:shd w:val="clear" w:color="000000" w:fill="FFFFFF"/>
      </w:tcPr>
    </w:tblStylePr>
    <w:tblStylePr w:type="lastRow">
      <w:rPr>
        <w:b/>
        <w:bCs/>
        <w:color w:val="000000"/>
      </w:rPr>
      <w:tblPr/>
      <w:tcPr>
        <w:tcBorders>
          <w:top w:val="single" w:sz="12" w:space="0" w:color="000000"/>
        </w:tcBorders>
        <w:shd w:val="clear" w:color="000000"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000000" w:fill="FFFFFF"/>
      </w:tcPr>
    </w:tblStylePr>
    <w:tblStylePr w:type="band1Horz">
      <w:tblPr/>
      <w:tcPr>
        <w:shd w:val="clear" w:color="000000" w:fill="FFFFFF"/>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000000" w:fill="FFFFFF"/>
    </w:tcPr>
    <w:tblStylePr w:type="firstRow">
      <w:rPr>
        <w:b/>
        <w:bCs/>
        <w:color w:val="000000"/>
      </w:rPr>
      <w:tblPr/>
      <w:tcPr>
        <w:tcBorders>
          <w:bottom w:val="single" w:sz="12" w:space="0" w:color="000000"/>
        </w:tcBorders>
        <w:shd w:val="clear" w:color="000000" w:fill="FFFFFF"/>
      </w:tcPr>
    </w:tblStylePr>
    <w:tblStylePr w:type="lastRow">
      <w:rPr>
        <w:b/>
        <w:bCs/>
        <w:color w:val="000000"/>
      </w:rPr>
      <w:tblPr/>
      <w:tcPr>
        <w:tcBorders>
          <w:top w:val="single" w:sz="12" w:space="0" w:color="000000"/>
        </w:tcBorders>
        <w:shd w:val="clear" w:color="000000"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000000" w:fill="FFFFFF"/>
      </w:tcPr>
    </w:tblStylePr>
    <w:tblStylePr w:type="band1Horz">
      <w:tblPr/>
      <w:tcPr>
        <w:shd w:val="clear" w:color="000000" w:fill="FFFFFF"/>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000000" w:fill="FFFFFF"/>
    </w:tcPr>
    <w:tblStylePr w:type="firstRow">
      <w:rPr>
        <w:b/>
        <w:bCs/>
        <w:color w:val="000000"/>
      </w:rPr>
      <w:tblPr/>
      <w:tcPr>
        <w:tcBorders>
          <w:bottom w:val="single" w:sz="12" w:space="0" w:color="000000"/>
        </w:tcBorders>
        <w:shd w:val="clear" w:color="000000" w:fill="FFFFFF"/>
      </w:tcPr>
    </w:tblStylePr>
    <w:tblStylePr w:type="lastRow">
      <w:rPr>
        <w:b/>
        <w:bCs/>
        <w:color w:val="000000"/>
      </w:rPr>
      <w:tblPr/>
      <w:tcPr>
        <w:tcBorders>
          <w:top w:val="single" w:sz="12" w:space="0" w:color="000000"/>
        </w:tcBorders>
        <w:shd w:val="clear" w:color="000000"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000000" w:fill="FFFFFF"/>
      </w:tcPr>
    </w:tblStylePr>
    <w:tblStylePr w:type="band1Horz">
      <w:tblPr/>
      <w:tcPr>
        <w:shd w:val="clear" w:color="000000" w:fill="FFFFFF"/>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000000" w:fill="FFFFFF"/>
    </w:tcPr>
    <w:tblStylePr w:type="firstRow">
      <w:rPr>
        <w:b/>
        <w:bCs/>
        <w:color w:val="000000"/>
      </w:rPr>
      <w:tblPr/>
      <w:tcPr>
        <w:tcBorders>
          <w:bottom w:val="single" w:sz="12" w:space="0" w:color="000000"/>
        </w:tcBorders>
        <w:shd w:val="clear" w:color="000000" w:fill="FFFFFF"/>
      </w:tcPr>
    </w:tblStylePr>
    <w:tblStylePr w:type="lastRow">
      <w:rPr>
        <w:b/>
        <w:bCs/>
        <w:color w:val="000000"/>
      </w:rPr>
      <w:tblPr/>
      <w:tcPr>
        <w:tcBorders>
          <w:top w:val="single" w:sz="12" w:space="0" w:color="000000"/>
        </w:tcBorders>
        <w:shd w:val="clear" w:color="000000"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000000" w:fill="FFFFFF"/>
      </w:tcPr>
    </w:tblStylePr>
    <w:tblStylePr w:type="band1Horz">
      <w:tblPr/>
      <w:tcPr>
        <w:shd w:val="clear" w:color="000000" w:fill="FFFFFF"/>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000000" w:fill="FFFFFF"/>
    </w:tcPr>
    <w:tblStylePr w:type="firstRow">
      <w:rPr>
        <w:b/>
        <w:bCs/>
        <w:color w:val="000000"/>
      </w:rPr>
      <w:tblPr/>
      <w:tcPr>
        <w:tcBorders>
          <w:bottom w:val="single" w:sz="12" w:space="0" w:color="000000"/>
        </w:tcBorders>
        <w:shd w:val="clear" w:color="000000" w:fill="FFFFFF"/>
      </w:tcPr>
    </w:tblStylePr>
    <w:tblStylePr w:type="lastRow">
      <w:rPr>
        <w:b/>
        <w:bCs/>
        <w:color w:val="000000"/>
      </w:rPr>
      <w:tblPr/>
      <w:tcPr>
        <w:tcBorders>
          <w:top w:val="single" w:sz="12" w:space="0" w:color="000000"/>
        </w:tcBorders>
        <w:shd w:val="clear" w:color="000000"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000000" w:fill="FFFFFF"/>
      </w:tcPr>
    </w:tblStylePr>
    <w:tblStylePr w:type="band1Horz">
      <w:tblPr/>
      <w:tcPr>
        <w:shd w:val="clear" w:color="000000" w:fill="FFFFFF"/>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000000" w:fill="FFFFFF"/>
    </w:tcPr>
    <w:tblStylePr w:type="firstRow">
      <w:rPr>
        <w:b/>
        <w:bCs/>
        <w:color w:val="000000"/>
      </w:rPr>
      <w:tblPr/>
      <w:tcPr>
        <w:tcBorders>
          <w:bottom w:val="single" w:sz="12" w:space="0" w:color="000000"/>
        </w:tcBorders>
        <w:shd w:val="clear" w:color="000000" w:fill="FFFFFF"/>
      </w:tcPr>
    </w:tblStylePr>
    <w:tblStylePr w:type="lastRow">
      <w:rPr>
        <w:b/>
        <w:bCs/>
        <w:color w:val="000000"/>
      </w:rPr>
      <w:tblPr/>
      <w:tcPr>
        <w:tcBorders>
          <w:top w:val="single" w:sz="12" w:space="0" w:color="000000"/>
        </w:tcBorders>
        <w:shd w:val="clear" w:color="000000"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000000" w:fill="FFFFFF"/>
      </w:tcPr>
    </w:tblStylePr>
    <w:tblStylePr w:type="band1Horz">
      <w:tblPr/>
      <w:tcPr>
        <w:shd w:val="clear" w:color="000000" w:fill="FFFFFF"/>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000000" w:fill="FFFFFF"/>
    </w:tcPr>
    <w:tblStylePr w:type="firstRow">
      <w:rPr>
        <w:b/>
        <w:bCs/>
        <w:color w:val="000000"/>
      </w:rPr>
      <w:tblPr/>
      <w:tcPr>
        <w:tcBorders>
          <w:bottom w:val="single" w:sz="12" w:space="0" w:color="000000"/>
        </w:tcBorders>
        <w:shd w:val="clear" w:color="000000" w:fill="FFFFFF"/>
      </w:tcPr>
    </w:tblStylePr>
    <w:tblStylePr w:type="lastRow">
      <w:rPr>
        <w:b/>
        <w:bCs/>
        <w:color w:val="000000"/>
      </w:rPr>
      <w:tblPr/>
      <w:tcPr>
        <w:tcBorders>
          <w:top w:val="single" w:sz="12" w:space="0" w:color="000000"/>
        </w:tcBorders>
        <w:shd w:val="clear" w:color="000000"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000000" w:fill="FFFFFF"/>
      </w:tcPr>
    </w:tblStylePr>
    <w:tblStylePr w:type="band1Horz">
      <w:tblPr/>
      <w:tcPr>
        <w:shd w:val="clear" w:color="000000" w:fill="FFFFFF"/>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000000"/>
      </w:tblBorders>
      <w:tblCellMar>
        <w:top w:w="0" w:type="dxa"/>
        <w:left w:w="108" w:type="dxa"/>
        <w:bottom w:w="0" w:type="dxa"/>
        <w:right w:w="108" w:type="dxa"/>
      </w:tblCellMar>
    </w:tblPr>
    <w:tcPr>
      <w:shd w:val="clear" w:color="000000" w:fill="FFFFFF"/>
    </w:tcPr>
    <w:tblStylePr w:type="firstRow">
      <w:rPr>
        <w:b/>
        <w:bCs/>
      </w:rPr>
      <w:tblPr/>
      <w:tcPr>
        <w:shd w:val="clear" w:color="000000" w:fill="FFFFFF"/>
      </w:tcPr>
    </w:tblStylePr>
    <w:tblStylePr w:type="lastRow">
      <w:rPr>
        <w:b/>
        <w:bCs/>
        <w:color w:val="000000"/>
      </w:rPr>
      <w:tblPr/>
      <w:tcPr>
        <w:shd w:val="clear" w:color="000000" w:fill="FFFFFF"/>
      </w:tcPr>
    </w:tblStylePr>
    <w:tblStylePr w:type="firstCol">
      <w:rPr>
        <w:color w:val="000000"/>
      </w:rPr>
      <w:tblPr/>
      <w:tcPr>
        <w:shd w:val="clear" w:color="000000" w:fill="FFFFFF"/>
      </w:tcPr>
    </w:tblStylePr>
    <w:tblStylePr w:type="lastCol">
      <w:rPr>
        <w:color w:val="000000"/>
      </w:rPr>
      <w:tblPr/>
      <w:tcPr>
        <w:shd w:val="clear" w:color="000000" w:fill="FFFFFF"/>
      </w:tcPr>
    </w:tblStylePr>
    <w:tblStylePr w:type="band1Vert">
      <w:tblPr/>
      <w:tcPr>
        <w:shd w:val="clear" w:color="000000" w:fill="FFFFFF"/>
      </w:tcPr>
    </w:tblStylePr>
    <w:tblStylePr w:type="band1Horz">
      <w:tblPr/>
      <w:tcPr>
        <w:shd w:val="clear" w:color="000000" w:fill="FFFFF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000000"/>
      </w:tblBorders>
      <w:tblCellMar>
        <w:top w:w="0" w:type="dxa"/>
        <w:left w:w="108" w:type="dxa"/>
        <w:bottom w:w="0" w:type="dxa"/>
        <w:right w:w="108" w:type="dxa"/>
      </w:tblCellMar>
    </w:tblPr>
    <w:tcPr>
      <w:shd w:val="clear" w:color="000000" w:fill="FFFFFF"/>
    </w:tcPr>
    <w:tblStylePr w:type="firstRow">
      <w:rPr>
        <w:b/>
        <w:bCs/>
      </w:rPr>
      <w:tblPr/>
      <w:tcPr>
        <w:shd w:val="clear" w:color="000000" w:fill="FFFFFF"/>
      </w:tcPr>
    </w:tblStylePr>
    <w:tblStylePr w:type="lastRow">
      <w:rPr>
        <w:b/>
        <w:bCs/>
        <w:color w:val="000000"/>
      </w:rPr>
      <w:tblPr/>
      <w:tcPr>
        <w:shd w:val="clear" w:color="000000" w:fill="FFFFFF"/>
      </w:tcPr>
    </w:tblStylePr>
    <w:tblStylePr w:type="firstCol">
      <w:rPr>
        <w:color w:val="000000"/>
      </w:rPr>
      <w:tblPr/>
      <w:tcPr>
        <w:shd w:val="clear" w:color="000000" w:fill="FFFFFF"/>
      </w:tcPr>
    </w:tblStylePr>
    <w:tblStylePr w:type="lastCol">
      <w:rPr>
        <w:color w:val="000000"/>
      </w:rPr>
      <w:tblPr/>
      <w:tcPr>
        <w:shd w:val="clear" w:color="000000" w:fill="FFFFFF"/>
      </w:tcPr>
    </w:tblStylePr>
    <w:tblStylePr w:type="band1Vert">
      <w:tblPr/>
      <w:tcPr>
        <w:shd w:val="clear" w:color="000000" w:fill="FFFFFF"/>
      </w:tcPr>
    </w:tblStylePr>
    <w:tblStylePr w:type="band1Horz">
      <w:tblPr/>
      <w:tcPr>
        <w:shd w:val="clear" w:color="000000" w:fill="FFFFF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000000"/>
      </w:tblBorders>
      <w:tblCellMar>
        <w:top w:w="0" w:type="dxa"/>
        <w:left w:w="108" w:type="dxa"/>
        <w:bottom w:w="0" w:type="dxa"/>
        <w:right w:w="108" w:type="dxa"/>
      </w:tblCellMar>
    </w:tblPr>
    <w:tcPr>
      <w:shd w:val="clear" w:color="000000" w:fill="FFFFFF"/>
    </w:tcPr>
    <w:tblStylePr w:type="firstRow">
      <w:rPr>
        <w:b/>
        <w:bCs/>
      </w:rPr>
      <w:tblPr/>
      <w:tcPr>
        <w:shd w:val="clear" w:color="000000" w:fill="FFFFFF"/>
      </w:tcPr>
    </w:tblStylePr>
    <w:tblStylePr w:type="lastRow">
      <w:rPr>
        <w:b/>
        <w:bCs/>
        <w:color w:val="000000"/>
      </w:rPr>
      <w:tblPr/>
      <w:tcPr>
        <w:shd w:val="clear" w:color="000000" w:fill="FFFFFF"/>
      </w:tcPr>
    </w:tblStylePr>
    <w:tblStylePr w:type="firstCol">
      <w:rPr>
        <w:color w:val="000000"/>
      </w:rPr>
      <w:tblPr/>
      <w:tcPr>
        <w:shd w:val="clear" w:color="000000" w:fill="FFFFFF"/>
      </w:tcPr>
    </w:tblStylePr>
    <w:tblStylePr w:type="lastCol">
      <w:rPr>
        <w:color w:val="000000"/>
      </w:rPr>
      <w:tblPr/>
      <w:tcPr>
        <w:shd w:val="clear" w:color="000000" w:fill="FFFFFF"/>
      </w:tcPr>
    </w:tblStylePr>
    <w:tblStylePr w:type="band1Vert">
      <w:tblPr/>
      <w:tcPr>
        <w:shd w:val="clear" w:color="000000" w:fill="FFFFFF"/>
      </w:tcPr>
    </w:tblStylePr>
    <w:tblStylePr w:type="band1Horz">
      <w:tblPr/>
      <w:tcPr>
        <w:shd w:val="clear" w:color="000000" w:fill="FFFFF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000000"/>
      </w:tblBorders>
      <w:tblCellMar>
        <w:top w:w="0" w:type="dxa"/>
        <w:left w:w="108" w:type="dxa"/>
        <w:bottom w:w="0" w:type="dxa"/>
        <w:right w:w="108" w:type="dxa"/>
      </w:tblCellMar>
    </w:tblPr>
    <w:tcPr>
      <w:shd w:val="clear" w:color="000000" w:fill="FFFFFF"/>
    </w:tcPr>
    <w:tblStylePr w:type="firstRow">
      <w:rPr>
        <w:b/>
        <w:bCs/>
      </w:rPr>
      <w:tblPr/>
      <w:tcPr>
        <w:shd w:val="clear" w:color="000000" w:fill="FFFFFF"/>
      </w:tcPr>
    </w:tblStylePr>
    <w:tblStylePr w:type="lastRow">
      <w:rPr>
        <w:b/>
        <w:bCs/>
        <w:color w:val="000000"/>
      </w:rPr>
      <w:tblPr/>
      <w:tcPr>
        <w:shd w:val="clear" w:color="000000" w:fill="FFFFFF"/>
      </w:tcPr>
    </w:tblStylePr>
    <w:tblStylePr w:type="firstCol">
      <w:rPr>
        <w:color w:val="000000"/>
      </w:rPr>
      <w:tblPr/>
      <w:tcPr>
        <w:shd w:val="clear" w:color="000000" w:fill="FFFFFF"/>
      </w:tcPr>
    </w:tblStylePr>
    <w:tblStylePr w:type="lastCol">
      <w:rPr>
        <w:color w:val="000000"/>
      </w:rPr>
      <w:tblPr/>
      <w:tcPr>
        <w:shd w:val="clear" w:color="000000" w:fill="FFFFFF"/>
      </w:tcPr>
    </w:tblStylePr>
    <w:tblStylePr w:type="band1Vert">
      <w:tblPr/>
      <w:tcPr>
        <w:shd w:val="clear" w:color="000000" w:fill="FFFFFF"/>
      </w:tcPr>
    </w:tblStylePr>
    <w:tblStylePr w:type="band1Horz">
      <w:tblPr/>
      <w:tcPr>
        <w:shd w:val="clear" w:color="000000" w:fill="FFFFF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000000"/>
      </w:tblBorders>
      <w:tblCellMar>
        <w:top w:w="0" w:type="dxa"/>
        <w:left w:w="108" w:type="dxa"/>
        <w:bottom w:w="0" w:type="dxa"/>
        <w:right w:w="108" w:type="dxa"/>
      </w:tblCellMar>
    </w:tblPr>
    <w:tcPr>
      <w:shd w:val="clear" w:color="000000" w:fill="FFFFFF"/>
    </w:tcPr>
    <w:tblStylePr w:type="firstRow">
      <w:rPr>
        <w:b/>
        <w:bCs/>
      </w:rPr>
      <w:tblPr/>
      <w:tcPr>
        <w:shd w:val="clear" w:color="000000" w:fill="FFFFFF"/>
      </w:tcPr>
    </w:tblStylePr>
    <w:tblStylePr w:type="lastRow">
      <w:rPr>
        <w:b/>
        <w:bCs/>
        <w:color w:val="000000"/>
      </w:rPr>
      <w:tblPr/>
      <w:tcPr>
        <w:shd w:val="clear" w:color="000000" w:fill="FFFFFF"/>
      </w:tcPr>
    </w:tblStylePr>
    <w:tblStylePr w:type="firstCol">
      <w:rPr>
        <w:color w:val="000000"/>
      </w:rPr>
      <w:tblPr/>
      <w:tcPr>
        <w:shd w:val="clear" w:color="000000" w:fill="FFFFFF"/>
      </w:tcPr>
    </w:tblStylePr>
    <w:tblStylePr w:type="lastCol">
      <w:rPr>
        <w:color w:val="000000"/>
      </w:rPr>
      <w:tblPr/>
      <w:tcPr>
        <w:shd w:val="clear" w:color="000000" w:fill="FFFFFF"/>
      </w:tcPr>
    </w:tblStylePr>
    <w:tblStylePr w:type="band1Vert">
      <w:tblPr/>
      <w:tcPr>
        <w:shd w:val="clear" w:color="000000" w:fill="FFFFFF"/>
      </w:tcPr>
    </w:tblStylePr>
    <w:tblStylePr w:type="band1Horz">
      <w:tblPr/>
      <w:tcPr>
        <w:shd w:val="clear" w:color="000000" w:fill="FFFFF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000000"/>
      </w:tblBorders>
      <w:tblCellMar>
        <w:top w:w="0" w:type="dxa"/>
        <w:left w:w="108" w:type="dxa"/>
        <w:bottom w:w="0" w:type="dxa"/>
        <w:right w:w="108" w:type="dxa"/>
      </w:tblCellMar>
    </w:tblPr>
    <w:tcPr>
      <w:shd w:val="clear" w:color="000000" w:fill="FFFFFF"/>
    </w:tcPr>
    <w:tblStylePr w:type="firstRow">
      <w:rPr>
        <w:b/>
        <w:bCs/>
      </w:rPr>
      <w:tblPr/>
      <w:tcPr>
        <w:shd w:val="clear" w:color="000000" w:fill="FFFFFF"/>
      </w:tcPr>
    </w:tblStylePr>
    <w:tblStylePr w:type="lastRow">
      <w:rPr>
        <w:b/>
        <w:bCs/>
        <w:color w:val="000000"/>
      </w:rPr>
      <w:tblPr/>
      <w:tcPr>
        <w:shd w:val="clear" w:color="000000" w:fill="FFFFFF"/>
      </w:tcPr>
    </w:tblStylePr>
    <w:tblStylePr w:type="firstCol">
      <w:rPr>
        <w:color w:val="000000"/>
      </w:rPr>
      <w:tblPr/>
      <w:tcPr>
        <w:shd w:val="clear" w:color="000000" w:fill="FFFFFF"/>
      </w:tcPr>
    </w:tblStylePr>
    <w:tblStylePr w:type="lastCol">
      <w:rPr>
        <w:color w:val="000000"/>
      </w:rPr>
      <w:tblPr/>
      <w:tcPr>
        <w:shd w:val="clear" w:color="000000" w:fill="FFFFFF"/>
      </w:tcPr>
    </w:tblStylePr>
    <w:tblStylePr w:type="band1Vert">
      <w:tblPr/>
      <w:tcPr>
        <w:shd w:val="clear" w:color="000000" w:fill="FFFFFF"/>
      </w:tcPr>
    </w:tblStylePr>
    <w:tblStylePr w:type="band1Horz">
      <w:tblPr/>
      <w:tcPr>
        <w:shd w:val="clear" w:color="000000" w:fill="FFFFF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000000"/>
      </w:tblBorders>
      <w:tblCellMar>
        <w:top w:w="0" w:type="dxa"/>
        <w:left w:w="108" w:type="dxa"/>
        <w:bottom w:w="0" w:type="dxa"/>
        <w:right w:w="108" w:type="dxa"/>
      </w:tblCellMar>
    </w:tblPr>
    <w:tcPr>
      <w:shd w:val="clear" w:color="000000" w:fill="FFFFFF"/>
    </w:tcPr>
    <w:tblStylePr w:type="firstRow">
      <w:rPr>
        <w:b/>
        <w:bCs/>
      </w:rPr>
      <w:tblPr/>
      <w:tcPr>
        <w:shd w:val="clear" w:color="000000" w:fill="FFFFFF"/>
      </w:tcPr>
    </w:tblStylePr>
    <w:tblStylePr w:type="lastRow">
      <w:rPr>
        <w:b/>
        <w:bCs/>
        <w:color w:val="000000"/>
      </w:rPr>
      <w:tblPr/>
      <w:tcPr>
        <w:shd w:val="clear" w:color="000000" w:fill="FFFFFF"/>
      </w:tcPr>
    </w:tblStylePr>
    <w:tblStylePr w:type="firstCol">
      <w:rPr>
        <w:color w:val="000000"/>
      </w:rPr>
      <w:tblPr/>
      <w:tcPr>
        <w:shd w:val="clear" w:color="000000" w:fill="FFFFFF"/>
      </w:tcPr>
    </w:tblStylePr>
    <w:tblStylePr w:type="lastCol">
      <w:rPr>
        <w:color w:val="000000"/>
      </w:rPr>
      <w:tblPr/>
      <w:tcPr>
        <w:shd w:val="clear" w:color="000000" w:fill="FFFFFF"/>
      </w:tcPr>
    </w:tblStylePr>
    <w:tblStylePr w:type="band1Vert">
      <w:tblPr/>
      <w:tcPr>
        <w:shd w:val="clear" w:color="000000" w:fill="FFFFFF"/>
      </w:tcPr>
    </w:tblStylePr>
    <w:tblStylePr w:type="band1Horz">
      <w:tblPr/>
      <w:tcPr>
        <w:shd w:val="clear" w:color="000000" w:fill="FFFFF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pBdr>
        <w:bottom w:val="single" w:sz="8" w:space="4" w:color="000000"/>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000000"/>
      </w:pBd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000000" w:fill="FFFFFF"/>
      </w:tcPr>
    </w:tblStylePr>
    <w:tblStylePr w:type="band1Horz">
      <w:tblPr/>
      <w:tcPr>
        <w:tcBorders>
          <w:left w:val="nil"/>
          <w:right w:val="nil"/>
          <w:insideH w:val="nil"/>
          <w:insideV w:val="nil"/>
        </w:tcBorders>
        <w:shd w:val="clear" w:color="000000" w:fill="FFFFF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000000" w:fill="FFFFFF"/>
      </w:tcPr>
    </w:tblStylePr>
    <w:tblStylePr w:type="band1Horz">
      <w:tblPr/>
      <w:tcPr>
        <w:tcBorders>
          <w:left w:val="nil"/>
          <w:right w:val="nil"/>
          <w:insideH w:val="nil"/>
          <w:insideV w:val="nil"/>
        </w:tcBorders>
        <w:shd w:val="clear" w:color="000000" w:fill="FFFFF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000000" w:fill="FFFFFF"/>
      </w:tcPr>
    </w:tblStylePr>
    <w:tblStylePr w:type="band1Horz">
      <w:tblPr/>
      <w:tcPr>
        <w:tcBorders>
          <w:left w:val="nil"/>
          <w:right w:val="nil"/>
          <w:insideH w:val="nil"/>
          <w:insideV w:val="nil"/>
        </w:tcBorders>
        <w:shd w:val="clear" w:color="000000" w:fill="FFFFF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000000" w:fill="FFFFFF"/>
      </w:tcPr>
    </w:tblStylePr>
    <w:tblStylePr w:type="band1Horz">
      <w:tblPr/>
      <w:tcPr>
        <w:tcBorders>
          <w:left w:val="nil"/>
          <w:right w:val="nil"/>
          <w:insideH w:val="nil"/>
          <w:insideV w:val="nil"/>
        </w:tcBorders>
        <w:shd w:val="clear" w:color="000000" w:fill="FFFFF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000000" w:fill="FFFFFF"/>
      </w:tcPr>
    </w:tblStylePr>
    <w:tblStylePr w:type="band1Horz">
      <w:tblPr/>
      <w:tcPr>
        <w:tcBorders>
          <w:left w:val="nil"/>
          <w:right w:val="nil"/>
          <w:insideH w:val="nil"/>
          <w:insideV w:val="nil"/>
        </w:tcBorders>
        <w:shd w:val="clear" w:color="000000" w:fill="FFFFF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000000" w:fill="FFFFFF"/>
      </w:tcPr>
    </w:tblStylePr>
    <w:tblStylePr w:type="band1Horz">
      <w:tblPr/>
      <w:tcPr>
        <w:tcBorders>
          <w:left w:val="nil"/>
          <w:right w:val="nil"/>
          <w:insideH w:val="nil"/>
          <w:insideV w:val="nil"/>
        </w:tcBorders>
        <w:shd w:val="clear" w:color="000000" w:fill="FFFFF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000000" w:fill="FFFFFF"/>
      </w:tcPr>
    </w:tblStylePr>
    <w:tblStylePr w:type="band1Horz">
      <w:tblPr/>
      <w:tcPr>
        <w:tcBorders>
          <w:left w:val="nil"/>
          <w:right w:val="nil"/>
          <w:insideH w:val="nil"/>
          <w:insideV w:val="nil"/>
        </w:tcBorders>
        <w:shd w:val="clear" w:color="000000" w:fill="FFFFF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000000"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000000"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000000"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000000"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000000"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000000"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000000"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000000"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000000"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000000"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000000"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000000"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000000"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000000"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000000"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000000"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000000"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000000"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000000"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000000"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000000"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000000"/>
          <w:left w:val="single" w:sz="8" w:space="0" w:color="000000"/>
          <w:bottom w:val="single" w:sz="8" w:space="0" w:color="000000"/>
          <w:right w:val="single" w:sz="8" w:space="0" w:color="000000"/>
          <w:insideH w:val="nil"/>
          <w:insideV w:val="nil"/>
        </w:tcBorders>
        <w:shd w:val="clear" w:color="000000"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000000" w:fill="FFFFFF"/>
      </w:tcPr>
    </w:tblStylePr>
    <w:tblStylePr w:type="band1Horz">
      <w:tblPr/>
      <w:tcPr>
        <w:tcBorders>
          <w:insideH w:val="nil"/>
          <w:insideV w:val="nil"/>
        </w:tcBorders>
        <w:shd w:val="clear" w:color="000000" w:fill="FFFFF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000000"/>
          <w:left w:val="single" w:sz="8" w:space="0" w:color="000000"/>
          <w:bottom w:val="single" w:sz="8" w:space="0" w:color="000000"/>
          <w:right w:val="single" w:sz="8" w:space="0" w:color="000000"/>
          <w:insideH w:val="nil"/>
          <w:insideV w:val="nil"/>
        </w:tcBorders>
        <w:shd w:val="clear" w:color="000000"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000000" w:fill="FFFFFF"/>
      </w:tcPr>
    </w:tblStylePr>
    <w:tblStylePr w:type="band1Horz">
      <w:tblPr/>
      <w:tcPr>
        <w:tcBorders>
          <w:insideH w:val="nil"/>
          <w:insideV w:val="nil"/>
        </w:tcBorders>
        <w:shd w:val="clear" w:color="000000" w:fill="FFFFF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000000"/>
          <w:left w:val="single" w:sz="8" w:space="0" w:color="000000"/>
          <w:bottom w:val="single" w:sz="8" w:space="0" w:color="000000"/>
          <w:right w:val="single" w:sz="8" w:space="0" w:color="000000"/>
          <w:insideH w:val="nil"/>
          <w:insideV w:val="nil"/>
        </w:tcBorders>
        <w:shd w:val="clear" w:color="000000"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000000" w:fill="FFFFFF"/>
      </w:tcPr>
    </w:tblStylePr>
    <w:tblStylePr w:type="band1Horz">
      <w:tblPr/>
      <w:tcPr>
        <w:tcBorders>
          <w:insideH w:val="nil"/>
          <w:insideV w:val="nil"/>
        </w:tcBorders>
        <w:shd w:val="clear" w:color="000000" w:fill="FFFFF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000000"/>
          <w:left w:val="single" w:sz="8" w:space="0" w:color="000000"/>
          <w:bottom w:val="single" w:sz="8" w:space="0" w:color="000000"/>
          <w:right w:val="single" w:sz="8" w:space="0" w:color="000000"/>
          <w:insideH w:val="nil"/>
          <w:insideV w:val="nil"/>
        </w:tcBorders>
        <w:shd w:val="clear" w:color="000000"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000000" w:fill="FFFFFF"/>
      </w:tcPr>
    </w:tblStylePr>
    <w:tblStylePr w:type="band1Horz">
      <w:tblPr/>
      <w:tcPr>
        <w:tcBorders>
          <w:insideH w:val="nil"/>
          <w:insideV w:val="nil"/>
        </w:tcBorders>
        <w:shd w:val="clear" w:color="000000" w:fill="FFFFF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000000"/>
          <w:left w:val="single" w:sz="8" w:space="0" w:color="000000"/>
          <w:bottom w:val="single" w:sz="8" w:space="0" w:color="000000"/>
          <w:right w:val="single" w:sz="8" w:space="0" w:color="000000"/>
          <w:insideH w:val="nil"/>
          <w:insideV w:val="nil"/>
        </w:tcBorders>
        <w:shd w:val="clear" w:color="000000"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000000" w:fill="FFFFFF"/>
      </w:tcPr>
    </w:tblStylePr>
    <w:tblStylePr w:type="band1Horz">
      <w:tblPr/>
      <w:tcPr>
        <w:tcBorders>
          <w:insideH w:val="nil"/>
          <w:insideV w:val="nil"/>
        </w:tcBorders>
        <w:shd w:val="clear" w:color="000000" w:fill="FFFFF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000000"/>
          <w:left w:val="single" w:sz="8" w:space="0" w:color="000000"/>
          <w:bottom w:val="single" w:sz="8" w:space="0" w:color="000000"/>
          <w:right w:val="single" w:sz="8" w:space="0" w:color="000000"/>
          <w:insideH w:val="nil"/>
          <w:insideV w:val="nil"/>
        </w:tcBorders>
        <w:shd w:val="clear" w:color="000000"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000000" w:fill="FFFFFF"/>
      </w:tcPr>
    </w:tblStylePr>
    <w:tblStylePr w:type="band1Horz">
      <w:tblPr/>
      <w:tcPr>
        <w:tcBorders>
          <w:insideH w:val="nil"/>
          <w:insideV w:val="nil"/>
        </w:tcBorders>
        <w:shd w:val="clear" w:color="000000" w:fill="FFFFF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000000"/>
          <w:left w:val="single" w:sz="8" w:space="0" w:color="000000"/>
          <w:bottom w:val="single" w:sz="8" w:space="0" w:color="000000"/>
          <w:right w:val="single" w:sz="8" w:space="0" w:color="000000"/>
          <w:insideH w:val="nil"/>
          <w:insideV w:val="nil"/>
        </w:tcBorders>
        <w:shd w:val="clear" w:color="000000"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000000" w:fill="FFFFFF"/>
      </w:tcPr>
    </w:tblStylePr>
    <w:tblStylePr w:type="band1Horz">
      <w:tblPr/>
      <w:tcPr>
        <w:tcBorders>
          <w:insideH w:val="nil"/>
          <w:insideV w:val="nil"/>
        </w:tcBorders>
        <w:shd w:val="clear" w:color="000000" w:fill="FFFFF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000000"/>
        <w:bottom w:val="single" w:sz="1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000000"/>
          <w:left w:val="nil"/>
          <w:bottom w:val="single" w:sz="18" w:space="0" w:color="000000"/>
          <w:right w:val="nil"/>
          <w:insideH w:val="nil"/>
          <w:insideV w:val="nil"/>
        </w:tcBorders>
        <w:shd w:val="clear" w:color="000000" w:fill="FFFFFF"/>
      </w:tcPr>
    </w:tblStylePr>
    <w:tblStylePr w:type="lastRow">
      <w:pPr>
        <w:spacing w:before="0" w:after="0" w:line="240" w:lineRule="auto"/>
      </w:pPr>
      <w:rPr>
        <w:color w:val="000000"/>
      </w:rPr>
      <w:tblPr/>
      <w:tcPr>
        <w:tcBorders>
          <w:top w:val="double" w:sz="6" w:space="0" w:color="000000"/>
          <w:left w:val="nil"/>
          <w:bottom w:val="single" w:sz="18" w:space="0" w:color="000000"/>
          <w:right w:val="nil"/>
          <w:insideH w:val="nil"/>
          <w:insideV w:val="nil"/>
        </w:tcBorders>
        <w:shd w:val="clear" w:color="000000" w:fill="FFFFFF"/>
      </w:tcPr>
    </w:tblStylePr>
    <w:tblStylePr w:type="firstCol">
      <w:rPr>
        <w:b/>
        <w:bCs/>
        <w:color w:val="000000"/>
      </w:rPr>
      <w:tblPr/>
      <w:tcPr>
        <w:tcBorders>
          <w:top w:val="nil"/>
          <w:left w:val="nil"/>
          <w:bottom w:val="single" w:sz="18" w:space="0" w:color="000000"/>
          <w:right w:val="nil"/>
          <w:insideH w:val="nil"/>
          <w:insideV w:val="nil"/>
        </w:tcBorders>
        <w:shd w:val="clear" w:color="000000" w:fill="FFFFFF"/>
      </w:tcPr>
    </w:tblStylePr>
    <w:tblStylePr w:type="lastCol">
      <w:rPr>
        <w:b/>
        <w:bCs/>
        <w:color w:val="000000"/>
      </w:rPr>
      <w:tblPr/>
      <w:tcPr>
        <w:tcBorders>
          <w:left w:val="nil"/>
          <w:right w:val="nil"/>
          <w:insideH w:val="nil"/>
          <w:insideV w:val="nil"/>
        </w:tcBorders>
        <w:shd w:val="clear" w:color="000000" w:fill="FFFFFF"/>
      </w:tcPr>
    </w:tblStylePr>
    <w:tblStylePr w:type="band1Vert">
      <w:tblPr/>
      <w:tcPr>
        <w:tcBorders>
          <w:left w:val="nil"/>
          <w:right w:val="nil"/>
          <w:insideH w:val="nil"/>
          <w:insideV w:val="nil"/>
        </w:tcBorders>
        <w:shd w:val="clear" w:color="000000" w:fill="FFFFFF"/>
      </w:tcPr>
    </w:tblStylePr>
    <w:tblStylePr w:type="band1Horz">
      <w:tblPr/>
      <w:tcPr>
        <w:shd w:val="clear" w:color="000000" w:fill="FFFFFF"/>
      </w:tcPr>
    </w:tblStylePr>
    <w:tblStylePr w:type="neCell">
      <w:tblPr/>
      <w:tcPr>
        <w:tcBorders>
          <w:top w:val="single" w:sz="18" w:space="0" w:color="000000"/>
          <w:left w:val="nil"/>
          <w:bottom w:val="single" w:sz="18" w:space="0" w:color="000000"/>
          <w:right w:val="nil"/>
          <w:insideH w:val="nil"/>
          <w:insideV w:val="nil"/>
        </w:tcBorders>
      </w:tcPr>
    </w:tblStylePr>
    <w:tblStylePr w:type="nwCell">
      <w:rPr>
        <w:color w:val="000000"/>
      </w:rPr>
      <w:tblPr/>
      <w:tcPr>
        <w:tcBorders>
          <w:top w:val="single" w:sz="18" w:space="0" w:color="000000"/>
          <w:left w:val="nil"/>
          <w:bottom w:val="single" w:sz="18" w:space="0" w:color="00000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000000"/>
        <w:bottom w:val="single" w:sz="1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000000"/>
          <w:left w:val="nil"/>
          <w:bottom w:val="single" w:sz="18" w:space="0" w:color="000000"/>
          <w:right w:val="nil"/>
          <w:insideH w:val="nil"/>
          <w:insideV w:val="nil"/>
        </w:tcBorders>
        <w:shd w:val="clear" w:color="000000" w:fill="FFFFFF"/>
      </w:tcPr>
    </w:tblStylePr>
    <w:tblStylePr w:type="lastRow">
      <w:pPr>
        <w:spacing w:before="0" w:after="0" w:line="240" w:lineRule="auto"/>
      </w:pPr>
      <w:rPr>
        <w:color w:val="000000"/>
      </w:rPr>
      <w:tblPr/>
      <w:tcPr>
        <w:tcBorders>
          <w:top w:val="double" w:sz="6" w:space="0" w:color="000000"/>
          <w:left w:val="nil"/>
          <w:bottom w:val="single" w:sz="18" w:space="0" w:color="000000"/>
          <w:right w:val="nil"/>
          <w:insideH w:val="nil"/>
          <w:insideV w:val="nil"/>
        </w:tcBorders>
        <w:shd w:val="clear" w:color="000000" w:fill="FFFFFF"/>
      </w:tcPr>
    </w:tblStylePr>
    <w:tblStylePr w:type="firstCol">
      <w:rPr>
        <w:b/>
        <w:bCs/>
        <w:color w:val="000000"/>
      </w:rPr>
      <w:tblPr/>
      <w:tcPr>
        <w:tcBorders>
          <w:top w:val="nil"/>
          <w:left w:val="nil"/>
          <w:bottom w:val="single" w:sz="18" w:space="0" w:color="000000"/>
          <w:right w:val="nil"/>
          <w:insideH w:val="nil"/>
          <w:insideV w:val="nil"/>
        </w:tcBorders>
        <w:shd w:val="clear" w:color="000000" w:fill="FFFFFF"/>
      </w:tcPr>
    </w:tblStylePr>
    <w:tblStylePr w:type="lastCol">
      <w:rPr>
        <w:b/>
        <w:bCs/>
        <w:color w:val="000000"/>
      </w:rPr>
      <w:tblPr/>
      <w:tcPr>
        <w:tcBorders>
          <w:left w:val="nil"/>
          <w:right w:val="nil"/>
          <w:insideH w:val="nil"/>
          <w:insideV w:val="nil"/>
        </w:tcBorders>
        <w:shd w:val="clear" w:color="000000" w:fill="FFFFFF"/>
      </w:tcPr>
    </w:tblStylePr>
    <w:tblStylePr w:type="band1Vert">
      <w:tblPr/>
      <w:tcPr>
        <w:tcBorders>
          <w:left w:val="nil"/>
          <w:right w:val="nil"/>
          <w:insideH w:val="nil"/>
          <w:insideV w:val="nil"/>
        </w:tcBorders>
        <w:shd w:val="clear" w:color="000000" w:fill="FFFFFF"/>
      </w:tcPr>
    </w:tblStylePr>
    <w:tblStylePr w:type="band1Horz">
      <w:tblPr/>
      <w:tcPr>
        <w:shd w:val="clear" w:color="000000" w:fill="FFFFFF"/>
      </w:tcPr>
    </w:tblStylePr>
    <w:tblStylePr w:type="neCell">
      <w:tblPr/>
      <w:tcPr>
        <w:tcBorders>
          <w:top w:val="single" w:sz="18" w:space="0" w:color="000000"/>
          <w:left w:val="nil"/>
          <w:bottom w:val="single" w:sz="18" w:space="0" w:color="000000"/>
          <w:right w:val="nil"/>
          <w:insideH w:val="nil"/>
          <w:insideV w:val="nil"/>
        </w:tcBorders>
      </w:tcPr>
    </w:tblStylePr>
    <w:tblStylePr w:type="nwCell">
      <w:rPr>
        <w:color w:val="000000"/>
      </w:rPr>
      <w:tblPr/>
      <w:tcPr>
        <w:tcBorders>
          <w:top w:val="single" w:sz="18" w:space="0" w:color="000000"/>
          <w:left w:val="nil"/>
          <w:bottom w:val="single" w:sz="18" w:space="0" w:color="00000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000000"/>
        <w:bottom w:val="single" w:sz="1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000000"/>
          <w:left w:val="nil"/>
          <w:bottom w:val="single" w:sz="18" w:space="0" w:color="000000"/>
          <w:right w:val="nil"/>
          <w:insideH w:val="nil"/>
          <w:insideV w:val="nil"/>
        </w:tcBorders>
        <w:shd w:val="clear" w:color="000000" w:fill="FFFFFF"/>
      </w:tcPr>
    </w:tblStylePr>
    <w:tblStylePr w:type="lastRow">
      <w:pPr>
        <w:spacing w:before="0" w:after="0" w:line="240" w:lineRule="auto"/>
      </w:pPr>
      <w:rPr>
        <w:color w:val="000000"/>
      </w:rPr>
      <w:tblPr/>
      <w:tcPr>
        <w:tcBorders>
          <w:top w:val="double" w:sz="6" w:space="0" w:color="000000"/>
          <w:left w:val="nil"/>
          <w:bottom w:val="single" w:sz="18" w:space="0" w:color="000000"/>
          <w:right w:val="nil"/>
          <w:insideH w:val="nil"/>
          <w:insideV w:val="nil"/>
        </w:tcBorders>
        <w:shd w:val="clear" w:color="000000" w:fill="FFFFFF"/>
      </w:tcPr>
    </w:tblStylePr>
    <w:tblStylePr w:type="firstCol">
      <w:rPr>
        <w:b/>
        <w:bCs/>
        <w:color w:val="000000"/>
      </w:rPr>
      <w:tblPr/>
      <w:tcPr>
        <w:tcBorders>
          <w:top w:val="nil"/>
          <w:left w:val="nil"/>
          <w:bottom w:val="single" w:sz="18" w:space="0" w:color="000000"/>
          <w:right w:val="nil"/>
          <w:insideH w:val="nil"/>
          <w:insideV w:val="nil"/>
        </w:tcBorders>
        <w:shd w:val="clear" w:color="000000" w:fill="FFFFFF"/>
      </w:tcPr>
    </w:tblStylePr>
    <w:tblStylePr w:type="lastCol">
      <w:rPr>
        <w:b/>
        <w:bCs/>
        <w:color w:val="000000"/>
      </w:rPr>
      <w:tblPr/>
      <w:tcPr>
        <w:tcBorders>
          <w:left w:val="nil"/>
          <w:right w:val="nil"/>
          <w:insideH w:val="nil"/>
          <w:insideV w:val="nil"/>
        </w:tcBorders>
        <w:shd w:val="clear" w:color="000000" w:fill="FFFFFF"/>
      </w:tcPr>
    </w:tblStylePr>
    <w:tblStylePr w:type="band1Vert">
      <w:tblPr/>
      <w:tcPr>
        <w:tcBorders>
          <w:left w:val="nil"/>
          <w:right w:val="nil"/>
          <w:insideH w:val="nil"/>
          <w:insideV w:val="nil"/>
        </w:tcBorders>
        <w:shd w:val="clear" w:color="000000" w:fill="FFFFFF"/>
      </w:tcPr>
    </w:tblStylePr>
    <w:tblStylePr w:type="band1Horz">
      <w:tblPr/>
      <w:tcPr>
        <w:shd w:val="clear" w:color="000000" w:fill="FFFFFF"/>
      </w:tcPr>
    </w:tblStylePr>
    <w:tblStylePr w:type="neCell">
      <w:tblPr/>
      <w:tcPr>
        <w:tcBorders>
          <w:top w:val="single" w:sz="18" w:space="0" w:color="000000"/>
          <w:left w:val="nil"/>
          <w:bottom w:val="single" w:sz="18" w:space="0" w:color="000000"/>
          <w:right w:val="nil"/>
          <w:insideH w:val="nil"/>
          <w:insideV w:val="nil"/>
        </w:tcBorders>
      </w:tcPr>
    </w:tblStylePr>
    <w:tblStylePr w:type="nwCell">
      <w:rPr>
        <w:color w:val="000000"/>
      </w:rPr>
      <w:tblPr/>
      <w:tcPr>
        <w:tcBorders>
          <w:top w:val="single" w:sz="18" w:space="0" w:color="000000"/>
          <w:left w:val="nil"/>
          <w:bottom w:val="single" w:sz="18" w:space="0" w:color="00000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000000"/>
        <w:bottom w:val="single" w:sz="1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000000"/>
          <w:left w:val="nil"/>
          <w:bottom w:val="single" w:sz="18" w:space="0" w:color="000000"/>
          <w:right w:val="nil"/>
          <w:insideH w:val="nil"/>
          <w:insideV w:val="nil"/>
        </w:tcBorders>
        <w:shd w:val="clear" w:color="000000" w:fill="FFFFFF"/>
      </w:tcPr>
    </w:tblStylePr>
    <w:tblStylePr w:type="lastRow">
      <w:pPr>
        <w:spacing w:before="0" w:after="0" w:line="240" w:lineRule="auto"/>
      </w:pPr>
      <w:rPr>
        <w:color w:val="000000"/>
      </w:rPr>
      <w:tblPr/>
      <w:tcPr>
        <w:tcBorders>
          <w:top w:val="double" w:sz="6" w:space="0" w:color="000000"/>
          <w:left w:val="nil"/>
          <w:bottom w:val="single" w:sz="18" w:space="0" w:color="000000"/>
          <w:right w:val="nil"/>
          <w:insideH w:val="nil"/>
          <w:insideV w:val="nil"/>
        </w:tcBorders>
        <w:shd w:val="clear" w:color="000000" w:fill="FFFFFF"/>
      </w:tcPr>
    </w:tblStylePr>
    <w:tblStylePr w:type="firstCol">
      <w:rPr>
        <w:b/>
        <w:bCs/>
        <w:color w:val="000000"/>
      </w:rPr>
      <w:tblPr/>
      <w:tcPr>
        <w:tcBorders>
          <w:top w:val="nil"/>
          <w:left w:val="nil"/>
          <w:bottom w:val="single" w:sz="18" w:space="0" w:color="000000"/>
          <w:right w:val="nil"/>
          <w:insideH w:val="nil"/>
          <w:insideV w:val="nil"/>
        </w:tcBorders>
        <w:shd w:val="clear" w:color="000000" w:fill="FFFFFF"/>
      </w:tcPr>
    </w:tblStylePr>
    <w:tblStylePr w:type="lastCol">
      <w:rPr>
        <w:b/>
        <w:bCs/>
        <w:color w:val="000000"/>
      </w:rPr>
      <w:tblPr/>
      <w:tcPr>
        <w:tcBorders>
          <w:left w:val="nil"/>
          <w:right w:val="nil"/>
          <w:insideH w:val="nil"/>
          <w:insideV w:val="nil"/>
        </w:tcBorders>
        <w:shd w:val="clear" w:color="000000" w:fill="FFFFFF"/>
      </w:tcPr>
    </w:tblStylePr>
    <w:tblStylePr w:type="band1Vert">
      <w:tblPr/>
      <w:tcPr>
        <w:tcBorders>
          <w:left w:val="nil"/>
          <w:right w:val="nil"/>
          <w:insideH w:val="nil"/>
          <w:insideV w:val="nil"/>
        </w:tcBorders>
        <w:shd w:val="clear" w:color="000000" w:fill="FFFFFF"/>
      </w:tcPr>
    </w:tblStylePr>
    <w:tblStylePr w:type="band1Horz">
      <w:tblPr/>
      <w:tcPr>
        <w:shd w:val="clear" w:color="000000" w:fill="FFFFFF"/>
      </w:tcPr>
    </w:tblStylePr>
    <w:tblStylePr w:type="neCell">
      <w:tblPr/>
      <w:tcPr>
        <w:tcBorders>
          <w:top w:val="single" w:sz="18" w:space="0" w:color="000000"/>
          <w:left w:val="nil"/>
          <w:bottom w:val="single" w:sz="18" w:space="0" w:color="000000"/>
          <w:right w:val="nil"/>
          <w:insideH w:val="nil"/>
          <w:insideV w:val="nil"/>
        </w:tcBorders>
      </w:tcPr>
    </w:tblStylePr>
    <w:tblStylePr w:type="nwCell">
      <w:rPr>
        <w:color w:val="000000"/>
      </w:rPr>
      <w:tblPr/>
      <w:tcPr>
        <w:tcBorders>
          <w:top w:val="single" w:sz="18" w:space="0" w:color="000000"/>
          <w:left w:val="nil"/>
          <w:bottom w:val="single" w:sz="18" w:space="0" w:color="00000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000000"/>
        <w:bottom w:val="single" w:sz="1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000000"/>
          <w:left w:val="nil"/>
          <w:bottom w:val="single" w:sz="18" w:space="0" w:color="000000"/>
          <w:right w:val="nil"/>
          <w:insideH w:val="nil"/>
          <w:insideV w:val="nil"/>
        </w:tcBorders>
        <w:shd w:val="clear" w:color="000000" w:fill="FFFFFF"/>
      </w:tcPr>
    </w:tblStylePr>
    <w:tblStylePr w:type="lastRow">
      <w:pPr>
        <w:spacing w:before="0" w:after="0" w:line="240" w:lineRule="auto"/>
      </w:pPr>
      <w:rPr>
        <w:color w:val="000000"/>
      </w:rPr>
      <w:tblPr/>
      <w:tcPr>
        <w:tcBorders>
          <w:top w:val="double" w:sz="6" w:space="0" w:color="000000"/>
          <w:left w:val="nil"/>
          <w:bottom w:val="single" w:sz="18" w:space="0" w:color="000000"/>
          <w:right w:val="nil"/>
          <w:insideH w:val="nil"/>
          <w:insideV w:val="nil"/>
        </w:tcBorders>
        <w:shd w:val="clear" w:color="000000" w:fill="FFFFFF"/>
      </w:tcPr>
    </w:tblStylePr>
    <w:tblStylePr w:type="firstCol">
      <w:rPr>
        <w:b/>
        <w:bCs/>
        <w:color w:val="000000"/>
      </w:rPr>
      <w:tblPr/>
      <w:tcPr>
        <w:tcBorders>
          <w:top w:val="nil"/>
          <w:left w:val="nil"/>
          <w:bottom w:val="single" w:sz="18" w:space="0" w:color="000000"/>
          <w:right w:val="nil"/>
          <w:insideH w:val="nil"/>
          <w:insideV w:val="nil"/>
        </w:tcBorders>
        <w:shd w:val="clear" w:color="000000" w:fill="FFFFFF"/>
      </w:tcPr>
    </w:tblStylePr>
    <w:tblStylePr w:type="lastCol">
      <w:rPr>
        <w:b/>
        <w:bCs/>
        <w:color w:val="000000"/>
      </w:rPr>
      <w:tblPr/>
      <w:tcPr>
        <w:tcBorders>
          <w:left w:val="nil"/>
          <w:right w:val="nil"/>
          <w:insideH w:val="nil"/>
          <w:insideV w:val="nil"/>
        </w:tcBorders>
        <w:shd w:val="clear" w:color="000000" w:fill="FFFFFF"/>
      </w:tcPr>
    </w:tblStylePr>
    <w:tblStylePr w:type="band1Vert">
      <w:tblPr/>
      <w:tcPr>
        <w:tcBorders>
          <w:left w:val="nil"/>
          <w:right w:val="nil"/>
          <w:insideH w:val="nil"/>
          <w:insideV w:val="nil"/>
        </w:tcBorders>
        <w:shd w:val="clear" w:color="000000" w:fill="FFFFFF"/>
      </w:tcPr>
    </w:tblStylePr>
    <w:tblStylePr w:type="band1Horz">
      <w:tblPr/>
      <w:tcPr>
        <w:shd w:val="clear" w:color="000000" w:fill="FFFFFF"/>
      </w:tcPr>
    </w:tblStylePr>
    <w:tblStylePr w:type="neCell">
      <w:tblPr/>
      <w:tcPr>
        <w:tcBorders>
          <w:top w:val="single" w:sz="18" w:space="0" w:color="000000"/>
          <w:left w:val="nil"/>
          <w:bottom w:val="single" w:sz="18" w:space="0" w:color="000000"/>
          <w:right w:val="nil"/>
          <w:insideH w:val="nil"/>
          <w:insideV w:val="nil"/>
        </w:tcBorders>
      </w:tcPr>
    </w:tblStylePr>
    <w:tblStylePr w:type="nwCell">
      <w:rPr>
        <w:color w:val="000000"/>
      </w:rPr>
      <w:tblPr/>
      <w:tcPr>
        <w:tcBorders>
          <w:top w:val="single" w:sz="18" w:space="0" w:color="000000"/>
          <w:left w:val="nil"/>
          <w:bottom w:val="single" w:sz="18" w:space="0" w:color="00000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000000"/>
        <w:bottom w:val="single" w:sz="1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000000"/>
          <w:left w:val="nil"/>
          <w:bottom w:val="single" w:sz="18" w:space="0" w:color="000000"/>
          <w:right w:val="nil"/>
          <w:insideH w:val="nil"/>
          <w:insideV w:val="nil"/>
        </w:tcBorders>
        <w:shd w:val="clear" w:color="000000" w:fill="FFFFFF"/>
      </w:tcPr>
    </w:tblStylePr>
    <w:tblStylePr w:type="lastRow">
      <w:pPr>
        <w:spacing w:before="0" w:after="0" w:line="240" w:lineRule="auto"/>
      </w:pPr>
      <w:rPr>
        <w:color w:val="000000"/>
      </w:rPr>
      <w:tblPr/>
      <w:tcPr>
        <w:tcBorders>
          <w:top w:val="double" w:sz="6" w:space="0" w:color="000000"/>
          <w:left w:val="nil"/>
          <w:bottom w:val="single" w:sz="18" w:space="0" w:color="000000"/>
          <w:right w:val="nil"/>
          <w:insideH w:val="nil"/>
          <w:insideV w:val="nil"/>
        </w:tcBorders>
        <w:shd w:val="clear" w:color="000000" w:fill="FFFFFF"/>
      </w:tcPr>
    </w:tblStylePr>
    <w:tblStylePr w:type="firstCol">
      <w:rPr>
        <w:b/>
        <w:bCs/>
        <w:color w:val="000000"/>
      </w:rPr>
      <w:tblPr/>
      <w:tcPr>
        <w:tcBorders>
          <w:top w:val="nil"/>
          <w:left w:val="nil"/>
          <w:bottom w:val="single" w:sz="18" w:space="0" w:color="000000"/>
          <w:right w:val="nil"/>
          <w:insideH w:val="nil"/>
          <w:insideV w:val="nil"/>
        </w:tcBorders>
        <w:shd w:val="clear" w:color="000000" w:fill="FFFFFF"/>
      </w:tcPr>
    </w:tblStylePr>
    <w:tblStylePr w:type="lastCol">
      <w:rPr>
        <w:b/>
        <w:bCs/>
        <w:color w:val="000000"/>
      </w:rPr>
      <w:tblPr/>
      <w:tcPr>
        <w:tcBorders>
          <w:left w:val="nil"/>
          <w:right w:val="nil"/>
          <w:insideH w:val="nil"/>
          <w:insideV w:val="nil"/>
        </w:tcBorders>
        <w:shd w:val="clear" w:color="000000" w:fill="FFFFFF"/>
      </w:tcPr>
    </w:tblStylePr>
    <w:tblStylePr w:type="band1Vert">
      <w:tblPr/>
      <w:tcPr>
        <w:tcBorders>
          <w:left w:val="nil"/>
          <w:right w:val="nil"/>
          <w:insideH w:val="nil"/>
          <w:insideV w:val="nil"/>
        </w:tcBorders>
        <w:shd w:val="clear" w:color="000000" w:fill="FFFFFF"/>
      </w:tcPr>
    </w:tblStylePr>
    <w:tblStylePr w:type="band1Horz">
      <w:tblPr/>
      <w:tcPr>
        <w:shd w:val="clear" w:color="000000" w:fill="FFFFFF"/>
      </w:tcPr>
    </w:tblStylePr>
    <w:tblStylePr w:type="neCell">
      <w:tblPr/>
      <w:tcPr>
        <w:tcBorders>
          <w:top w:val="single" w:sz="18" w:space="0" w:color="000000"/>
          <w:left w:val="nil"/>
          <w:bottom w:val="single" w:sz="18" w:space="0" w:color="000000"/>
          <w:right w:val="nil"/>
          <w:insideH w:val="nil"/>
          <w:insideV w:val="nil"/>
        </w:tcBorders>
      </w:tcPr>
    </w:tblStylePr>
    <w:tblStylePr w:type="nwCell">
      <w:rPr>
        <w:color w:val="000000"/>
      </w:rPr>
      <w:tblPr/>
      <w:tcPr>
        <w:tcBorders>
          <w:top w:val="single" w:sz="18" w:space="0" w:color="000000"/>
          <w:left w:val="nil"/>
          <w:bottom w:val="single" w:sz="18" w:space="0" w:color="00000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000000"/>
        <w:bottom w:val="single" w:sz="1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000000"/>
          <w:left w:val="nil"/>
          <w:bottom w:val="single" w:sz="18" w:space="0" w:color="000000"/>
          <w:right w:val="nil"/>
          <w:insideH w:val="nil"/>
          <w:insideV w:val="nil"/>
        </w:tcBorders>
        <w:shd w:val="clear" w:color="000000" w:fill="FFFFFF"/>
      </w:tcPr>
    </w:tblStylePr>
    <w:tblStylePr w:type="lastRow">
      <w:pPr>
        <w:spacing w:before="0" w:after="0" w:line="240" w:lineRule="auto"/>
      </w:pPr>
      <w:rPr>
        <w:color w:val="000000"/>
      </w:rPr>
      <w:tblPr/>
      <w:tcPr>
        <w:tcBorders>
          <w:top w:val="double" w:sz="6" w:space="0" w:color="000000"/>
          <w:left w:val="nil"/>
          <w:bottom w:val="single" w:sz="18" w:space="0" w:color="000000"/>
          <w:right w:val="nil"/>
          <w:insideH w:val="nil"/>
          <w:insideV w:val="nil"/>
        </w:tcBorders>
        <w:shd w:val="clear" w:color="000000" w:fill="FFFFFF"/>
      </w:tcPr>
    </w:tblStylePr>
    <w:tblStylePr w:type="firstCol">
      <w:rPr>
        <w:b/>
        <w:bCs/>
        <w:color w:val="000000"/>
      </w:rPr>
      <w:tblPr/>
      <w:tcPr>
        <w:tcBorders>
          <w:top w:val="nil"/>
          <w:left w:val="nil"/>
          <w:bottom w:val="single" w:sz="18" w:space="0" w:color="000000"/>
          <w:right w:val="nil"/>
          <w:insideH w:val="nil"/>
          <w:insideV w:val="nil"/>
        </w:tcBorders>
        <w:shd w:val="clear" w:color="000000" w:fill="FFFFFF"/>
      </w:tcPr>
    </w:tblStylePr>
    <w:tblStylePr w:type="lastCol">
      <w:rPr>
        <w:b/>
        <w:bCs/>
        <w:color w:val="000000"/>
      </w:rPr>
      <w:tblPr/>
      <w:tcPr>
        <w:tcBorders>
          <w:left w:val="nil"/>
          <w:right w:val="nil"/>
          <w:insideH w:val="nil"/>
          <w:insideV w:val="nil"/>
        </w:tcBorders>
        <w:shd w:val="clear" w:color="000000" w:fill="FFFFFF"/>
      </w:tcPr>
    </w:tblStylePr>
    <w:tblStylePr w:type="band1Vert">
      <w:tblPr/>
      <w:tcPr>
        <w:tcBorders>
          <w:left w:val="nil"/>
          <w:right w:val="nil"/>
          <w:insideH w:val="nil"/>
          <w:insideV w:val="nil"/>
        </w:tcBorders>
        <w:shd w:val="clear" w:color="000000" w:fill="FFFFFF"/>
      </w:tcPr>
    </w:tblStylePr>
    <w:tblStylePr w:type="band1Horz">
      <w:tblPr/>
      <w:tcPr>
        <w:shd w:val="clear" w:color="000000" w:fill="FFFFFF"/>
      </w:tcPr>
    </w:tblStylePr>
    <w:tblStylePr w:type="neCell">
      <w:tblPr/>
      <w:tcPr>
        <w:tcBorders>
          <w:top w:val="single" w:sz="18" w:space="0" w:color="000000"/>
          <w:left w:val="nil"/>
          <w:bottom w:val="single" w:sz="18" w:space="0" w:color="000000"/>
          <w:right w:val="nil"/>
          <w:insideH w:val="nil"/>
          <w:insideV w:val="nil"/>
        </w:tcBorders>
      </w:tcPr>
    </w:tblStylePr>
    <w:tblStylePr w:type="nwCell">
      <w:rPr>
        <w:color w:val="000000"/>
      </w:rPr>
      <w:tblPr/>
      <w:tcPr>
        <w:tcBorders>
          <w:top w:val="single" w:sz="18" w:space="0" w:color="000000"/>
          <w:left w:val="nil"/>
          <w:bottom w:val="single" w:sz="18" w:space="0" w:color="00000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000000" w:fill="FFFFFF"/>
      </w:tcPr>
    </w:tblStylePr>
    <w:tblStylePr w:type="band1Horz">
      <w:tblPr/>
      <w:tcPr>
        <w:shd w:val="clear" w:color="000000" w:fill="FFFFF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000000" w:fill="FFFFFF"/>
      </w:tcPr>
    </w:tblStylePr>
    <w:tblStylePr w:type="band1Horz">
      <w:tblPr/>
      <w:tcPr>
        <w:shd w:val="clear" w:color="000000" w:fill="FFFFF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000000" w:fill="FFFFFF"/>
      </w:tcPr>
    </w:tblStylePr>
    <w:tblStylePr w:type="band1Horz">
      <w:tblPr/>
      <w:tcPr>
        <w:shd w:val="clear" w:color="000000" w:fill="FFFFF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000000" w:fill="FFFFFF"/>
      </w:tcPr>
    </w:tblStylePr>
    <w:tblStylePr w:type="band1Horz">
      <w:tblPr/>
      <w:tcPr>
        <w:shd w:val="clear" w:color="000000" w:fill="FFFFF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000000" w:fill="FFFFFF"/>
      </w:tcPr>
    </w:tblStylePr>
    <w:tblStylePr w:type="band1Horz">
      <w:tblPr/>
      <w:tcPr>
        <w:shd w:val="clear" w:color="000000" w:fill="FFFFF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000000" w:fill="FFFFFF"/>
      </w:tcPr>
    </w:tblStylePr>
    <w:tblStylePr w:type="band1Horz">
      <w:tblPr/>
      <w:tcPr>
        <w:shd w:val="clear" w:color="000000" w:fill="FFFFF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000000" w:fill="FFFFFF"/>
      </w:tcPr>
    </w:tblStylePr>
    <w:tblStylePr w:type="band1Horz">
      <w:tblPr/>
      <w:tcPr>
        <w:shd w:val="clear" w:color="000000" w:fill="FFFFF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000000" w:fill="FFFFFF"/>
      </w:tcPr>
    </w:tblStylePr>
    <w:tblStylePr w:type="lastRow">
      <w:tblPr/>
      <w:tcPr>
        <w:tcBorders>
          <w:top w:val="single" w:sz="8" w:space="0" w:color="000000"/>
          <w:left w:val="nil"/>
          <w:bottom w:val="nil"/>
          <w:right w:val="nil"/>
          <w:insideH w:val="nil"/>
          <w:insideV w:val="nil"/>
        </w:tcBorders>
        <w:shd w:val="clear" w:color="000000" w:fill="FFFFFF"/>
      </w:tcPr>
    </w:tblStylePr>
    <w:tblStylePr w:type="firstCol">
      <w:tblPr/>
      <w:tcPr>
        <w:tcBorders>
          <w:top w:val="nil"/>
          <w:left w:val="nil"/>
          <w:bottom w:val="nil"/>
          <w:right w:val="single" w:sz="8" w:space="0" w:color="000000"/>
          <w:insideH w:val="nil"/>
          <w:insideV w:val="nil"/>
        </w:tcBorders>
        <w:shd w:val="clear" w:color="000000" w:fill="FFFFFF"/>
      </w:tcPr>
    </w:tblStylePr>
    <w:tblStylePr w:type="lastCol">
      <w:tblPr/>
      <w:tcPr>
        <w:tcBorders>
          <w:top w:val="nil"/>
          <w:left w:val="single" w:sz="8" w:space="0" w:color="000000"/>
          <w:bottom w:val="nil"/>
          <w:right w:val="nil"/>
          <w:insideH w:val="nil"/>
          <w:insideV w:val="nil"/>
        </w:tcBorders>
        <w:shd w:val="clear" w:color="000000" w:fill="FFFFFF"/>
      </w:tcPr>
    </w:tblStylePr>
    <w:tblStylePr w:type="band1Vert">
      <w:tblPr/>
      <w:tcPr>
        <w:tcBorders>
          <w:left w:val="nil"/>
          <w:right w:val="nil"/>
          <w:insideH w:val="nil"/>
          <w:insideV w:val="nil"/>
        </w:tcBorders>
        <w:shd w:val="clear" w:color="000000" w:fill="FFFFFF"/>
      </w:tcPr>
    </w:tblStylePr>
    <w:tblStylePr w:type="band1Horz">
      <w:tblPr/>
      <w:tcPr>
        <w:tcBorders>
          <w:top w:val="nil"/>
          <w:bottom w:val="nil"/>
          <w:insideH w:val="nil"/>
          <w:insideV w:val="nil"/>
        </w:tcBorders>
        <w:shd w:val="clear" w:color="000000" w:fill="FFFFFF"/>
      </w:tcPr>
    </w:tblStylePr>
    <w:tblStylePr w:type="nwCell">
      <w:tblPr/>
      <w:tcPr>
        <w:shd w:val="clear" w:color="000000" w:fill="FFFFFF"/>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000000" w:fill="FFFFFF"/>
      </w:tcPr>
    </w:tblStylePr>
    <w:tblStylePr w:type="lastRow">
      <w:tblPr/>
      <w:tcPr>
        <w:tcBorders>
          <w:top w:val="single" w:sz="8" w:space="0" w:color="000000"/>
          <w:left w:val="nil"/>
          <w:bottom w:val="nil"/>
          <w:right w:val="nil"/>
          <w:insideH w:val="nil"/>
          <w:insideV w:val="nil"/>
        </w:tcBorders>
        <w:shd w:val="clear" w:color="000000" w:fill="FFFFFF"/>
      </w:tcPr>
    </w:tblStylePr>
    <w:tblStylePr w:type="firstCol">
      <w:tblPr/>
      <w:tcPr>
        <w:tcBorders>
          <w:top w:val="nil"/>
          <w:left w:val="nil"/>
          <w:bottom w:val="nil"/>
          <w:right w:val="single" w:sz="8" w:space="0" w:color="000000"/>
          <w:insideH w:val="nil"/>
          <w:insideV w:val="nil"/>
        </w:tcBorders>
        <w:shd w:val="clear" w:color="000000" w:fill="FFFFFF"/>
      </w:tcPr>
    </w:tblStylePr>
    <w:tblStylePr w:type="lastCol">
      <w:tblPr/>
      <w:tcPr>
        <w:tcBorders>
          <w:top w:val="nil"/>
          <w:left w:val="single" w:sz="8" w:space="0" w:color="000000"/>
          <w:bottom w:val="nil"/>
          <w:right w:val="nil"/>
          <w:insideH w:val="nil"/>
          <w:insideV w:val="nil"/>
        </w:tcBorders>
        <w:shd w:val="clear" w:color="000000" w:fill="FFFFFF"/>
      </w:tcPr>
    </w:tblStylePr>
    <w:tblStylePr w:type="band1Vert">
      <w:tblPr/>
      <w:tcPr>
        <w:tcBorders>
          <w:left w:val="nil"/>
          <w:right w:val="nil"/>
          <w:insideH w:val="nil"/>
          <w:insideV w:val="nil"/>
        </w:tcBorders>
        <w:shd w:val="clear" w:color="000000" w:fill="FFFFFF"/>
      </w:tcPr>
    </w:tblStylePr>
    <w:tblStylePr w:type="band1Horz">
      <w:tblPr/>
      <w:tcPr>
        <w:tcBorders>
          <w:top w:val="nil"/>
          <w:bottom w:val="nil"/>
          <w:insideH w:val="nil"/>
          <w:insideV w:val="nil"/>
        </w:tcBorders>
        <w:shd w:val="clear" w:color="000000" w:fill="FFFFFF"/>
      </w:tcPr>
    </w:tblStylePr>
    <w:tblStylePr w:type="nwCell">
      <w:tblPr/>
      <w:tcPr>
        <w:shd w:val="clear" w:color="000000" w:fill="FFFFFF"/>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000000" w:fill="FFFFFF"/>
      </w:tcPr>
    </w:tblStylePr>
    <w:tblStylePr w:type="lastRow">
      <w:tblPr/>
      <w:tcPr>
        <w:tcBorders>
          <w:top w:val="single" w:sz="8" w:space="0" w:color="000000"/>
          <w:left w:val="nil"/>
          <w:bottom w:val="nil"/>
          <w:right w:val="nil"/>
          <w:insideH w:val="nil"/>
          <w:insideV w:val="nil"/>
        </w:tcBorders>
        <w:shd w:val="clear" w:color="000000" w:fill="FFFFFF"/>
      </w:tcPr>
    </w:tblStylePr>
    <w:tblStylePr w:type="firstCol">
      <w:tblPr/>
      <w:tcPr>
        <w:tcBorders>
          <w:top w:val="nil"/>
          <w:left w:val="nil"/>
          <w:bottom w:val="nil"/>
          <w:right w:val="single" w:sz="8" w:space="0" w:color="000000"/>
          <w:insideH w:val="nil"/>
          <w:insideV w:val="nil"/>
        </w:tcBorders>
        <w:shd w:val="clear" w:color="000000" w:fill="FFFFFF"/>
      </w:tcPr>
    </w:tblStylePr>
    <w:tblStylePr w:type="lastCol">
      <w:tblPr/>
      <w:tcPr>
        <w:tcBorders>
          <w:top w:val="nil"/>
          <w:left w:val="single" w:sz="8" w:space="0" w:color="000000"/>
          <w:bottom w:val="nil"/>
          <w:right w:val="nil"/>
          <w:insideH w:val="nil"/>
          <w:insideV w:val="nil"/>
        </w:tcBorders>
        <w:shd w:val="clear" w:color="000000" w:fill="FFFFFF"/>
      </w:tcPr>
    </w:tblStylePr>
    <w:tblStylePr w:type="band1Vert">
      <w:tblPr/>
      <w:tcPr>
        <w:tcBorders>
          <w:left w:val="nil"/>
          <w:right w:val="nil"/>
          <w:insideH w:val="nil"/>
          <w:insideV w:val="nil"/>
        </w:tcBorders>
        <w:shd w:val="clear" w:color="000000" w:fill="FFFFFF"/>
      </w:tcPr>
    </w:tblStylePr>
    <w:tblStylePr w:type="band1Horz">
      <w:tblPr/>
      <w:tcPr>
        <w:tcBorders>
          <w:top w:val="nil"/>
          <w:bottom w:val="nil"/>
          <w:insideH w:val="nil"/>
          <w:insideV w:val="nil"/>
        </w:tcBorders>
        <w:shd w:val="clear" w:color="000000" w:fill="FFFFFF"/>
      </w:tcPr>
    </w:tblStylePr>
    <w:tblStylePr w:type="nwCell">
      <w:tblPr/>
      <w:tcPr>
        <w:shd w:val="clear" w:color="000000" w:fill="FFFFFF"/>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000000" w:fill="FFFFFF"/>
      </w:tcPr>
    </w:tblStylePr>
    <w:tblStylePr w:type="lastRow">
      <w:tblPr/>
      <w:tcPr>
        <w:tcBorders>
          <w:top w:val="single" w:sz="8" w:space="0" w:color="000000"/>
          <w:left w:val="nil"/>
          <w:bottom w:val="nil"/>
          <w:right w:val="nil"/>
          <w:insideH w:val="nil"/>
          <w:insideV w:val="nil"/>
        </w:tcBorders>
        <w:shd w:val="clear" w:color="000000" w:fill="FFFFFF"/>
      </w:tcPr>
    </w:tblStylePr>
    <w:tblStylePr w:type="firstCol">
      <w:tblPr/>
      <w:tcPr>
        <w:tcBorders>
          <w:top w:val="nil"/>
          <w:left w:val="nil"/>
          <w:bottom w:val="nil"/>
          <w:right w:val="single" w:sz="8" w:space="0" w:color="000000"/>
          <w:insideH w:val="nil"/>
          <w:insideV w:val="nil"/>
        </w:tcBorders>
        <w:shd w:val="clear" w:color="000000" w:fill="FFFFFF"/>
      </w:tcPr>
    </w:tblStylePr>
    <w:tblStylePr w:type="lastCol">
      <w:tblPr/>
      <w:tcPr>
        <w:tcBorders>
          <w:top w:val="nil"/>
          <w:left w:val="single" w:sz="8" w:space="0" w:color="000000"/>
          <w:bottom w:val="nil"/>
          <w:right w:val="nil"/>
          <w:insideH w:val="nil"/>
          <w:insideV w:val="nil"/>
        </w:tcBorders>
        <w:shd w:val="clear" w:color="000000" w:fill="FFFFFF"/>
      </w:tcPr>
    </w:tblStylePr>
    <w:tblStylePr w:type="band1Vert">
      <w:tblPr/>
      <w:tcPr>
        <w:tcBorders>
          <w:left w:val="nil"/>
          <w:right w:val="nil"/>
          <w:insideH w:val="nil"/>
          <w:insideV w:val="nil"/>
        </w:tcBorders>
        <w:shd w:val="clear" w:color="000000" w:fill="FFFFFF"/>
      </w:tcPr>
    </w:tblStylePr>
    <w:tblStylePr w:type="band1Horz">
      <w:tblPr/>
      <w:tcPr>
        <w:tcBorders>
          <w:top w:val="nil"/>
          <w:bottom w:val="nil"/>
          <w:insideH w:val="nil"/>
          <w:insideV w:val="nil"/>
        </w:tcBorders>
        <w:shd w:val="clear" w:color="000000" w:fill="FFFFFF"/>
      </w:tcPr>
    </w:tblStylePr>
    <w:tblStylePr w:type="nwCell">
      <w:tblPr/>
      <w:tcPr>
        <w:shd w:val="clear" w:color="000000" w:fill="FFFFFF"/>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000000" w:fill="FFFFFF"/>
      </w:tcPr>
    </w:tblStylePr>
    <w:tblStylePr w:type="lastRow">
      <w:tblPr/>
      <w:tcPr>
        <w:tcBorders>
          <w:top w:val="single" w:sz="8" w:space="0" w:color="000000"/>
          <w:left w:val="nil"/>
          <w:bottom w:val="nil"/>
          <w:right w:val="nil"/>
          <w:insideH w:val="nil"/>
          <w:insideV w:val="nil"/>
        </w:tcBorders>
        <w:shd w:val="clear" w:color="000000" w:fill="FFFFFF"/>
      </w:tcPr>
    </w:tblStylePr>
    <w:tblStylePr w:type="firstCol">
      <w:tblPr/>
      <w:tcPr>
        <w:tcBorders>
          <w:top w:val="nil"/>
          <w:left w:val="nil"/>
          <w:bottom w:val="nil"/>
          <w:right w:val="single" w:sz="8" w:space="0" w:color="000000"/>
          <w:insideH w:val="nil"/>
          <w:insideV w:val="nil"/>
        </w:tcBorders>
        <w:shd w:val="clear" w:color="000000" w:fill="FFFFFF"/>
      </w:tcPr>
    </w:tblStylePr>
    <w:tblStylePr w:type="lastCol">
      <w:tblPr/>
      <w:tcPr>
        <w:tcBorders>
          <w:top w:val="nil"/>
          <w:left w:val="single" w:sz="8" w:space="0" w:color="000000"/>
          <w:bottom w:val="nil"/>
          <w:right w:val="nil"/>
          <w:insideH w:val="nil"/>
          <w:insideV w:val="nil"/>
        </w:tcBorders>
        <w:shd w:val="clear" w:color="000000" w:fill="FFFFFF"/>
      </w:tcPr>
    </w:tblStylePr>
    <w:tblStylePr w:type="band1Vert">
      <w:tblPr/>
      <w:tcPr>
        <w:tcBorders>
          <w:left w:val="nil"/>
          <w:right w:val="nil"/>
          <w:insideH w:val="nil"/>
          <w:insideV w:val="nil"/>
        </w:tcBorders>
        <w:shd w:val="clear" w:color="000000" w:fill="FFFFFF"/>
      </w:tcPr>
    </w:tblStylePr>
    <w:tblStylePr w:type="band1Horz">
      <w:tblPr/>
      <w:tcPr>
        <w:tcBorders>
          <w:top w:val="nil"/>
          <w:bottom w:val="nil"/>
          <w:insideH w:val="nil"/>
          <w:insideV w:val="nil"/>
        </w:tcBorders>
        <w:shd w:val="clear" w:color="000000" w:fill="FFFFFF"/>
      </w:tcPr>
    </w:tblStylePr>
    <w:tblStylePr w:type="nwCell">
      <w:tblPr/>
      <w:tcPr>
        <w:shd w:val="clear" w:color="000000" w:fill="FFFFFF"/>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000000" w:fill="FFFFFF"/>
      </w:tcPr>
    </w:tblStylePr>
    <w:tblStylePr w:type="lastRow">
      <w:tblPr/>
      <w:tcPr>
        <w:tcBorders>
          <w:top w:val="single" w:sz="8" w:space="0" w:color="000000"/>
          <w:left w:val="nil"/>
          <w:bottom w:val="nil"/>
          <w:right w:val="nil"/>
          <w:insideH w:val="nil"/>
          <w:insideV w:val="nil"/>
        </w:tcBorders>
        <w:shd w:val="clear" w:color="000000" w:fill="FFFFFF"/>
      </w:tcPr>
    </w:tblStylePr>
    <w:tblStylePr w:type="firstCol">
      <w:tblPr/>
      <w:tcPr>
        <w:tcBorders>
          <w:top w:val="nil"/>
          <w:left w:val="nil"/>
          <w:bottom w:val="nil"/>
          <w:right w:val="single" w:sz="8" w:space="0" w:color="000000"/>
          <w:insideH w:val="nil"/>
          <w:insideV w:val="nil"/>
        </w:tcBorders>
        <w:shd w:val="clear" w:color="000000" w:fill="FFFFFF"/>
      </w:tcPr>
    </w:tblStylePr>
    <w:tblStylePr w:type="lastCol">
      <w:tblPr/>
      <w:tcPr>
        <w:tcBorders>
          <w:top w:val="nil"/>
          <w:left w:val="single" w:sz="8" w:space="0" w:color="000000"/>
          <w:bottom w:val="nil"/>
          <w:right w:val="nil"/>
          <w:insideH w:val="nil"/>
          <w:insideV w:val="nil"/>
        </w:tcBorders>
        <w:shd w:val="clear" w:color="000000" w:fill="FFFFFF"/>
      </w:tcPr>
    </w:tblStylePr>
    <w:tblStylePr w:type="band1Vert">
      <w:tblPr/>
      <w:tcPr>
        <w:tcBorders>
          <w:left w:val="nil"/>
          <w:right w:val="nil"/>
          <w:insideH w:val="nil"/>
          <w:insideV w:val="nil"/>
        </w:tcBorders>
        <w:shd w:val="clear" w:color="000000" w:fill="FFFFFF"/>
      </w:tcPr>
    </w:tblStylePr>
    <w:tblStylePr w:type="band1Horz">
      <w:tblPr/>
      <w:tcPr>
        <w:tcBorders>
          <w:top w:val="nil"/>
          <w:bottom w:val="nil"/>
          <w:insideH w:val="nil"/>
          <w:insideV w:val="nil"/>
        </w:tcBorders>
        <w:shd w:val="clear" w:color="000000" w:fill="FFFFFF"/>
      </w:tcPr>
    </w:tblStylePr>
    <w:tblStylePr w:type="nwCell">
      <w:tblPr/>
      <w:tcPr>
        <w:shd w:val="clear" w:color="000000" w:fill="FFFFFF"/>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000000" w:fill="FFFFFF"/>
      </w:tcPr>
    </w:tblStylePr>
    <w:tblStylePr w:type="lastRow">
      <w:tblPr/>
      <w:tcPr>
        <w:tcBorders>
          <w:top w:val="single" w:sz="8" w:space="0" w:color="000000"/>
          <w:left w:val="nil"/>
          <w:bottom w:val="nil"/>
          <w:right w:val="nil"/>
          <w:insideH w:val="nil"/>
          <w:insideV w:val="nil"/>
        </w:tcBorders>
        <w:shd w:val="clear" w:color="000000" w:fill="FFFFFF"/>
      </w:tcPr>
    </w:tblStylePr>
    <w:tblStylePr w:type="firstCol">
      <w:tblPr/>
      <w:tcPr>
        <w:tcBorders>
          <w:top w:val="nil"/>
          <w:left w:val="nil"/>
          <w:bottom w:val="nil"/>
          <w:right w:val="single" w:sz="8" w:space="0" w:color="000000"/>
          <w:insideH w:val="nil"/>
          <w:insideV w:val="nil"/>
        </w:tcBorders>
        <w:shd w:val="clear" w:color="000000" w:fill="FFFFFF"/>
      </w:tcPr>
    </w:tblStylePr>
    <w:tblStylePr w:type="lastCol">
      <w:tblPr/>
      <w:tcPr>
        <w:tcBorders>
          <w:top w:val="nil"/>
          <w:left w:val="single" w:sz="8" w:space="0" w:color="000000"/>
          <w:bottom w:val="nil"/>
          <w:right w:val="nil"/>
          <w:insideH w:val="nil"/>
          <w:insideV w:val="nil"/>
        </w:tcBorders>
        <w:shd w:val="clear" w:color="000000" w:fill="FFFFFF"/>
      </w:tcPr>
    </w:tblStylePr>
    <w:tblStylePr w:type="band1Vert">
      <w:tblPr/>
      <w:tcPr>
        <w:tcBorders>
          <w:left w:val="nil"/>
          <w:right w:val="nil"/>
          <w:insideH w:val="nil"/>
          <w:insideV w:val="nil"/>
        </w:tcBorders>
        <w:shd w:val="clear" w:color="000000" w:fill="FFFFFF"/>
      </w:tcPr>
    </w:tblStylePr>
    <w:tblStylePr w:type="band1Horz">
      <w:tblPr/>
      <w:tcPr>
        <w:tcBorders>
          <w:top w:val="nil"/>
          <w:bottom w:val="nil"/>
          <w:insideH w:val="nil"/>
          <w:insideV w:val="nil"/>
        </w:tcBorders>
        <w:shd w:val="clear" w:color="000000" w:fill="FFFFFF"/>
      </w:tcPr>
    </w:tblStylePr>
    <w:tblStylePr w:type="nwCell">
      <w:tblPr/>
      <w:tcPr>
        <w:shd w:val="clear" w:color="000000" w:fill="FFFFFF"/>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000000"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000000" w:fill="FFFFFF"/>
      </w:tcPr>
    </w:tblStylePr>
    <w:tblStylePr w:type="band1Horz">
      <w:tblPr/>
      <w:tcPr>
        <w:shd w:val="clear" w:color="000000" w:fill="FFFFF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000000"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000000" w:fill="FFFFFF"/>
      </w:tcPr>
    </w:tblStylePr>
    <w:tblStylePr w:type="band1Horz">
      <w:tblPr/>
      <w:tcPr>
        <w:shd w:val="clear" w:color="000000" w:fill="FFFFF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000000"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000000" w:fill="FFFFFF"/>
      </w:tcPr>
    </w:tblStylePr>
    <w:tblStylePr w:type="band1Horz">
      <w:tblPr/>
      <w:tcPr>
        <w:shd w:val="clear" w:color="000000" w:fill="FFFFF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000000"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000000" w:fill="FFFFFF"/>
      </w:tcPr>
    </w:tblStylePr>
    <w:tblStylePr w:type="band1Horz">
      <w:tblPr/>
      <w:tcPr>
        <w:shd w:val="clear" w:color="000000" w:fill="FFFFF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000000"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000000" w:fill="FFFFFF"/>
      </w:tcPr>
    </w:tblStylePr>
    <w:tblStylePr w:type="band1Horz">
      <w:tblPr/>
      <w:tcPr>
        <w:shd w:val="clear" w:color="000000" w:fill="FFFFF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000000"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000000" w:fill="FFFFFF"/>
      </w:tcPr>
    </w:tblStylePr>
    <w:tblStylePr w:type="band1Horz">
      <w:tblPr/>
      <w:tcPr>
        <w:shd w:val="clear" w:color="000000" w:fill="FFFFF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000000"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000000" w:fill="FFFFFF"/>
      </w:tcPr>
    </w:tblStylePr>
    <w:tblStylePr w:type="band1Horz">
      <w:tblPr/>
      <w:tcPr>
        <w:shd w:val="clear" w:color="000000" w:fill="FFFFF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000000" w:fill="FFFFFF"/>
    </w:tcPr>
    <w:tblStylePr w:type="firstRow">
      <w:rPr>
        <w:b/>
        <w:bCs/>
        <w:color w:val="000000"/>
      </w:rPr>
      <w:tblPr/>
      <w:tcPr>
        <w:shd w:val="clear" w:color="000000" w:fill="FFFFFF"/>
      </w:tcPr>
    </w:tblStylePr>
    <w:tblStylePr w:type="lastRow">
      <w:rPr>
        <w:b/>
        <w:bCs/>
        <w:color w:val="000000"/>
      </w:rPr>
      <w:tblPr/>
      <w:tcPr>
        <w:tcBorders>
          <w:top w:val="single" w:sz="12" w:space="0" w:color="000000"/>
          <w:left w:val="nil"/>
          <w:bottom w:val="nil"/>
          <w:right w:val="nil"/>
          <w:insideH w:val="nil"/>
          <w:insideV w:val="nil"/>
        </w:tcBorders>
        <w:shd w:val="clear" w:color="000000" w:fill="FFFFFF"/>
      </w:tcPr>
    </w:tblStylePr>
    <w:tblStylePr w:type="firstCol">
      <w:rPr>
        <w:b/>
        <w:bCs/>
        <w:color w:val="000000"/>
      </w:rPr>
      <w:tblPr/>
      <w:tcPr>
        <w:tcBorders>
          <w:top w:val="nil"/>
          <w:left w:val="nil"/>
          <w:bottom w:val="nil"/>
          <w:right w:val="nil"/>
          <w:insideH w:val="nil"/>
          <w:insideV w:val="nil"/>
        </w:tcBorders>
        <w:shd w:val="clear" w:color="000000" w:fill="FFFFFF"/>
      </w:tcPr>
    </w:tblStylePr>
    <w:tblStylePr w:type="lastCol">
      <w:rPr>
        <w:b w:val="0"/>
        <w:bCs w:val="0"/>
        <w:color w:val="000000"/>
      </w:rPr>
      <w:tblPr/>
      <w:tcPr>
        <w:tcBorders>
          <w:top w:val="nil"/>
          <w:left w:val="nil"/>
          <w:bottom w:val="nil"/>
          <w:right w:val="nil"/>
          <w:insideH w:val="nil"/>
          <w:insideV w:val="nil"/>
        </w:tcBorders>
        <w:shd w:val="clear" w:color="000000" w:fill="FFFFFF"/>
      </w:tcPr>
    </w:tblStylePr>
    <w:tblStylePr w:type="band1Vert">
      <w:tblPr/>
      <w:tcPr>
        <w:shd w:val="clear" w:color="000000" w:fill="FFFFFF"/>
      </w:tcPr>
    </w:tblStylePr>
    <w:tblStylePr w:type="band1Horz">
      <w:tblPr/>
      <w:tcPr>
        <w:tcBorders>
          <w:insideH w:val="single" w:sz="6" w:space="0" w:color="000000"/>
          <w:insideV w:val="single" w:sz="6" w:space="0" w:color="000000"/>
        </w:tcBorders>
        <w:shd w:val="clear" w:color="000000" w:fill="FFFFFF"/>
      </w:tcPr>
    </w:tblStylePr>
    <w:tblStylePr w:type="nwCell">
      <w:tblPr/>
      <w:tcPr>
        <w:shd w:val="clear" w:color="000000" w:fill="FFFFFF"/>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000000" w:fill="FFFFFF"/>
    </w:tcPr>
    <w:tblStylePr w:type="firstRow">
      <w:rPr>
        <w:b/>
        <w:bCs/>
        <w:color w:val="000000"/>
      </w:rPr>
      <w:tblPr/>
      <w:tcPr>
        <w:shd w:val="clear" w:color="000000" w:fill="FFFFFF"/>
      </w:tcPr>
    </w:tblStylePr>
    <w:tblStylePr w:type="lastRow">
      <w:rPr>
        <w:b/>
        <w:bCs/>
        <w:color w:val="000000"/>
      </w:rPr>
      <w:tblPr/>
      <w:tcPr>
        <w:tcBorders>
          <w:top w:val="single" w:sz="12" w:space="0" w:color="000000"/>
          <w:left w:val="nil"/>
          <w:bottom w:val="nil"/>
          <w:right w:val="nil"/>
          <w:insideH w:val="nil"/>
          <w:insideV w:val="nil"/>
        </w:tcBorders>
        <w:shd w:val="clear" w:color="000000" w:fill="FFFFFF"/>
      </w:tcPr>
    </w:tblStylePr>
    <w:tblStylePr w:type="firstCol">
      <w:rPr>
        <w:b/>
        <w:bCs/>
        <w:color w:val="000000"/>
      </w:rPr>
      <w:tblPr/>
      <w:tcPr>
        <w:tcBorders>
          <w:top w:val="nil"/>
          <w:left w:val="nil"/>
          <w:bottom w:val="nil"/>
          <w:right w:val="nil"/>
          <w:insideH w:val="nil"/>
          <w:insideV w:val="nil"/>
        </w:tcBorders>
        <w:shd w:val="clear" w:color="000000" w:fill="FFFFFF"/>
      </w:tcPr>
    </w:tblStylePr>
    <w:tblStylePr w:type="lastCol">
      <w:rPr>
        <w:b w:val="0"/>
        <w:bCs w:val="0"/>
        <w:color w:val="000000"/>
      </w:rPr>
      <w:tblPr/>
      <w:tcPr>
        <w:tcBorders>
          <w:top w:val="nil"/>
          <w:left w:val="nil"/>
          <w:bottom w:val="nil"/>
          <w:right w:val="nil"/>
          <w:insideH w:val="nil"/>
          <w:insideV w:val="nil"/>
        </w:tcBorders>
        <w:shd w:val="clear" w:color="000000" w:fill="FFFFFF"/>
      </w:tcPr>
    </w:tblStylePr>
    <w:tblStylePr w:type="band1Vert">
      <w:tblPr/>
      <w:tcPr>
        <w:shd w:val="clear" w:color="000000" w:fill="FFFFFF"/>
      </w:tcPr>
    </w:tblStylePr>
    <w:tblStylePr w:type="band1Horz">
      <w:tblPr/>
      <w:tcPr>
        <w:tcBorders>
          <w:insideH w:val="single" w:sz="6" w:space="0" w:color="000000"/>
          <w:insideV w:val="single" w:sz="6" w:space="0" w:color="000000"/>
        </w:tcBorders>
        <w:shd w:val="clear" w:color="000000" w:fill="FFFFFF"/>
      </w:tcPr>
    </w:tblStylePr>
    <w:tblStylePr w:type="nwCell">
      <w:tblPr/>
      <w:tcPr>
        <w:shd w:val="clear" w:color="000000" w:fill="FFFFFF"/>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000000" w:fill="FFFFFF"/>
    </w:tcPr>
    <w:tblStylePr w:type="firstRow">
      <w:rPr>
        <w:b/>
        <w:bCs/>
        <w:color w:val="000000"/>
      </w:rPr>
      <w:tblPr/>
      <w:tcPr>
        <w:shd w:val="clear" w:color="000000" w:fill="FFFFFF"/>
      </w:tcPr>
    </w:tblStylePr>
    <w:tblStylePr w:type="lastRow">
      <w:rPr>
        <w:b/>
        <w:bCs/>
        <w:color w:val="000000"/>
      </w:rPr>
      <w:tblPr/>
      <w:tcPr>
        <w:tcBorders>
          <w:top w:val="single" w:sz="12" w:space="0" w:color="000000"/>
          <w:left w:val="nil"/>
          <w:bottom w:val="nil"/>
          <w:right w:val="nil"/>
          <w:insideH w:val="nil"/>
          <w:insideV w:val="nil"/>
        </w:tcBorders>
        <w:shd w:val="clear" w:color="000000" w:fill="FFFFFF"/>
      </w:tcPr>
    </w:tblStylePr>
    <w:tblStylePr w:type="firstCol">
      <w:rPr>
        <w:b/>
        <w:bCs/>
        <w:color w:val="000000"/>
      </w:rPr>
      <w:tblPr/>
      <w:tcPr>
        <w:tcBorders>
          <w:top w:val="nil"/>
          <w:left w:val="nil"/>
          <w:bottom w:val="nil"/>
          <w:right w:val="nil"/>
          <w:insideH w:val="nil"/>
          <w:insideV w:val="nil"/>
        </w:tcBorders>
        <w:shd w:val="clear" w:color="000000" w:fill="FFFFFF"/>
      </w:tcPr>
    </w:tblStylePr>
    <w:tblStylePr w:type="lastCol">
      <w:rPr>
        <w:b w:val="0"/>
        <w:bCs w:val="0"/>
        <w:color w:val="000000"/>
      </w:rPr>
      <w:tblPr/>
      <w:tcPr>
        <w:tcBorders>
          <w:top w:val="nil"/>
          <w:left w:val="nil"/>
          <w:bottom w:val="nil"/>
          <w:right w:val="nil"/>
          <w:insideH w:val="nil"/>
          <w:insideV w:val="nil"/>
        </w:tcBorders>
        <w:shd w:val="clear" w:color="000000" w:fill="FFFFFF"/>
      </w:tcPr>
    </w:tblStylePr>
    <w:tblStylePr w:type="band1Vert">
      <w:tblPr/>
      <w:tcPr>
        <w:shd w:val="clear" w:color="000000" w:fill="FFFFFF"/>
      </w:tcPr>
    </w:tblStylePr>
    <w:tblStylePr w:type="band1Horz">
      <w:tblPr/>
      <w:tcPr>
        <w:tcBorders>
          <w:insideH w:val="single" w:sz="6" w:space="0" w:color="000000"/>
          <w:insideV w:val="single" w:sz="6" w:space="0" w:color="000000"/>
        </w:tcBorders>
        <w:shd w:val="clear" w:color="000000" w:fill="FFFFFF"/>
      </w:tcPr>
    </w:tblStylePr>
    <w:tblStylePr w:type="nwCell">
      <w:tblPr/>
      <w:tcPr>
        <w:shd w:val="clear" w:color="000000" w:fill="FFFFFF"/>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000000" w:fill="FFFFFF"/>
    </w:tcPr>
    <w:tblStylePr w:type="firstRow">
      <w:rPr>
        <w:b/>
        <w:bCs/>
        <w:color w:val="000000"/>
      </w:rPr>
      <w:tblPr/>
      <w:tcPr>
        <w:shd w:val="clear" w:color="000000" w:fill="FFFFFF"/>
      </w:tcPr>
    </w:tblStylePr>
    <w:tblStylePr w:type="lastRow">
      <w:rPr>
        <w:b/>
        <w:bCs/>
        <w:color w:val="000000"/>
      </w:rPr>
      <w:tblPr/>
      <w:tcPr>
        <w:tcBorders>
          <w:top w:val="single" w:sz="12" w:space="0" w:color="000000"/>
          <w:left w:val="nil"/>
          <w:bottom w:val="nil"/>
          <w:right w:val="nil"/>
          <w:insideH w:val="nil"/>
          <w:insideV w:val="nil"/>
        </w:tcBorders>
        <w:shd w:val="clear" w:color="000000" w:fill="FFFFFF"/>
      </w:tcPr>
    </w:tblStylePr>
    <w:tblStylePr w:type="firstCol">
      <w:rPr>
        <w:b/>
        <w:bCs/>
        <w:color w:val="000000"/>
      </w:rPr>
      <w:tblPr/>
      <w:tcPr>
        <w:tcBorders>
          <w:top w:val="nil"/>
          <w:left w:val="nil"/>
          <w:bottom w:val="nil"/>
          <w:right w:val="nil"/>
          <w:insideH w:val="nil"/>
          <w:insideV w:val="nil"/>
        </w:tcBorders>
        <w:shd w:val="clear" w:color="000000" w:fill="FFFFFF"/>
      </w:tcPr>
    </w:tblStylePr>
    <w:tblStylePr w:type="lastCol">
      <w:rPr>
        <w:b w:val="0"/>
        <w:bCs w:val="0"/>
        <w:color w:val="000000"/>
      </w:rPr>
      <w:tblPr/>
      <w:tcPr>
        <w:tcBorders>
          <w:top w:val="nil"/>
          <w:left w:val="nil"/>
          <w:bottom w:val="nil"/>
          <w:right w:val="nil"/>
          <w:insideH w:val="nil"/>
          <w:insideV w:val="nil"/>
        </w:tcBorders>
        <w:shd w:val="clear" w:color="000000" w:fill="FFFFFF"/>
      </w:tcPr>
    </w:tblStylePr>
    <w:tblStylePr w:type="band1Vert">
      <w:tblPr/>
      <w:tcPr>
        <w:shd w:val="clear" w:color="000000" w:fill="FFFFFF"/>
      </w:tcPr>
    </w:tblStylePr>
    <w:tblStylePr w:type="band1Horz">
      <w:tblPr/>
      <w:tcPr>
        <w:tcBorders>
          <w:insideH w:val="single" w:sz="6" w:space="0" w:color="000000"/>
          <w:insideV w:val="single" w:sz="6" w:space="0" w:color="000000"/>
        </w:tcBorders>
        <w:shd w:val="clear" w:color="000000" w:fill="FFFFFF"/>
      </w:tcPr>
    </w:tblStylePr>
    <w:tblStylePr w:type="nwCell">
      <w:tblPr/>
      <w:tcPr>
        <w:shd w:val="clear" w:color="000000" w:fill="FFFFFF"/>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000000" w:fill="FFFFFF"/>
    </w:tcPr>
    <w:tblStylePr w:type="firstRow">
      <w:rPr>
        <w:b/>
        <w:bCs/>
        <w:color w:val="000000"/>
      </w:rPr>
      <w:tblPr/>
      <w:tcPr>
        <w:shd w:val="clear" w:color="000000" w:fill="FFFFFF"/>
      </w:tcPr>
    </w:tblStylePr>
    <w:tblStylePr w:type="lastRow">
      <w:rPr>
        <w:b/>
        <w:bCs/>
        <w:color w:val="000000"/>
      </w:rPr>
      <w:tblPr/>
      <w:tcPr>
        <w:tcBorders>
          <w:top w:val="single" w:sz="12" w:space="0" w:color="000000"/>
          <w:left w:val="nil"/>
          <w:bottom w:val="nil"/>
          <w:right w:val="nil"/>
          <w:insideH w:val="nil"/>
          <w:insideV w:val="nil"/>
        </w:tcBorders>
        <w:shd w:val="clear" w:color="000000" w:fill="FFFFFF"/>
      </w:tcPr>
    </w:tblStylePr>
    <w:tblStylePr w:type="firstCol">
      <w:rPr>
        <w:b/>
        <w:bCs/>
        <w:color w:val="000000"/>
      </w:rPr>
      <w:tblPr/>
      <w:tcPr>
        <w:tcBorders>
          <w:top w:val="nil"/>
          <w:left w:val="nil"/>
          <w:bottom w:val="nil"/>
          <w:right w:val="nil"/>
          <w:insideH w:val="nil"/>
          <w:insideV w:val="nil"/>
        </w:tcBorders>
        <w:shd w:val="clear" w:color="000000" w:fill="FFFFFF"/>
      </w:tcPr>
    </w:tblStylePr>
    <w:tblStylePr w:type="lastCol">
      <w:rPr>
        <w:b w:val="0"/>
        <w:bCs w:val="0"/>
        <w:color w:val="000000"/>
      </w:rPr>
      <w:tblPr/>
      <w:tcPr>
        <w:tcBorders>
          <w:top w:val="nil"/>
          <w:left w:val="nil"/>
          <w:bottom w:val="nil"/>
          <w:right w:val="nil"/>
          <w:insideH w:val="nil"/>
          <w:insideV w:val="nil"/>
        </w:tcBorders>
        <w:shd w:val="clear" w:color="000000" w:fill="FFFFFF"/>
      </w:tcPr>
    </w:tblStylePr>
    <w:tblStylePr w:type="band1Vert">
      <w:tblPr/>
      <w:tcPr>
        <w:shd w:val="clear" w:color="000000" w:fill="FFFFFF"/>
      </w:tcPr>
    </w:tblStylePr>
    <w:tblStylePr w:type="band1Horz">
      <w:tblPr/>
      <w:tcPr>
        <w:tcBorders>
          <w:insideH w:val="single" w:sz="6" w:space="0" w:color="000000"/>
          <w:insideV w:val="single" w:sz="6" w:space="0" w:color="000000"/>
        </w:tcBorders>
        <w:shd w:val="clear" w:color="000000" w:fill="FFFFFF"/>
      </w:tcPr>
    </w:tblStylePr>
    <w:tblStylePr w:type="nwCell">
      <w:tblPr/>
      <w:tcPr>
        <w:shd w:val="clear" w:color="000000" w:fill="FFFFFF"/>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000000" w:fill="FFFFFF"/>
    </w:tcPr>
    <w:tblStylePr w:type="firstRow">
      <w:rPr>
        <w:b/>
        <w:bCs/>
        <w:color w:val="000000"/>
      </w:rPr>
      <w:tblPr/>
      <w:tcPr>
        <w:shd w:val="clear" w:color="000000" w:fill="FFFFFF"/>
      </w:tcPr>
    </w:tblStylePr>
    <w:tblStylePr w:type="lastRow">
      <w:rPr>
        <w:b/>
        <w:bCs/>
        <w:color w:val="000000"/>
      </w:rPr>
      <w:tblPr/>
      <w:tcPr>
        <w:tcBorders>
          <w:top w:val="single" w:sz="12" w:space="0" w:color="000000"/>
          <w:left w:val="nil"/>
          <w:bottom w:val="nil"/>
          <w:right w:val="nil"/>
          <w:insideH w:val="nil"/>
          <w:insideV w:val="nil"/>
        </w:tcBorders>
        <w:shd w:val="clear" w:color="000000" w:fill="FFFFFF"/>
      </w:tcPr>
    </w:tblStylePr>
    <w:tblStylePr w:type="firstCol">
      <w:rPr>
        <w:b/>
        <w:bCs/>
        <w:color w:val="000000"/>
      </w:rPr>
      <w:tblPr/>
      <w:tcPr>
        <w:tcBorders>
          <w:top w:val="nil"/>
          <w:left w:val="nil"/>
          <w:bottom w:val="nil"/>
          <w:right w:val="nil"/>
          <w:insideH w:val="nil"/>
          <w:insideV w:val="nil"/>
        </w:tcBorders>
        <w:shd w:val="clear" w:color="000000" w:fill="FFFFFF"/>
      </w:tcPr>
    </w:tblStylePr>
    <w:tblStylePr w:type="lastCol">
      <w:rPr>
        <w:b w:val="0"/>
        <w:bCs w:val="0"/>
        <w:color w:val="000000"/>
      </w:rPr>
      <w:tblPr/>
      <w:tcPr>
        <w:tcBorders>
          <w:top w:val="nil"/>
          <w:left w:val="nil"/>
          <w:bottom w:val="nil"/>
          <w:right w:val="nil"/>
          <w:insideH w:val="nil"/>
          <w:insideV w:val="nil"/>
        </w:tcBorders>
        <w:shd w:val="clear" w:color="000000" w:fill="FFFFFF"/>
      </w:tcPr>
    </w:tblStylePr>
    <w:tblStylePr w:type="band1Vert">
      <w:tblPr/>
      <w:tcPr>
        <w:shd w:val="clear" w:color="000000" w:fill="FFFFFF"/>
      </w:tcPr>
    </w:tblStylePr>
    <w:tblStylePr w:type="band1Horz">
      <w:tblPr/>
      <w:tcPr>
        <w:tcBorders>
          <w:insideH w:val="single" w:sz="6" w:space="0" w:color="000000"/>
          <w:insideV w:val="single" w:sz="6" w:space="0" w:color="000000"/>
        </w:tcBorders>
        <w:shd w:val="clear" w:color="000000" w:fill="FFFFFF"/>
      </w:tcPr>
    </w:tblStylePr>
    <w:tblStylePr w:type="nwCell">
      <w:tblPr/>
      <w:tcPr>
        <w:shd w:val="clear" w:color="000000" w:fill="FFFFFF"/>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000000" w:fill="FFFFFF"/>
    </w:tcPr>
    <w:tblStylePr w:type="firstRow">
      <w:rPr>
        <w:b/>
        <w:bCs/>
        <w:color w:val="000000"/>
      </w:rPr>
      <w:tblPr/>
      <w:tcPr>
        <w:shd w:val="clear" w:color="000000" w:fill="FFFFFF"/>
      </w:tcPr>
    </w:tblStylePr>
    <w:tblStylePr w:type="lastRow">
      <w:rPr>
        <w:b/>
        <w:bCs/>
        <w:color w:val="000000"/>
      </w:rPr>
      <w:tblPr/>
      <w:tcPr>
        <w:tcBorders>
          <w:top w:val="single" w:sz="12" w:space="0" w:color="000000"/>
          <w:left w:val="nil"/>
          <w:bottom w:val="nil"/>
          <w:right w:val="nil"/>
          <w:insideH w:val="nil"/>
          <w:insideV w:val="nil"/>
        </w:tcBorders>
        <w:shd w:val="clear" w:color="000000" w:fill="FFFFFF"/>
      </w:tcPr>
    </w:tblStylePr>
    <w:tblStylePr w:type="firstCol">
      <w:rPr>
        <w:b/>
        <w:bCs/>
        <w:color w:val="000000"/>
      </w:rPr>
      <w:tblPr/>
      <w:tcPr>
        <w:tcBorders>
          <w:top w:val="nil"/>
          <w:left w:val="nil"/>
          <w:bottom w:val="nil"/>
          <w:right w:val="nil"/>
          <w:insideH w:val="nil"/>
          <w:insideV w:val="nil"/>
        </w:tcBorders>
        <w:shd w:val="clear" w:color="000000" w:fill="FFFFFF"/>
      </w:tcPr>
    </w:tblStylePr>
    <w:tblStylePr w:type="lastCol">
      <w:rPr>
        <w:b w:val="0"/>
        <w:bCs w:val="0"/>
        <w:color w:val="000000"/>
      </w:rPr>
      <w:tblPr/>
      <w:tcPr>
        <w:tcBorders>
          <w:top w:val="nil"/>
          <w:left w:val="nil"/>
          <w:bottom w:val="nil"/>
          <w:right w:val="nil"/>
          <w:insideH w:val="nil"/>
          <w:insideV w:val="nil"/>
        </w:tcBorders>
        <w:shd w:val="clear" w:color="000000" w:fill="FFFFFF"/>
      </w:tcPr>
    </w:tblStylePr>
    <w:tblStylePr w:type="band1Vert">
      <w:tblPr/>
      <w:tcPr>
        <w:shd w:val="clear" w:color="000000" w:fill="FFFFFF"/>
      </w:tcPr>
    </w:tblStylePr>
    <w:tblStylePr w:type="band1Horz">
      <w:tblPr/>
      <w:tcPr>
        <w:tcBorders>
          <w:insideH w:val="single" w:sz="6" w:space="0" w:color="000000"/>
          <w:insideV w:val="single" w:sz="6" w:space="0" w:color="000000"/>
        </w:tcBorders>
        <w:shd w:val="clear" w:color="000000" w:fill="FFFFFF"/>
      </w:tcPr>
    </w:tblStylePr>
    <w:tblStylePr w:type="nwCell">
      <w:tblPr/>
      <w:tcPr>
        <w:shd w:val="clear" w:color="000000" w:fill="FFFFFF"/>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top w:w="0" w:type="dxa"/>
        <w:left w:w="108" w:type="dxa"/>
        <w:bottom w:w="0" w:type="dxa"/>
        <w:right w:w="108" w:type="dxa"/>
      </w:tblCellMar>
    </w:tblPr>
    <w:tcPr>
      <w:shd w:val="clear" w:color="000000" w:fill="FFFFFF"/>
    </w:tcPr>
    <w:tblStylePr w:type="firstRow">
      <w:rPr>
        <w:b/>
        <w:bCs/>
        <w:i w:val="0"/>
        <w:iCs w:val="0"/>
        <w:color w:val="000000"/>
      </w:rPr>
      <w:tblPr/>
      <w:tcPr>
        <w:tcBorders>
          <w:top w:val="single" w:sz="8" w:space="0" w:color="000000"/>
          <w:left w:val="single" w:sz="8" w:space="0" w:color="000000"/>
          <w:bottom w:val="single" w:sz="24" w:space="0" w:color="000000"/>
          <w:right w:val="single" w:sz="8" w:space="0" w:color="000000"/>
          <w:insideH w:val="nil"/>
          <w:insideV w:val="single" w:sz="8" w:space="0" w:color="000000"/>
        </w:tcBorders>
        <w:shd w:val="clear" w:color="000000" w:fill="FFFFFF"/>
      </w:tcPr>
    </w:tblStylePr>
    <w:tblStylePr w:type="lastRow">
      <w:rPr>
        <w:b/>
        <w:bCs/>
        <w:i w:val="0"/>
        <w:iCs w:val="0"/>
        <w:color w:val="000000"/>
      </w:rPr>
      <w:tblPr/>
      <w:tcPr>
        <w:tcBorders>
          <w:top w:val="single" w:sz="24" w:space="0" w:color="000000"/>
          <w:left w:val="single" w:sz="8" w:space="0" w:color="000000"/>
          <w:bottom w:val="single" w:sz="8" w:space="0" w:color="000000"/>
          <w:right w:val="single" w:sz="8" w:space="0" w:color="000000"/>
          <w:insideH w:val="nil"/>
          <w:insideV w:val="single" w:sz="8" w:space="0" w:color="000000"/>
        </w:tcBorders>
        <w:shd w:val="clear" w:color="000000" w:fill="FFFFFF"/>
      </w:tcPr>
    </w:tblStylePr>
    <w:tblStylePr w:type="firstCol">
      <w:rPr>
        <w:b/>
        <w:bCs/>
        <w:i w:val="0"/>
        <w:iCs w:val="0"/>
        <w:color w:val="000000"/>
      </w:rPr>
      <w:tblPr/>
      <w:tcPr>
        <w:tcBorders>
          <w:left w:val="single" w:sz="8" w:space="0" w:color="000000"/>
          <w:right w:val="single" w:sz="24" w:space="0" w:color="000000"/>
          <w:insideH w:val="nil"/>
          <w:insideV w:val="nil"/>
        </w:tcBorders>
        <w:shd w:val="clear" w:color="000000" w:fill="FFFFFF"/>
      </w:tcPr>
    </w:tblStylePr>
    <w:tblStylePr w:type="lastCol">
      <w:rPr>
        <w:b/>
        <w:bCs/>
        <w:i w:val="0"/>
        <w:iCs w:val="0"/>
        <w:color w:val="000000"/>
      </w:rPr>
      <w:tblPr/>
      <w:tcPr>
        <w:tcBorders>
          <w:top w:val="nil"/>
          <w:left w:val="single" w:sz="24" w:space="0" w:color="000000"/>
          <w:bottom w:val="nil"/>
          <w:right w:val="nil"/>
          <w:insideH w:val="nil"/>
          <w:insideV w:val="nil"/>
        </w:tcBorders>
        <w:shd w:val="clear" w:color="000000" w:fill="FFFFFF"/>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cBorders>
        <w:shd w:val="clear" w:color="000000" w:fill="FFFFFF"/>
      </w:tcPr>
    </w:tblStylePr>
    <w:tblStylePr w:type="band1Horz">
      <w:tblPr/>
      <w:tcP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val="clear" w:color="000000" w:fill="FFFFF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top w:w="0" w:type="dxa"/>
        <w:left w:w="108" w:type="dxa"/>
        <w:bottom w:w="0" w:type="dxa"/>
        <w:right w:w="108" w:type="dxa"/>
      </w:tblCellMar>
    </w:tblPr>
    <w:tcPr>
      <w:shd w:val="clear" w:color="000000" w:fill="FFFFFF"/>
    </w:tcPr>
    <w:tblStylePr w:type="firstRow">
      <w:rPr>
        <w:b/>
        <w:bCs/>
        <w:i w:val="0"/>
        <w:iCs w:val="0"/>
        <w:color w:val="000000"/>
      </w:rPr>
      <w:tblPr/>
      <w:tcPr>
        <w:tcBorders>
          <w:top w:val="single" w:sz="8" w:space="0" w:color="000000"/>
          <w:left w:val="single" w:sz="8" w:space="0" w:color="000000"/>
          <w:bottom w:val="single" w:sz="24" w:space="0" w:color="000000"/>
          <w:right w:val="single" w:sz="8" w:space="0" w:color="000000"/>
          <w:insideH w:val="nil"/>
          <w:insideV w:val="single" w:sz="8" w:space="0" w:color="000000"/>
        </w:tcBorders>
        <w:shd w:val="clear" w:color="000000" w:fill="FFFFFF"/>
      </w:tcPr>
    </w:tblStylePr>
    <w:tblStylePr w:type="lastRow">
      <w:rPr>
        <w:b/>
        <w:bCs/>
        <w:i w:val="0"/>
        <w:iCs w:val="0"/>
        <w:color w:val="000000"/>
      </w:rPr>
      <w:tblPr/>
      <w:tcPr>
        <w:tcBorders>
          <w:top w:val="single" w:sz="24" w:space="0" w:color="000000"/>
          <w:left w:val="single" w:sz="8" w:space="0" w:color="000000"/>
          <w:bottom w:val="single" w:sz="8" w:space="0" w:color="000000"/>
          <w:right w:val="single" w:sz="8" w:space="0" w:color="000000"/>
          <w:insideH w:val="nil"/>
          <w:insideV w:val="single" w:sz="8" w:space="0" w:color="000000"/>
        </w:tcBorders>
        <w:shd w:val="clear" w:color="000000" w:fill="FFFFFF"/>
      </w:tcPr>
    </w:tblStylePr>
    <w:tblStylePr w:type="firstCol">
      <w:rPr>
        <w:b/>
        <w:bCs/>
        <w:i w:val="0"/>
        <w:iCs w:val="0"/>
        <w:color w:val="000000"/>
      </w:rPr>
      <w:tblPr/>
      <w:tcPr>
        <w:tcBorders>
          <w:left w:val="single" w:sz="8" w:space="0" w:color="000000"/>
          <w:right w:val="single" w:sz="24" w:space="0" w:color="000000"/>
          <w:insideH w:val="nil"/>
          <w:insideV w:val="nil"/>
        </w:tcBorders>
        <w:shd w:val="clear" w:color="000000" w:fill="FFFFFF"/>
      </w:tcPr>
    </w:tblStylePr>
    <w:tblStylePr w:type="lastCol">
      <w:rPr>
        <w:b/>
        <w:bCs/>
        <w:i w:val="0"/>
        <w:iCs w:val="0"/>
        <w:color w:val="000000"/>
      </w:rPr>
      <w:tblPr/>
      <w:tcPr>
        <w:tcBorders>
          <w:top w:val="nil"/>
          <w:left w:val="single" w:sz="24" w:space="0" w:color="000000"/>
          <w:bottom w:val="nil"/>
          <w:right w:val="nil"/>
          <w:insideH w:val="nil"/>
          <w:insideV w:val="nil"/>
        </w:tcBorders>
        <w:shd w:val="clear" w:color="000000" w:fill="FFFFFF"/>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cBorders>
        <w:shd w:val="clear" w:color="000000" w:fill="FFFFFF"/>
      </w:tcPr>
    </w:tblStylePr>
    <w:tblStylePr w:type="band1Horz">
      <w:tblPr/>
      <w:tcP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val="clear" w:color="000000" w:fill="FFFFF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top w:w="0" w:type="dxa"/>
        <w:left w:w="108" w:type="dxa"/>
        <w:bottom w:w="0" w:type="dxa"/>
        <w:right w:w="108" w:type="dxa"/>
      </w:tblCellMar>
    </w:tblPr>
    <w:tcPr>
      <w:shd w:val="clear" w:color="000000" w:fill="FFFFFF"/>
    </w:tcPr>
    <w:tblStylePr w:type="firstRow">
      <w:rPr>
        <w:b/>
        <w:bCs/>
        <w:i w:val="0"/>
        <w:iCs w:val="0"/>
        <w:color w:val="000000"/>
      </w:rPr>
      <w:tblPr/>
      <w:tcPr>
        <w:tcBorders>
          <w:top w:val="single" w:sz="8" w:space="0" w:color="000000"/>
          <w:left w:val="single" w:sz="8" w:space="0" w:color="000000"/>
          <w:bottom w:val="single" w:sz="24" w:space="0" w:color="000000"/>
          <w:right w:val="single" w:sz="8" w:space="0" w:color="000000"/>
          <w:insideH w:val="nil"/>
          <w:insideV w:val="single" w:sz="8" w:space="0" w:color="000000"/>
        </w:tcBorders>
        <w:shd w:val="clear" w:color="000000" w:fill="FFFFFF"/>
      </w:tcPr>
    </w:tblStylePr>
    <w:tblStylePr w:type="lastRow">
      <w:rPr>
        <w:b/>
        <w:bCs/>
        <w:i w:val="0"/>
        <w:iCs w:val="0"/>
        <w:color w:val="000000"/>
      </w:rPr>
      <w:tblPr/>
      <w:tcPr>
        <w:tcBorders>
          <w:top w:val="single" w:sz="24" w:space="0" w:color="000000"/>
          <w:left w:val="single" w:sz="8" w:space="0" w:color="000000"/>
          <w:bottom w:val="single" w:sz="8" w:space="0" w:color="000000"/>
          <w:right w:val="single" w:sz="8" w:space="0" w:color="000000"/>
          <w:insideH w:val="nil"/>
          <w:insideV w:val="single" w:sz="8" w:space="0" w:color="000000"/>
        </w:tcBorders>
        <w:shd w:val="clear" w:color="000000" w:fill="FFFFFF"/>
      </w:tcPr>
    </w:tblStylePr>
    <w:tblStylePr w:type="firstCol">
      <w:rPr>
        <w:b/>
        <w:bCs/>
        <w:i w:val="0"/>
        <w:iCs w:val="0"/>
        <w:color w:val="000000"/>
      </w:rPr>
      <w:tblPr/>
      <w:tcPr>
        <w:tcBorders>
          <w:left w:val="single" w:sz="8" w:space="0" w:color="000000"/>
          <w:right w:val="single" w:sz="24" w:space="0" w:color="000000"/>
          <w:insideH w:val="nil"/>
          <w:insideV w:val="nil"/>
        </w:tcBorders>
        <w:shd w:val="clear" w:color="000000" w:fill="FFFFFF"/>
      </w:tcPr>
    </w:tblStylePr>
    <w:tblStylePr w:type="lastCol">
      <w:rPr>
        <w:b/>
        <w:bCs/>
        <w:i w:val="0"/>
        <w:iCs w:val="0"/>
        <w:color w:val="000000"/>
      </w:rPr>
      <w:tblPr/>
      <w:tcPr>
        <w:tcBorders>
          <w:top w:val="nil"/>
          <w:left w:val="single" w:sz="24" w:space="0" w:color="000000"/>
          <w:bottom w:val="nil"/>
          <w:right w:val="nil"/>
          <w:insideH w:val="nil"/>
          <w:insideV w:val="nil"/>
        </w:tcBorders>
        <w:shd w:val="clear" w:color="000000" w:fill="FFFFFF"/>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cBorders>
        <w:shd w:val="clear" w:color="000000" w:fill="FFFFFF"/>
      </w:tcPr>
    </w:tblStylePr>
    <w:tblStylePr w:type="band1Horz">
      <w:tblPr/>
      <w:tcP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val="clear" w:color="000000" w:fill="FFFFF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top w:w="0" w:type="dxa"/>
        <w:left w:w="108" w:type="dxa"/>
        <w:bottom w:w="0" w:type="dxa"/>
        <w:right w:w="108" w:type="dxa"/>
      </w:tblCellMar>
    </w:tblPr>
    <w:tcPr>
      <w:shd w:val="clear" w:color="000000" w:fill="FFFFFF"/>
    </w:tcPr>
    <w:tblStylePr w:type="firstRow">
      <w:rPr>
        <w:b/>
        <w:bCs/>
        <w:i w:val="0"/>
        <w:iCs w:val="0"/>
        <w:color w:val="000000"/>
      </w:rPr>
      <w:tblPr/>
      <w:tcPr>
        <w:tcBorders>
          <w:top w:val="single" w:sz="8" w:space="0" w:color="000000"/>
          <w:left w:val="single" w:sz="8" w:space="0" w:color="000000"/>
          <w:bottom w:val="single" w:sz="24" w:space="0" w:color="000000"/>
          <w:right w:val="single" w:sz="8" w:space="0" w:color="000000"/>
          <w:insideH w:val="nil"/>
          <w:insideV w:val="single" w:sz="8" w:space="0" w:color="000000"/>
        </w:tcBorders>
        <w:shd w:val="clear" w:color="000000" w:fill="FFFFFF"/>
      </w:tcPr>
    </w:tblStylePr>
    <w:tblStylePr w:type="lastRow">
      <w:rPr>
        <w:b/>
        <w:bCs/>
        <w:i w:val="0"/>
        <w:iCs w:val="0"/>
        <w:color w:val="000000"/>
      </w:rPr>
      <w:tblPr/>
      <w:tcPr>
        <w:tcBorders>
          <w:top w:val="single" w:sz="24" w:space="0" w:color="000000"/>
          <w:left w:val="single" w:sz="8" w:space="0" w:color="000000"/>
          <w:bottom w:val="single" w:sz="8" w:space="0" w:color="000000"/>
          <w:right w:val="single" w:sz="8" w:space="0" w:color="000000"/>
          <w:insideH w:val="nil"/>
          <w:insideV w:val="single" w:sz="8" w:space="0" w:color="000000"/>
        </w:tcBorders>
        <w:shd w:val="clear" w:color="000000" w:fill="FFFFFF"/>
      </w:tcPr>
    </w:tblStylePr>
    <w:tblStylePr w:type="firstCol">
      <w:rPr>
        <w:b/>
        <w:bCs/>
        <w:i w:val="0"/>
        <w:iCs w:val="0"/>
        <w:color w:val="000000"/>
      </w:rPr>
      <w:tblPr/>
      <w:tcPr>
        <w:tcBorders>
          <w:left w:val="single" w:sz="8" w:space="0" w:color="000000"/>
          <w:right w:val="single" w:sz="24" w:space="0" w:color="000000"/>
          <w:insideH w:val="nil"/>
          <w:insideV w:val="nil"/>
        </w:tcBorders>
        <w:shd w:val="clear" w:color="000000" w:fill="FFFFFF"/>
      </w:tcPr>
    </w:tblStylePr>
    <w:tblStylePr w:type="lastCol">
      <w:rPr>
        <w:b/>
        <w:bCs/>
        <w:i w:val="0"/>
        <w:iCs w:val="0"/>
        <w:color w:val="000000"/>
      </w:rPr>
      <w:tblPr/>
      <w:tcPr>
        <w:tcBorders>
          <w:top w:val="nil"/>
          <w:left w:val="single" w:sz="24" w:space="0" w:color="000000"/>
          <w:bottom w:val="nil"/>
          <w:right w:val="nil"/>
          <w:insideH w:val="nil"/>
          <w:insideV w:val="nil"/>
        </w:tcBorders>
        <w:shd w:val="clear" w:color="000000" w:fill="FFFFFF"/>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cBorders>
        <w:shd w:val="clear" w:color="000000" w:fill="FFFFFF"/>
      </w:tcPr>
    </w:tblStylePr>
    <w:tblStylePr w:type="band1Horz">
      <w:tblPr/>
      <w:tcP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val="clear" w:color="000000" w:fill="FFFFF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top w:w="0" w:type="dxa"/>
        <w:left w:w="108" w:type="dxa"/>
        <w:bottom w:w="0" w:type="dxa"/>
        <w:right w:w="108" w:type="dxa"/>
      </w:tblCellMar>
    </w:tblPr>
    <w:tcPr>
      <w:shd w:val="clear" w:color="000000" w:fill="FFFFFF"/>
    </w:tcPr>
    <w:tblStylePr w:type="firstRow">
      <w:rPr>
        <w:b/>
        <w:bCs/>
        <w:i w:val="0"/>
        <w:iCs w:val="0"/>
        <w:color w:val="000000"/>
      </w:rPr>
      <w:tblPr/>
      <w:tcPr>
        <w:tcBorders>
          <w:top w:val="single" w:sz="8" w:space="0" w:color="000000"/>
          <w:left w:val="single" w:sz="8" w:space="0" w:color="000000"/>
          <w:bottom w:val="single" w:sz="24" w:space="0" w:color="000000"/>
          <w:right w:val="single" w:sz="8" w:space="0" w:color="000000"/>
          <w:insideH w:val="nil"/>
          <w:insideV w:val="single" w:sz="8" w:space="0" w:color="000000"/>
        </w:tcBorders>
        <w:shd w:val="clear" w:color="000000" w:fill="FFFFFF"/>
      </w:tcPr>
    </w:tblStylePr>
    <w:tblStylePr w:type="lastRow">
      <w:rPr>
        <w:b/>
        <w:bCs/>
        <w:i w:val="0"/>
        <w:iCs w:val="0"/>
        <w:color w:val="000000"/>
      </w:rPr>
      <w:tblPr/>
      <w:tcPr>
        <w:tcBorders>
          <w:top w:val="single" w:sz="24" w:space="0" w:color="000000"/>
          <w:left w:val="single" w:sz="8" w:space="0" w:color="000000"/>
          <w:bottom w:val="single" w:sz="8" w:space="0" w:color="000000"/>
          <w:right w:val="single" w:sz="8" w:space="0" w:color="000000"/>
          <w:insideH w:val="nil"/>
          <w:insideV w:val="single" w:sz="8" w:space="0" w:color="000000"/>
        </w:tcBorders>
        <w:shd w:val="clear" w:color="000000" w:fill="FFFFFF"/>
      </w:tcPr>
    </w:tblStylePr>
    <w:tblStylePr w:type="firstCol">
      <w:rPr>
        <w:b/>
        <w:bCs/>
        <w:i w:val="0"/>
        <w:iCs w:val="0"/>
        <w:color w:val="000000"/>
      </w:rPr>
      <w:tblPr/>
      <w:tcPr>
        <w:tcBorders>
          <w:left w:val="single" w:sz="8" w:space="0" w:color="000000"/>
          <w:right w:val="single" w:sz="24" w:space="0" w:color="000000"/>
          <w:insideH w:val="nil"/>
          <w:insideV w:val="nil"/>
        </w:tcBorders>
        <w:shd w:val="clear" w:color="000000" w:fill="FFFFFF"/>
      </w:tcPr>
    </w:tblStylePr>
    <w:tblStylePr w:type="lastCol">
      <w:rPr>
        <w:b/>
        <w:bCs/>
        <w:i w:val="0"/>
        <w:iCs w:val="0"/>
        <w:color w:val="000000"/>
      </w:rPr>
      <w:tblPr/>
      <w:tcPr>
        <w:tcBorders>
          <w:top w:val="nil"/>
          <w:left w:val="single" w:sz="24" w:space="0" w:color="000000"/>
          <w:bottom w:val="nil"/>
          <w:right w:val="nil"/>
          <w:insideH w:val="nil"/>
          <w:insideV w:val="nil"/>
        </w:tcBorders>
        <w:shd w:val="clear" w:color="000000" w:fill="FFFFFF"/>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cBorders>
        <w:shd w:val="clear" w:color="000000" w:fill="FFFFFF"/>
      </w:tcPr>
    </w:tblStylePr>
    <w:tblStylePr w:type="band1Horz">
      <w:tblPr/>
      <w:tcP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val="clear" w:color="000000" w:fill="FFFFF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top w:w="0" w:type="dxa"/>
        <w:left w:w="108" w:type="dxa"/>
        <w:bottom w:w="0" w:type="dxa"/>
        <w:right w:w="108" w:type="dxa"/>
      </w:tblCellMar>
    </w:tblPr>
    <w:tcPr>
      <w:shd w:val="clear" w:color="000000" w:fill="FFFFFF"/>
    </w:tcPr>
    <w:tblStylePr w:type="firstRow">
      <w:rPr>
        <w:b/>
        <w:bCs/>
        <w:i w:val="0"/>
        <w:iCs w:val="0"/>
        <w:color w:val="000000"/>
      </w:rPr>
      <w:tblPr/>
      <w:tcPr>
        <w:tcBorders>
          <w:top w:val="single" w:sz="8" w:space="0" w:color="000000"/>
          <w:left w:val="single" w:sz="8" w:space="0" w:color="000000"/>
          <w:bottom w:val="single" w:sz="24" w:space="0" w:color="000000"/>
          <w:right w:val="single" w:sz="8" w:space="0" w:color="000000"/>
          <w:insideH w:val="nil"/>
          <w:insideV w:val="single" w:sz="8" w:space="0" w:color="000000"/>
        </w:tcBorders>
        <w:shd w:val="clear" w:color="000000" w:fill="FFFFFF"/>
      </w:tcPr>
    </w:tblStylePr>
    <w:tblStylePr w:type="lastRow">
      <w:rPr>
        <w:b/>
        <w:bCs/>
        <w:i w:val="0"/>
        <w:iCs w:val="0"/>
        <w:color w:val="000000"/>
      </w:rPr>
      <w:tblPr/>
      <w:tcPr>
        <w:tcBorders>
          <w:top w:val="single" w:sz="24" w:space="0" w:color="000000"/>
          <w:left w:val="single" w:sz="8" w:space="0" w:color="000000"/>
          <w:bottom w:val="single" w:sz="8" w:space="0" w:color="000000"/>
          <w:right w:val="single" w:sz="8" w:space="0" w:color="000000"/>
          <w:insideH w:val="nil"/>
          <w:insideV w:val="single" w:sz="8" w:space="0" w:color="000000"/>
        </w:tcBorders>
        <w:shd w:val="clear" w:color="000000" w:fill="FFFFFF"/>
      </w:tcPr>
    </w:tblStylePr>
    <w:tblStylePr w:type="firstCol">
      <w:rPr>
        <w:b/>
        <w:bCs/>
        <w:i w:val="0"/>
        <w:iCs w:val="0"/>
        <w:color w:val="000000"/>
      </w:rPr>
      <w:tblPr/>
      <w:tcPr>
        <w:tcBorders>
          <w:left w:val="single" w:sz="8" w:space="0" w:color="000000"/>
          <w:right w:val="single" w:sz="24" w:space="0" w:color="000000"/>
          <w:insideH w:val="nil"/>
          <w:insideV w:val="nil"/>
        </w:tcBorders>
        <w:shd w:val="clear" w:color="000000" w:fill="FFFFFF"/>
      </w:tcPr>
    </w:tblStylePr>
    <w:tblStylePr w:type="lastCol">
      <w:rPr>
        <w:b/>
        <w:bCs/>
        <w:i w:val="0"/>
        <w:iCs w:val="0"/>
        <w:color w:val="000000"/>
      </w:rPr>
      <w:tblPr/>
      <w:tcPr>
        <w:tcBorders>
          <w:top w:val="nil"/>
          <w:left w:val="single" w:sz="24" w:space="0" w:color="000000"/>
          <w:bottom w:val="nil"/>
          <w:right w:val="nil"/>
          <w:insideH w:val="nil"/>
          <w:insideV w:val="nil"/>
        </w:tcBorders>
        <w:shd w:val="clear" w:color="000000" w:fill="FFFFFF"/>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cBorders>
        <w:shd w:val="clear" w:color="000000" w:fill="FFFFFF"/>
      </w:tcPr>
    </w:tblStylePr>
    <w:tblStylePr w:type="band1Horz">
      <w:tblPr/>
      <w:tcP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val="clear" w:color="000000" w:fill="FFFFF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top w:w="0" w:type="dxa"/>
        <w:left w:w="108" w:type="dxa"/>
        <w:bottom w:w="0" w:type="dxa"/>
        <w:right w:w="108" w:type="dxa"/>
      </w:tblCellMar>
    </w:tblPr>
    <w:tcPr>
      <w:shd w:val="clear" w:color="000000" w:fill="FFFFFF"/>
    </w:tcPr>
    <w:tblStylePr w:type="firstRow">
      <w:rPr>
        <w:b/>
        <w:bCs/>
        <w:i w:val="0"/>
        <w:iCs w:val="0"/>
        <w:color w:val="000000"/>
      </w:rPr>
      <w:tblPr/>
      <w:tcPr>
        <w:tcBorders>
          <w:top w:val="single" w:sz="8" w:space="0" w:color="000000"/>
          <w:left w:val="single" w:sz="8" w:space="0" w:color="000000"/>
          <w:bottom w:val="single" w:sz="24" w:space="0" w:color="000000"/>
          <w:right w:val="single" w:sz="8" w:space="0" w:color="000000"/>
          <w:insideH w:val="nil"/>
          <w:insideV w:val="single" w:sz="8" w:space="0" w:color="000000"/>
        </w:tcBorders>
        <w:shd w:val="clear" w:color="000000" w:fill="FFFFFF"/>
      </w:tcPr>
    </w:tblStylePr>
    <w:tblStylePr w:type="lastRow">
      <w:rPr>
        <w:b/>
        <w:bCs/>
        <w:i w:val="0"/>
        <w:iCs w:val="0"/>
        <w:color w:val="000000"/>
      </w:rPr>
      <w:tblPr/>
      <w:tcPr>
        <w:tcBorders>
          <w:top w:val="single" w:sz="24" w:space="0" w:color="000000"/>
          <w:left w:val="single" w:sz="8" w:space="0" w:color="000000"/>
          <w:bottom w:val="single" w:sz="8" w:space="0" w:color="000000"/>
          <w:right w:val="single" w:sz="8" w:space="0" w:color="000000"/>
          <w:insideH w:val="nil"/>
          <w:insideV w:val="single" w:sz="8" w:space="0" w:color="000000"/>
        </w:tcBorders>
        <w:shd w:val="clear" w:color="000000" w:fill="FFFFFF"/>
      </w:tcPr>
    </w:tblStylePr>
    <w:tblStylePr w:type="firstCol">
      <w:rPr>
        <w:b/>
        <w:bCs/>
        <w:i w:val="0"/>
        <w:iCs w:val="0"/>
        <w:color w:val="000000"/>
      </w:rPr>
      <w:tblPr/>
      <w:tcPr>
        <w:tcBorders>
          <w:left w:val="single" w:sz="8" w:space="0" w:color="000000"/>
          <w:right w:val="single" w:sz="24" w:space="0" w:color="000000"/>
          <w:insideH w:val="nil"/>
          <w:insideV w:val="nil"/>
        </w:tcBorders>
        <w:shd w:val="clear" w:color="000000" w:fill="FFFFFF"/>
      </w:tcPr>
    </w:tblStylePr>
    <w:tblStylePr w:type="lastCol">
      <w:rPr>
        <w:b/>
        <w:bCs/>
        <w:i w:val="0"/>
        <w:iCs w:val="0"/>
        <w:color w:val="000000"/>
      </w:rPr>
      <w:tblPr/>
      <w:tcPr>
        <w:tcBorders>
          <w:top w:val="nil"/>
          <w:left w:val="single" w:sz="24" w:space="0" w:color="000000"/>
          <w:bottom w:val="nil"/>
          <w:right w:val="nil"/>
          <w:insideH w:val="nil"/>
          <w:insideV w:val="nil"/>
        </w:tcBorders>
        <w:shd w:val="clear" w:color="000000" w:fill="FFFFFF"/>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cBorders>
        <w:shd w:val="clear" w:color="000000" w:fill="FFFFFF"/>
      </w:tcPr>
    </w:tblStylePr>
    <w:tblStylePr w:type="band1Horz">
      <w:tblPr/>
      <w:tcP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val="clear" w:color="000000" w:fill="FFFFF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000000" w:fill="FFFFFF"/>
    </w:tcPr>
    <w:tblStylePr w:type="firstRow">
      <w:rPr>
        <w:b/>
        <w:bCs/>
      </w:rPr>
      <w:tblPr/>
      <w:tcPr>
        <w:tcBorders>
          <w:top w:val="nil"/>
          <w:left w:val="nil"/>
          <w:bottom w:val="single" w:sz="18" w:space="0" w:color="000000"/>
          <w:right w:val="nil"/>
          <w:insideH w:val="nil"/>
          <w:insideV w:val="nil"/>
        </w:tcBorders>
        <w:shd w:val="clear" w:color="000000" w:fill="FFFFFF"/>
      </w:tcPr>
    </w:tblStylePr>
    <w:tblStylePr w:type="lastRow">
      <w:tblPr/>
      <w:tcPr>
        <w:tcBorders>
          <w:top w:val="single" w:sz="18" w:space="0" w:color="000000"/>
          <w:left w:val="nil"/>
          <w:bottom w:val="nil"/>
          <w:right w:val="nil"/>
          <w:insideH w:val="nil"/>
          <w:insideV w:val="nil"/>
        </w:tcBorders>
        <w:shd w:val="clear" w:color="000000" w:fill="FFFFFF"/>
      </w:tcPr>
    </w:tblStylePr>
    <w:tblStylePr w:type="firstCol">
      <w:tblPr/>
      <w:tcPr>
        <w:tcBorders>
          <w:top w:val="nil"/>
          <w:left w:val="nil"/>
          <w:bottom w:val="nil"/>
          <w:right w:val="single" w:sz="18" w:space="0" w:color="000000"/>
          <w:insideH w:val="nil"/>
          <w:insideV w:val="nil"/>
        </w:tcBorders>
        <w:shd w:val="clear" w:color="000000" w:fill="FFFFFF"/>
      </w:tcPr>
    </w:tblStylePr>
    <w:tblStylePr w:type="lastCol">
      <w:tblPr/>
      <w:tcPr>
        <w:tcBorders>
          <w:top w:val="nil"/>
          <w:left w:val="single" w:sz="18" w:space="0" w:color="000000"/>
          <w:bottom w:val="nil"/>
          <w:right w:val="nil"/>
          <w:insideH w:val="nil"/>
          <w:insideV w:val="nil"/>
        </w:tcBorders>
        <w:shd w:val="clear" w:color="000000" w:fill="FFFFFF"/>
      </w:tcPr>
    </w:tblStylePr>
    <w:tblStylePr w:type="band1Vert">
      <w:tblPr/>
      <w:tcPr>
        <w:tcBorders>
          <w:top w:val="nil"/>
          <w:left w:val="nil"/>
          <w:bottom w:val="nil"/>
          <w:right w:val="nil"/>
          <w:insideH w:val="nil"/>
          <w:insideV w:val="nil"/>
        </w:tcBorders>
        <w:shd w:val="clear" w:color="000000" w:fill="FFFFFF"/>
      </w:tcPr>
    </w:tblStylePr>
    <w:tblStylePr w:type="band1Horz">
      <w:tblPr/>
      <w:tcPr>
        <w:tcBorders>
          <w:top w:val="nil"/>
          <w:left w:val="nil"/>
          <w:bottom w:val="nil"/>
          <w:right w:val="nil"/>
          <w:insideH w:val="nil"/>
          <w:insideV w:val="nil"/>
        </w:tcBorders>
        <w:shd w:val="clear" w:color="000000" w:fill="FFFFF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000000" w:fill="FFFFFF"/>
    </w:tcPr>
    <w:tblStylePr w:type="firstRow">
      <w:rPr>
        <w:b/>
        <w:bCs/>
      </w:rPr>
      <w:tblPr/>
      <w:tcPr>
        <w:tcBorders>
          <w:top w:val="nil"/>
          <w:left w:val="nil"/>
          <w:bottom w:val="single" w:sz="18" w:space="0" w:color="000000"/>
          <w:right w:val="nil"/>
          <w:insideH w:val="nil"/>
          <w:insideV w:val="nil"/>
        </w:tcBorders>
        <w:shd w:val="clear" w:color="000000" w:fill="FFFFFF"/>
      </w:tcPr>
    </w:tblStylePr>
    <w:tblStylePr w:type="lastRow">
      <w:tblPr/>
      <w:tcPr>
        <w:tcBorders>
          <w:top w:val="single" w:sz="18" w:space="0" w:color="000000"/>
          <w:left w:val="nil"/>
          <w:bottom w:val="nil"/>
          <w:right w:val="nil"/>
          <w:insideH w:val="nil"/>
          <w:insideV w:val="nil"/>
        </w:tcBorders>
        <w:shd w:val="clear" w:color="000000" w:fill="FFFFFF"/>
      </w:tcPr>
    </w:tblStylePr>
    <w:tblStylePr w:type="firstCol">
      <w:tblPr/>
      <w:tcPr>
        <w:tcBorders>
          <w:top w:val="nil"/>
          <w:left w:val="nil"/>
          <w:bottom w:val="nil"/>
          <w:right w:val="single" w:sz="18" w:space="0" w:color="000000"/>
          <w:insideH w:val="nil"/>
          <w:insideV w:val="nil"/>
        </w:tcBorders>
        <w:shd w:val="clear" w:color="000000" w:fill="FFFFFF"/>
      </w:tcPr>
    </w:tblStylePr>
    <w:tblStylePr w:type="lastCol">
      <w:tblPr/>
      <w:tcPr>
        <w:tcBorders>
          <w:top w:val="nil"/>
          <w:left w:val="single" w:sz="18" w:space="0" w:color="000000"/>
          <w:bottom w:val="nil"/>
          <w:right w:val="nil"/>
          <w:insideH w:val="nil"/>
          <w:insideV w:val="nil"/>
        </w:tcBorders>
        <w:shd w:val="clear" w:color="000000" w:fill="FFFFFF"/>
      </w:tcPr>
    </w:tblStylePr>
    <w:tblStylePr w:type="band1Vert">
      <w:tblPr/>
      <w:tcPr>
        <w:tcBorders>
          <w:top w:val="nil"/>
          <w:left w:val="nil"/>
          <w:bottom w:val="nil"/>
          <w:right w:val="nil"/>
          <w:insideH w:val="nil"/>
          <w:insideV w:val="nil"/>
        </w:tcBorders>
        <w:shd w:val="clear" w:color="000000" w:fill="FFFFFF"/>
      </w:tcPr>
    </w:tblStylePr>
    <w:tblStylePr w:type="band1Horz">
      <w:tblPr/>
      <w:tcPr>
        <w:tcBorders>
          <w:top w:val="nil"/>
          <w:left w:val="nil"/>
          <w:bottom w:val="nil"/>
          <w:right w:val="nil"/>
          <w:insideH w:val="nil"/>
          <w:insideV w:val="nil"/>
        </w:tcBorders>
        <w:shd w:val="clear" w:color="000000" w:fill="FFFFF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000000" w:fill="FFFFFF"/>
    </w:tcPr>
    <w:tblStylePr w:type="firstRow">
      <w:rPr>
        <w:b/>
        <w:bCs/>
      </w:rPr>
      <w:tblPr/>
      <w:tcPr>
        <w:tcBorders>
          <w:top w:val="nil"/>
          <w:left w:val="nil"/>
          <w:bottom w:val="single" w:sz="18" w:space="0" w:color="000000"/>
          <w:right w:val="nil"/>
          <w:insideH w:val="nil"/>
          <w:insideV w:val="nil"/>
        </w:tcBorders>
        <w:shd w:val="clear" w:color="000000" w:fill="FFFFFF"/>
      </w:tcPr>
    </w:tblStylePr>
    <w:tblStylePr w:type="lastRow">
      <w:tblPr/>
      <w:tcPr>
        <w:tcBorders>
          <w:top w:val="single" w:sz="18" w:space="0" w:color="000000"/>
          <w:left w:val="nil"/>
          <w:bottom w:val="nil"/>
          <w:right w:val="nil"/>
          <w:insideH w:val="nil"/>
          <w:insideV w:val="nil"/>
        </w:tcBorders>
        <w:shd w:val="clear" w:color="000000" w:fill="FFFFFF"/>
      </w:tcPr>
    </w:tblStylePr>
    <w:tblStylePr w:type="firstCol">
      <w:tblPr/>
      <w:tcPr>
        <w:tcBorders>
          <w:top w:val="nil"/>
          <w:left w:val="nil"/>
          <w:bottom w:val="nil"/>
          <w:right w:val="single" w:sz="18" w:space="0" w:color="000000"/>
          <w:insideH w:val="nil"/>
          <w:insideV w:val="nil"/>
        </w:tcBorders>
        <w:shd w:val="clear" w:color="000000" w:fill="FFFFFF"/>
      </w:tcPr>
    </w:tblStylePr>
    <w:tblStylePr w:type="lastCol">
      <w:tblPr/>
      <w:tcPr>
        <w:tcBorders>
          <w:top w:val="nil"/>
          <w:left w:val="single" w:sz="18" w:space="0" w:color="000000"/>
          <w:bottom w:val="nil"/>
          <w:right w:val="nil"/>
          <w:insideH w:val="nil"/>
          <w:insideV w:val="nil"/>
        </w:tcBorders>
        <w:shd w:val="clear" w:color="000000" w:fill="FFFFFF"/>
      </w:tcPr>
    </w:tblStylePr>
    <w:tblStylePr w:type="band1Vert">
      <w:tblPr/>
      <w:tcPr>
        <w:tcBorders>
          <w:top w:val="nil"/>
          <w:left w:val="nil"/>
          <w:bottom w:val="nil"/>
          <w:right w:val="nil"/>
          <w:insideH w:val="nil"/>
          <w:insideV w:val="nil"/>
        </w:tcBorders>
        <w:shd w:val="clear" w:color="000000" w:fill="FFFFFF"/>
      </w:tcPr>
    </w:tblStylePr>
    <w:tblStylePr w:type="band1Horz">
      <w:tblPr/>
      <w:tcPr>
        <w:tcBorders>
          <w:top w:val="nil"/>
          <w:left w:val="nil"/>
          <w:bottom w:val="nil"/>
          <w:right w:val="nil"/>
          <w:insideH w:val="nil"/>
          <w:insideV w:val="nil"/>
        </w:tcBorders>
        <w:shd w:val="clear" w:color="000000" w:fill="FFFFF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000000" w:fill="FFFFFF"/>
    </w:tcPr>
    <w:tblStylePr w:type="firstRow">
      <w:rPr>
        <w:b/>
        <w:bCs/>
      </w:rPr>
      <w:tblPr/>
      <w:tcPr>
        <w:tcBorders>
          <w:top w:val="nil"/>
          <w:left w:val="nil"/>
          <w:bottom w:val="single" w:sz="18" w:space="0" w:color="000000"/>
          <w:right w:val="nil"/>
          <w:insideH w:val="nil"/>
          <w:insideV w:val="nil"/>
        </w:tcBorders>
        <w:shd w:val="clear" w:color="000000" w:fill="FFFFFF"/>
      </w:tcPr>
    </w:tblStylePr>
    <w:tblStylePr w:type="lastRow">
      <w:tblPr/>
      <w:tcPr>
        <w:tcBorders>
          <w:top w:val="single" w:sz="18" w:space="0" w:color="000000"/>
          <w:left w:val="nil"/>
          <w:bottom w:val="nil"/>
          <w:right w:val="nil"/>
          <w:insideH w:val="nil"/>
          <w:insideV w:val="nil"/>
        </w:tcBorders>
        <w:shd w:val="clear" w:color="000000" w:fill="FFFFFF"/>
      </w:tcPr>
    </w:tblStylePr>
    <w:tblStylePr w:type="firstCol">
      <w:tblPr/>
      <w:tcPr>
        <w:tcBorders>
          <w:top w:val="nil"/>
          <w:left w:val="nil"/>
          <w:bottom w:val="nil"/>
          <w:right w:val="single" w:sz="18" w:space="0" w:color="000000"/>
          <w:insideH w:val="nil"/>
          <w:insideV w:val="nil"/>
        </w:tcBorders>
        <w:shd w:val="clear" w:color="000000" w:fill="FFFFFF"/>
      </w:tcPr>
    </w:tblStylePr>
    <w:tblStylePr w:type="lastCol">
      <w:tblPr/>
      <w:tcPr>
        <w:tcBorders>
          <w:top w:val="nil"/>
          <w:left w:val="single" w:sz="18" w:space="0" w:color="000000"/>
          <w:bottom w:val="nil"/>
          <w:right w:val="nil"/>
          <w:insideH w:val="nil"/>
          <w:insideV w:val="nil"/>
        </w:tcBorders>
        <w:shd w:val="clear" w:color="000000" w:fill="FFFFFF"/>
      </w:tcPr>
    </w:tblStylePr>
    <w:tblStylePr w:type="band1Vert">
      <w:tblPr/>
      <w:tcPr>
        <w:tcBorders>
          <w:top w:val="nil"/>
          <w:left w:val="nil"/>
          <w:bottom w:val="nil"/>
          <w:right w:val="nil"/>
          <w:insideH w:val="nil"/>
          <w:insideV w:val="nil"/>
        </w:tcBorders>
        <w:shd w:val="clear" w:color="000000" w:fill="FFFFFF"/>
      </w:tcPr>
    </w:tblStylePr>
    <w:tblStylePr w:type="band1Horz">
      <w:tblPr/>
      <w:tcPr>
        <w:tcBorders>
          <w:top w:val="nil"/>
          <w:left w:val="nil"/>
          <w:bottom w:val="nil"/>
          <w:right w:val="nil"/>
          <w:insideH w:val="nil"/>
          <w:insideV w:val="nil"/>
        </w:tcBorders>
        <w:shd w:val="clear" w:color="000000" w:fill="FFFFF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000000" w:fill="FFFFFF"/>
    </w:tcPr>
    <w:tblStylePr w:type="firstRow">
      <w:rPr>
        <w:b/>
        <w:bCs/>
      </w:rPr>
      <w:tblPr/>
      <w:tcPr>
        <w:tcBorders>
          <w:top w:val="nil"/>
          <w:left w:val="nil"/>
          <w:bottom w:val="single" w:sz="18" w:space="0" w:color="000000"/>
          <w:right w:val="nil"/>
          <w:insideH w:val="nil"/>
          <w:insideV w:val="nil"/>
        </w:tcBorders>
        <w:shd w:val="clear" w:color="000000" w:fill="FFFFFF"/>
      </w:tcPr>
    </w:tblStylePr>
    <w:tblStylePr w:type="lastRow">
      <w:tblPr/>
      <w:tcPr>
        <w:tcBorders>
          <w:top w:val="single" w:sz="18" w:space="0" w:color="000000"/>
          <w:left w:val="nil"/>
          <w:bottom w:val="nil"/>
          <w:right w:val="nil"/>
          <w:insideH w:val="nil"/>
          <w:insideV w:val="nil"/>
        </w:tcBorders>
        <w:shd w:val="clear" w:color="000000" w:fill="FFFFFF"/>
      </w:tcPr>
    </w:tblStylePr>
    <w:tblStylePr w:type="firstCol">
      <w:tblPr/>
      <w:tcPr>
        <w:tcBorders>
          <w:top w:val="nil"/>
          <w:left w:val="nil"/>
          <w:bottom w:val="nil"/>
          <w:right w:val="single" w:sz="18" w:space="0" w:color="000000"/>
          <w:insideH w:val="nil"/>
          <w:insideV w:val="nil"/>
        </w:tcBorders>
        <w:shd w:val="clear" w:color="000000" w:fill="FFFFFF"/>
      </w:tcPr>
    </w:tblStylePr>
    <w:tblStylePr w:type="lastCol">
      <w:tblPr/>
      <w:tcPr>
        <w:tcBorders>
          <w:top w:val="nil"/>
          <w:left w:val="single" w:sz="18" w:space="0" w:color="000000"/>
          <w:bottom w:val="nil"/>
          <w:right w:val="nil"/>
          <w:insideH w:val="nil"/>
          <w:insideV w:val="nil"/>
        </w:tcBorders>
        <w:shd w:val="clear" w:color="000000" w:fill="FFFFFF"/>
      </w:tcPr>
    </w:tblStylePr>
    <w:tblStylePr w:type="band1Vert">
      <w:tblPr/>
      <w:tcPr>
        <w:tcBorders>
          <w:top w:val="nil"/>
          <w:left w:val="nil"/>
          <w:bottom w:val="nil"/>
          <w:right w:val="nil"/>
          <w:insideH w:val="nil"/>
          <w:insideV w:val="nil"/>
        </w:tcBorders>
        <w:shd w:val="clear" w:color="000000" w:fill="FFFFFF"/>
      </w:tcPr>
    </w:tblStylePr>
    <w:tblStylePr w:type="band1Horz">
      <w:tblPr/>
      <w:tcPr>
        <w:tcBorders>
          <w:top w:val="nil"/>
          <w:left w:val="nil"/>
          <w:bottom w:val="nil"/>
          <w:right w:val="nil"/>
          <w:insideH w:val="nil"/>
          <w:insideV w:val="nil"/>
        </w:tcBorders>
        <w:shd w:val="clear" w:color="000000" w:fill="FFFFF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000000" w:fill="FFFFFF"/>
    </w:tcPr>
    <w:tblStylePr w:type="firstRow">
      <w:rPr>
        <w:b/>
        <w:bCs/>
      </w:rPr>
      <w:tblPr/>
      <w:tcPr>
        <w:tcBorders>
          <w:top w:val="nil"/>
          <w:left w:val="nil"/>
          <w:bottom w:val="single" w:sz="18" w:space="0" w:color="000000"/>
          <w:right w:val="nil"/>
          <w:insideH w:val="nil"/>
          <w:insideV w:val="nil"/>
        </w:tcBorders>
        <w:shd w:val="clear" w:color="000000" w:fill="FFFFFF"/>
      </w:tcPr>
    </w:tblStylePr>
    <w:tblStylePr w:type="lastRow">
      <w:tblPr/>
      <w:tcPr>
        <w:tcBorders>
          <w:top w:val="single" w:sz="18" w:space="0" w:color="000000"/>
          <w:left w:val="nil"/>
          <w:bottom w:val="nil"/>
          <w:right w:val="nil"/>
          <w:insideH w:val="nil"/>
          <w:insideV w:val="nil"/>
        </w:tcBorders>
        <w:shd w:val="clear" w:color="000000" w:fill="FFFFFF"/>
      </w:tcPr>
    </w:tblStylePr>
    <w:tblStylePr w:type="firstCol">
      <w:tblPr/>
      <w:tcPr>
        <w:tcBorders>
          <w:top w:val="nil"/>
          <w:left w:val="nil"/>
          <w:bottom w:val="nil"/>
          <w:right w:val="single" w:sz="18" w:space="0" w:color="000000"/>
          <w:insideH w:val="nil"/>
          <w:insideV w:val="nil"/>
        </w:tcBorders>
        <w:shd w:val="clear" w:color="000000" w:fill="FFFFFF"/>
      </w:tcPr>
    </w:tblStylePr>
    <w:tblStylePr w:type="lastCol">
      <w:tblPr/>
      <w:tcPr>
        <w:tcBorders>
          <w:top w:val="nil"/>
          <w:left w:val="single" w:sz="18" w:space="0" w:color="000000"/>
          <w:bottom w:val="nil"/>
          <w:right w:val="nil"/>
          <w:insideH w:val="nil"/>
          <w:insideV w:val="nil"/>
        </w:tcBorders>
        <w:shd w:val="clear" w:color="000000" w:fill="FFFFFF"/>
      </w:tcPr>
    </w:tblStylePr>
    <w:tblStylePr w:type="band1Vert">
      <w:tblPr/>
      <w:tcPr>
        <w:tcBorders>
          <w:top w:val="nil"/>
          <w:left w:val="nil"/>
          <w:bottom w:val="nil"/>
          <w:right w:val="nil"/>
          <w:insideH w:val="nil"/>
          <w:insideV w:val="nil"/>
        </w:tcBorders>
        <w:shd w:val="clear" w:color="000000" w:fill="FFFFFF"/>
      </w:tcPr>
    </w:tblStylePr>
    <w:tblStylePr w:type="band1Horz">
      <w:tblPr/>
      <w:tcPr>
        <w:tcBorders>
          <w:top w:val="nil"/>
          <w:left w:val="nil"/>
          <w:bottom w:val="nil"/>
          <w:right w:val="nil"/>
          <w:insideH w:val="nil"/>
          <w:insideV w:val="nil"/>
        </w:tcBorders>
        <w:shd w:val="clear" w:color="000000" w:fill="FFFFF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000000" w:fill="FFFFFF"/>
    </w:tcPr>
    <w:tblStylePr w:type="firstRow">
      <w:rPr>
        <w:b/>
        <w:bCs/>
      </w:rPr>
      <w:tblPr/>
      <w:tcPr>
        <w:tcBorders>
          <w:top w:val="nil"/>
          <w:left w:val="nil"/>
          <w:bottom w:val="single" w:sz="18" w:space="0" w:color="000000"/>
          <w:right w:val="nil"/>
          <w:insideH w:val="nil"/>
          <w:insideV w:val="nil"/>
        </w:tcBorders>
        <w:shd w:val="clear" w:color="000000" w:fill="FFFFFF"/>
      </w:tcPr>
    </w:tblStylePr>
    <w:tblStylePr w:type="lastRow">
      <w:tblPr/>
      <w:tcPr>
        <w:tcBorders>
          <w:top w:val="single" w:sz="18" w:space="0" w:color="000000"/>
          <w:left w:val="nil"/>
          <w:bottom w:val="nil"/>
          <w:right w:val="nil"/>
          <w:insideH w:val="nil"/>
          <w:insideV w:val="nil"/>
        </w:tcBorders>
        <w:shd w:val="clear" w:color="000000" w:fill="FFFFFF"/>
      </w:tcPr>
    </w:tblStylePr>
    <w:tblStylePr w:type="firstCol">
      <w:tblPr/>
      <w:tcPr>
        <w:tcBorders>
          <w:top w:val="nil"/>
          <w:left w:val="nil"/>
          <w:bottom w:val="nil"/>
          <w:right w:val="single" w:sz="18" w:space="0" w:color="000000"/>
          <w:insideH w:val="nil"/>
          <w:insideV w:val="nil"/>
        </w:tcBorders>
        <w:shd w:val="clear" w:color="000000" w:fill="FFFFFF"/>
      </w:tcPr>
    </w:tblStylePr>
    <w:tblStylePr w:type="lastCol">
      <w:tblPr/>
      <w:tcPr>
        <w:tcBorders>
          <w:top w:val="nil"/>
          <w:left w:val="single" w:sz="18" w:space="0" w:color="000000"/>
          <w:bottom w:val="nil"/>
          <w:right w:val="nil"/>
          <w:insideH w:val="nil"/>
          <w:insideV w:val="nil"/>
        </w:tcBorders>
        <w:shd w:val="clear" w:color="000000" w:fill="FFFFFF"/>
      </w:tcPr>
    </w:tblStylePr>
    <w:tblStylePr w:type="band1Vert">
      <w:tblPr/>
      <w:tcPr>
        <w:tcBorders>
          <w:top w:val="nil"/>
          <w:left w:val="nil"/>
          <w:bottom w:val="nil"/>
          <w:right w:val="nil"/>
          <w:insideH w:val="nil"/>
          <w:insideV w:val="nil"/>
        </w:tcBorders>
        <w:shd w:val="clear" w:color="000000" w:fill="FFFFFF"/>
      </w:tcPr>
    </w:tblStylePr>
    <w:tblStylePr w:type="band1Horz">
      <w:tblPr/>
      <w:tcPr>
        <w:tcBorders>
          <w:top w:val="nil"/>
          <w:left w:val="nil"/>
          <w:bottom w:val="nil"/>
          <w:right w:val="nil"/>
          <w:insideH w:val="nil"/>
          <w:insideV w:val="nil"/>
        </w:tcBorders>
        <w:shd w:val="clear" w:color="000000" w:fill="FFFFF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tcPr>
      <w:shd w:val="clear" w:color="000000" w:fill="FFFFFF"/>
    </w:tcPr>
    <w:tblStylePr w:type="firstRow">
      <w:rPr>
        <w:b/>
        <w:bCs/>
      </w:rPr>
      <w:tblPr/>
      <w:tcPr>
        <w:tcBorders>
          <w:top w:val="nil"/>
          <w:left w:val="nil"/>
          <w:bottom w:val="single" w:sz="24" w:space="0" w:color="000000"/>
          <w:right w:val="nil"/>
          <w:insideH w:val="nil"/>
          <w:insideV w:val="nil"/>
        </w:tcBorders>
        <w:shd w:val="clear" w:color="000000" w:fill="FFFFFF"/>
      </w:tcPr>
    </w:tblStylePr>
    <w:tblStylePr w:type="lastRow">
      <w:rPr>
        <w:b/>
        <w:bCs/>
        <w:color w:val="000000"/>
      </w:rPr>
      <w:tblPr/>
      <w:tcPr>
        <w:tcBorders>
          <w:top w:val="single" w:sz="6" w:space="0" w:color="000000"/>
        </w:tcBorders>
        <w:shd w:val="clear" w:color="000000" w:fill="FFFFFF"/>
      </w:tcPr>
    </w:tblStylePr>
    <w:tblStylePr w:type="firstCol">
      <w:rPr>
        <w:color w:val="000000"/>
      </w:rPr>
      <w:tblPr/>
      <w:tcPr>
        <w:tcBorders>
          <w:top w:val="nil"/>
          <w:left w:val="nil"/>
          <w:bottom w:val="nil"/>
          <w:right w:val="nil"/>
          <w:insideH w:val="single" w:sz="4" w:space="0" w:color="000000"/>
          <w:insideV w:val="nil"/>
        </w:tcBorders>
        <w:shd w:val="clear" w:color="000000" w:fill="FFFFFF"/>
      </w:tcPr>
    </w:tblStylePr>
    <w:tblStylePr w:type="lastCol">
      <w:rPr>
        <w:color w:val="000000"/>
      </w:rPr>
      <w:tblPr/>
      <w:tcPr>
        <w:tcBorders>
          <w:top w:val="nil"/>
          <w:left w:val="nil"/>
          <w:bottom w:val="nil"/>
          <w:right w:val="nil"/>
          <w:insideH w:val="nil"/>
          <w:insideV w:val="nil"/>
        </w:tcBorders>
        <w:shd w:val="clear" w:color="000000" w:fill="FFFFFF"/>
      </w:tcPr>
    </w:tblStylePr>
    <w:tblStylePr w:type="band1Vert">
      <w:tblPr/>
      <w:tcPr>
        <w:shd w:val="clear" w:color="000000" w:fill="FFFFFF"/>
      </w:tcPr>
    </w:tblStylePr>
    <w:tblStylePr w:type="band1Horz">
      <w:tblPr/>
      <w:tcPr>
        <w:shd w:val="clear" w:color="000000" w:fill="FFFFF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tcPr>
      <w:shd w:val="clear" w:color="000000" w:fill="FFFFFF"/>
    </w:tcPr>
    <w:tblStylePr w:type="firstRow">
      <w:rPr>
        <w:b/>
        <w:bCs/>
      </w:rPr>
      <w:tblPr/>
      <w:tcPr>
        <w:tcBorders>
          <w:top w:val="nil"/>
          <w:left w:val="nil"/>
          <w:bottom w:val="single" w:sz="24" w:space="0" w:color="000000"/>
          <w:right w:val="nil"/>
          <w:insideH w:val="nil"/>
          <w:insideV w:val="nil"/>
        </w:tcBorders>
        <w:shd w:val="clear" w:color="000000" w:fill="FFFFFF"/>
      </w:tcPr>
    </w:tblStylePr>
    <w:tblStylePr w:type="lastRow">
      <w:rPr>
        <w:b/>
        <w:bCs/>
        <w:color w:val="000000"/>
      </w:rPr>
      <w:tblPr/>
      <w:tcPr>
        <w:tcBorders>
          <w:top w:val="single" w:sz="6" w:space="0" w:color="000000"/>
        </w:tcBorders>
        <w:shd w:val="clear" w:color="000000" w:fill="FFFFFF"/>
      </w:tcPr>
    </w:tblStylePr>
    <w:tblStylePr w:type="firstCol">
      <w:rPr>
        <w:color w:val="000000"/>
      </w:rPr>
      <w:tblPr/>
      <w:tcPr>
        <w:tcBorders>
          <w:top w:val="nil"/>
          <w:left w:val="nil"/>
          <w:bottom w:val="nil"/>
          <w:right w:val="nil"/>
          <w:insideH w:val="single" w:sz="4" w:space="0" w:color="000000"/>
          <w:insideV w:val="nil"/>
        </w:tcBorders>
        <w:shd w:val="clear" w:color="000000" w:fill="FFFFFF"/>
      </w:tcPr>
    </w:tblStylePr>
    <w:tblStylePr w:type="lastCol">
      <w:rPr>
        <w:color w:val="000000"/>
      </w:rPr>
      <w:tblPr/>
      <w:tcPr>
        <w:tcBorders>
          <w:top w:val="nil"/>
          <w:left w:val="nil"/>
          <w:bottom w:val="nil"/>
          <w:right w:val="nil"/>
          <w:insideH w:val="nil"/>
          <w:insideV w:val="nil"/>
        </w:tcBorders>
        <w:shd w:val="clear" w:color="000000" w:fill="FFFFFF"/>
      </w:tcPr>
    </w:tblStylePr>
    <w:tblStylePr w:type="band1Vert">
      <w:tblPr/>
      <w:tcPr>
        <w:shd w:val="clear" w:color="000000" w:fill="FFFFFF"/>
      </w:tcPr>
    </w:tblStylePr>
    <w:tblStylePr w:type="band1Horz">
      <w:tblPr/>
      <w:tcPr>
        <w:shd w:val="clear" w:color="000000" w:fill="FFFFF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tcPr>
      <w:shd w:val="clear" w:color="000000" w:fill="FFFFFF"/>
    </w:tcPr>
    <w:tblStylePr w:type="firstRow">
      <w:rPr>
        <w:b/>
        <w:bCs/>
      </w:rPr>
      <w:tblPr/>
      <w:tcPr>
        <w:tcBorders>
          <w:top w:val="nil"/>
          <w:left w:val="nil"/>
          <w:bottom w:val="single" w:sz="24" w:space="0" w:color="000000"/>
          <w:right w:val="nil"/>
          <w:insideH w:val="nil"/>
          <w:insideV w:val="nil"/>
        </w:tcBorders>
        <w:shd w:val="clear" w:color="000000" w:fill="FFFFFF"/>
      </w:tcPr>
    </w:tblStylePr>
    <w:tblStylePr w:type="lastRow">
      <w:rPr>
        <w:b/>
        <w:bCs/>
        <w:color w:val="000000"/>
      </w:rPr>
      <w:tblPr/>
      <w:tcPr>
        <w:tcBorders>
          <w:top w:val="single" w:sz="6" w:space="0" w:color="000000"/>
        </w:tcBorders>
        <w:shd w:val="clear" w:color="000000" w:fill="FFFFFF"/>
      </w:tcPr>
    </w:tblStylePr>
    <w:tblStylePr w:type="firstCol">
      <w:rPr>
        <w:color w:val="000000"/>
      </w:rPr>
      <w:tblPr/>
      <w:tcPr>
        <w:tcBorders>
          <w:top w:val="nil"/>
          <w:left w:val="nil"/>
          <w:bottom w:val="nil"/>
          <w:right w:val="nil"/>
          <w:insideH w:val="single" w:sz="4" w:space="0" w:color="000000"/>
          <w:insideV w:val="nil"/>
        </w:tcBorders>
        <w:shd w:val="clear" w:color="000000" w:fill="FFFFFF"/>
      </w:tcPr>
    </w:tblStylePr>
    <w:tblStylePr w:type="lastCol">
      <w:rPr>
        <w:color w:val="000000"/>
      </w:rPr>
      <w:tblPr/>
      <w:tcPr>
        <w:tcBorders>
          <w:top w:val="nil"/>
          <w:left w:val="nil"/>
          <w:bottom w:val="nil"/>
          <w:right w:val="nil"/>
          <w:insideH w:val="nil"/>
          <w:insideV w:val="nil"/>
        </w:tcBorders>
        <w:shd w:val="clear" w:color="000000" w:fill="FFFFFF"/>
      </w:tcPr>
    </w:tblStylePr>
    <w:tblStylePr w:type="band1Vert">
      <w:tblPr/>
      <w:tcPr>
        <w:shd w:val="clear" w:color="000000" w:fill="FFFFFF"/>
      </w:tcPr>
    </w:tblStylePr>
    <w:tblStylePr w:type="band1Horz">
      <w:tblPr/>
      <w:tcPr>
        <w:shd w:val="clear" w:color="000000" w:fill="FFFFF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tcPr>
      <w:shd w:val="clear" w:color="000000" w:fill="FFFFFF"/>
    </w:tcPr>
    <w:tblStylePr w:type="firstRow">
      <w:rPr>
        <w:b/>
        <w:bCs/>
      </w:rPr>
      <w:tblPr/>
      <w:tcPr>
        <w:tcBorders>
          <w:top w:val="nil"/>
          <w:left w:val="nil"/>
          <w:bottom w:val="single" w:sz="24" w:space="0" w:color="000000"/>
          <w:right w:val="nil"/>
          <w:insideH w:val="nil"/>
          <w:insideV w:val="nil"/>
        </w:tcBorders>
        <w:shd w:val="clear" w:color="000000" w:fill="FFFFFF"/>
      </w:tcPr>
    </w:tblStylePr>
    <w:tblStylePr w:type="lastRow">
      <w:rPr>
        <w:b/>
        <w:bCs/>
        <w:color w:val="000000"/>
      </w:rPr>
      <w:tblPr/>
      <w:tcPr>
        <w:tcBorders>
          <w:top w:val="single" w:sz="6" w:space="0" w:color="000000"/>
        </w:tcBorders>
        <w:shd w:val="clear" w:color="000000" w:fill="FFFFFF"/>
      </w:tcPr>
    </w:tblStylePr>
    <w:tblStylePr w:type="firstCol">
      <w:rPr>
        <w:color w:val="000000"/>
      </w:rPr>
      <w:tblPr/>
      <w:tcPr>
        <w:tcBorders>
          <w:top w:val="nil"/>
          <w:left w:val="nil"/>
          <w:bottom w:val="nil"/>
          <w:right w:val="nil"/>
          <w:insideH w:val="single" w:sz="4" w:space="0" w:color="000000"/>
          <w:insideV w:val="nil"/>
        </w:tcBorders>
        <w:shd w:val="clear" w:color="000000" w:fill="FFFFFF"/>
      </w:tcPr>
    </w:tblStylePr>
    <w:tblStylePr w:type="lastCol">
      <w:rPr>
        <w:color w:val="000000"/>
      </w:rPr>
      <w:tblPr/>
      <w:tcPr>
        <w:tcBorders>
          <w:top w:val="nil"/>
          <w:left w:val="nil"/>
          <w:bottom w:val="nil"/>
          <w:right w:val="nil"/>
          <w:insideH w:val="nil"/>
          <w:insideV w:val="nil"/>
        </w:tcBorders>
        <w:shd w:val="clear" w:color="000000" w:fill="FFFFFF"/>
      </w:tcPr>
    </w:tblStylePr>
    <w:tblStylePr w:type="band1Vert">
      <w:tblPr/>
      <w:tcPr>
        <w:shd w:val="clear" w:color="000000" w:fill="FFFFFF"/>
      </w:tcPr>
    </w:tblStylePr>
    <w:tblStylePr w:type="band1Horz">
      <w:tblPr/>
      <w:tcPr>
        <w:shd w:val="clear" w:color="000000" w:fill="FFFFF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tcPr>
      <w:shd w:val="clear" w:color="000000" w:fill="FFFFFF"/>
    </w:tcPr>
    <w:tblStylePr w:type="firstRow">
      <w:rPr>
        <w:b/>
        <w:bCs/>
      </w:rPr>
      <w:tblPr/>
      <w:tcPr>
        <w:tcBorders>
          <w:top w:val="nil"/>
          <w:left w:val="nil"/>
          <w:bottom w:val="single" w:sz="24" w:space="0" w:color="000000"/>
          <w:right w:val="nil"/>
          <w:insideH w:val="nil"/>
          <w:insideV w:val="nil"/>
        </w:tcBorders>
        <w:shd w:val="clear" w:color="000000" w:fill="FFFFFF"/>
      </w:tcPr>
    </w:tblStylePr>
    <w:tblStylePr w:type="lastRow">
      <w:rPr>
        <w:b/>
        <w:bCs/>
        <w:color w:val="000000"/>
      </w:rPr>
      <w:tblPr/>
      <w:tcPr>
        <w:tcBorders>
          <w:top w:val="single" w:sz="6" w:space="0" w:color="000000"/>
        </w:tcBorders>
        <w:shd w:val="clear" w:color="000000" w:fill="FFFFFF"/>
      </w:tcPr>
    </w:tblStylePr>
    <w:tblStylePr w:type="firstCol">
      <w:rPr>
        <w:color w:val="000000"/>
      </w:rPr>
      <w:tblPr/>
      <w:tcPr>
        <w:tcBorders>
          <w:top w:val="nil"/>
          <w:left w:val="nil"/>
          <w:bottom w:val="nil"/>
          <w:right w:val="nil"/>
          <w:insideH w:val="single" w:sz="4" w:space="0" w:color="000000"/>
          <w:insideV w:val="nil"/>
        </w:tcBorders>
        <w:shd w:val="clear" w:color="000000" w:fill="FFFFFF"/>
      </w:tcPr>
    </w:tblStylePr>
    <w:tblStylePr w:type="lastCol">
      <w:rPr>
        <w:color w:val="000000"/>
      </w:rPr>
      <w:tblPr/>
      <w:tcPr>
        <w:tcBorders>
          <w:top w:val="nil"/>
          <w:left w:val="nil"/>
          <w:bottom w:val="nil"/>
          <w:right w:val="nil"/>
          <w:insideH w:val="nil"/>
          <w:insideV w:val="nil"/>
        </w:tcBorders>
        <w:shd w:val="clear" w:color="000000" w:fill="FFFFFF"/>
      </w:tcPr>
    </w:tblStylePr>
    <w:tblStylePr w:type="band1Vert">
      <w:tblPr/>
      <w:tcPr>
        <w:shd w:val="clear" w:color="000000" w:fill="FFFFFF"/>
      </w:tcPr>
    </w:tblStylePr>
    <w:tblStylePr w:type="band1Horz">
      <w:tblPr/>
      <w:tcPr>
        <w:shd w:val="clear" w:color="000000" w:fill="FFFFF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tcPr>
      <w:shd w:val="clear" w:color="000000" w:fill="FFFFFF"/>
    </w:tcPr>
    <w:tblStylePr w:type="firstRow">
      <w:rPr>
        <w:b/>
        <w:bCs/>
      </w:rPr>
      <w:tblPr/>
      <w:tcPr>
        <w:tcBorders>
          <w:top w:val="nil"/>
          <w:left w:val="nil"/>
          <w:bottom w:val="single" w:sz="24" w:space="0" w:color="000000"/>
          <w:right w:val="nil"/>
          <w:insideH w:val="nil"/>
          <w:insideV w:val="nil"/>
        </w:tcBorders>
        <w:shd w:val="clear" w:color="000000" w:fill="FFFFFF"/>
      </w:tcPr>
    </w:tblStylePr>
    <w:tblStylePr w:type="lastRow">
      <w:rPr>
        <w:b/>
        <w:bCs/>
        <w:color w:val="000000"/>
      </w:rPr>
      <w:tblPr/>
      <w:tcPr>
        <w:tcBorders>
          <w:top w:val="single" w:sz="6" w:space="0" w:color="000000"/>
        </w:tcBorders>
        <w:shd w:val="clear" w:color="000000" w:fill="FFFFFF"/>
      </w:tcPr>
    </w:tblStylePr>
    <w:tblStylePr w:type="firstCol">
      <w:rPr>
        <w:color w:val="000000"/>
      </w:rPr>
      <w:tblPr/>
      <w:tcPr>
        <w:tcBorders>
          <w:top w:val="nil"/>
          <w:left w:val="nil"/>
          <w:bottom w:val="nil"/>
          <w:right w:val="nil"/>
          <w:insideH w:val="single" w:sz="4" w:space="0" w:color="000000"/>
          <w:insideV w:val="nil"/>
        </w:tcBorders>
        <w:shd w:val="clear" w:color="000000" w:fill="FFFFFF"/>
      </w:tcPr>
    </w:tblStylePr>
    <w:tblStylePr w:type="lastCol">
      <w:rPr>
        <w:color w:val="000000"/>
      </w:rPr>
      <w:tblPr/>
      <w:tcPr>
        <w:tcBorders>
          <w:top w:val="nil"/>
          <w:left w:val="nil"/>
          <w:bottom w:val="nil"/>
          <w:right w:val="nil"/>
          <w:insideH w:val="nil"/>
          <w:insideV w:val="nil"/>
        </w:tcBorders>
        <w:shd w:val="clear" w:color="000000" w:fill="FFFFFF"/>
      </w:tcPr>
    </w:tblStylePr>
    <w:tblStylePr w:type="band1Vert">
      <w:tblPr/>
      <w:tcPr>
        <w:shd w:val="clear" w:color="000000" w:fill="FFFFFF"/>
      </w:tcPr>
    </w:tblStylePr>
    <w:tblStylePr w:type="band1Horz">
      <w:tblPr/>
      <w:tcPr>
        <w:shd w:val="clear" w:color="000000" w:fill="FFFFF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tcPr>
      <w:shd w:val="clear" w:color="000000" w:fill="FFFFFF"/>
    </w:tcPr>
    <w:tblStylePr w:type="firstRow">
      <w:rPr>
        <w:b/>
        <w:bCs/>
      </w:rPr>
      <w:tblPr/>
      <w:tcPr>
        <w:tcBorders>
          <w:top w:val="nil"/>
          <w:left w:val="nil"/>
          <w:bottom w:val="single" w:sz="24" w:space="0" w:color="000000"/>
          <w:right w:val="nil"/>
          <w:insideH w:val="nil"/>
          <w:insideV w:val="nil"/>
        </w:tcBorders>
        <w:shd w:val="clear" w:color="000000" w:fill="FFFFFF"/>
      </w:tcPr>
    </w:tblStylePr>
    <w:tblStylePr w:type="lastRow">
      <w:rPr>
        <w:b/>
        <w:bCs/>
        <w:color w:val="000000"/>
      </w:rPr>
      <w:tblPr/>
      <w:tcPr>
        <w:tcBorders>
          <w:top w:val="single" w:sz="6" w:space="0" w:color="000000"/>
        </w:tcBorders>
        <w:shd w:val="clear" w:color="000000" w:fill="FFFFFF"/>
      </w:tcPr>
    </w:tblStylePr>
    <w:tblStylePr w:type="firstCol">
      <w:rPr>
        <w:color w:val="000000"/>
      </w:rPr>
      <w:tblPr/>
      <w:tcPr>
        <w:tcBorders>
          <w:top w:val="nil"/>
          <w:left w:val="nil"/>
          <w:bottom w:val="nil"/>
          <w:right w:val="nil"/>
          <w:insideH w:val="single" w:sz="4" w:space="0" w:color="000000"/>
          <w:insideV w:val="nil"/>
        </w:tcBorders>
        <w:shd w:val="clear" w:color="000000" w:fill="FFFFFF"/>
      </w:tcPr>
    </w:tblStylePr>
    <w:tblStylePr w:type="lastCol">
      <w:rPr>
        <w:color w:val="000000"/>
      </w:rPr>
      <w:tblPr/>
      <w:tcPr>
        <w:tcBorders>
          <w:top w:val="nil"/>
          <w:left w:val="nil"/>
          <w:bottom w:val="nil"/>
          <w:right w:val="nil"/>
          <w:insideH w:val="nil"/>
          <w:insideV w:val="nil"/>
        </w:tcBorders>
        <w:shd w:val="clear" w:color="000000" w:fill="FFFFFF"/>
      </w:tcPr>
    </w:tblStylePr>
    <w:tblStylePr w:type="band1Vert">
      <w:tblPr/>
      <w:tcPr>
        <w:shd w:val="clear" w:color="000000" w:fill="FFFFFF"/>
      </w:tcPr>
    </w:tblStylePr>
    <w:tblStylePr w:type="band1Horz">
      <w:tblPr/>
      <w:tcPr>
        <w:shd w:val="clear" w:color="000000" w:fill="FFFFF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000000" w:fill="FFFFFF"/>
    </w:tcPr>
    <w:tblStylePr w:type="firstRow">
      <w:rPr>
        <w:b/>
        <w:bCs/>
        <w:color w:val="000000"/>
      </w:rPr>
      <w:tblPr/>
      <w:tcPr>
        <w:tcBorders>
          <w:bottom w:val="single" w:sz="12" w:space="0" w:color="000000"/>
        </w:tcBorders>
        <w:shd w:val="clear" w:color="000000" w:fill="FFFFFF"/>
      </w:tcPr>
    </w:tblStylePr>
    <w:tblStylePr w:type="lastRow">
      <w:rPr>
        <w:b/>
        <w:bCs/>
        <w:color w:val="000000"/>
      </w:rPr>
      <w:tblPr/>
      <w:tcPr>
        <w:tcBorders>
          <w:top w:val="single" w:sz="12" w:space="0" w:color="000000"/>
        </w:tcBorders>
        <w:shd w:val="clear" w:color="000000"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000000" w:fill="FFFFFF"/>
      </w:tcPr>
    </w:tblStylePr>
    <w:tblStylePr w:type="band1Horz">
      <w:tblPr/>
      <w:tcPr>
        <w:shd w:val="clear" w:color="000000" w:fill="FFFFFF"/>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000000" w:fill="FFFFFF"/>
    </w:tcPr>
    <w:tblStylePr w:type="firstRow">
      <w:rPr>
        <w:b/>
        <w:bCs/>
        <w:color w:val="000000"/>
      </w:rPr>
      <w:tblPr/>
      <w:tcPr>
        <w:tcBorders>
          <w:bottom w:val="single" w:sz="12" w:space="0" w:color="000000"/>
        </w:tcBorders>
        <w:shd w:val="clear" w:color="000000" w:fill="FFFFFF"/>
      </w:tcPr>
    </w:tblStylePr>
    <w:tblStylePr w:type="lastRow">
      <w:rPr>
        <w:b/>
        <w:bCs/>
        <w:color w:val="000000"/>
      </w:rPr>
      <w:tblPr/>
      <w:tcPr>
        <w:tcBorders>
          <w:top w:val="single" w:sz="12" w:space="0" w:color="000000"/>
        </w:tcBorders>
        <w:shd w:val="clear" w:color="000000"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000000" w:fill="FFFFFF"/>
      </w:tcPr>
    </w:tblStylePr>
    <w:tblStylePr w:type="band1Horz">
      <w:tblPr/>
      <w:tcPr>
        <w:shd w:val="clear" w:color="000000" w:fill="FFFFFF"/>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000000" w:fill="FFFFFF"/>
    </w:tcPr>
    <w:tblStylePr w:type="firstRow">
      <w:rPr>
        <w:b/>
        <w:bCs/>
        <w:color w:val="000000"/>
      </w:rPr>
      <w:tblPr/>
      <w:tcPr>
        <w:tcBorders>
          <w:bottom w:val="single" w:sz="12" w:space="0" w:color="000000"/>
        </w:tcBorders>
        <w:shd w:val="clear" w:color="000000" w:fill="FFFFFF"/>
      </w:tcPr>
    </w:tblStylePr>
    <w:tblStylePr w:type="lastRow">
      <w:rPr>
        <w:b/>
        <w:bCs/>
        <w:color w:val="000000"/>
      </w:rPr>
      <w:tblPr/>
      <w:tcPr>
        <w:tcBorders>
          <w:top w:val="single" w:sz="12" w:space="0" w:color="000000"/>
        </w:tcBorders>
        <w:shd w:val="clear" w:color="000000"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000000" w:fill="FFFFFF"/>
      </w:tcPr>
    </w:tblStylePr>
    <w:tblStylePr w:type="band1Horz">
      <w:tblPr/>
      <w:tcPr>
        <w:shd w:val="clear" w:color="000000" w:fill="FFFFFF"/>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000000" w:fill="FFFFFF"/>
    </w:tcPr>
    <w:tblStylePr w:type="firstRow">
      <w:rPr>
        <w:b/>
        <w:bCs/>
        <w:color w:val="000000"/>
      </w:rPr>
      <w:tblPr/>
      <w:tcPr>
        <w:tcBorders>
          <w:bottom w:val="single" w:sz="12" w:space="0" w:color="000000"/>
        </w:tcBorders>
        <w:shd w:val="clear" w:color="000000" w:fill="FFFFFF"/>
      </w:tcPr>
    </w:tblStylePr>
    <w:tblStylePr w:type="lastRow">
      <w:rPr>
        <w:b/>
        <w:bCs/>
        <w:color w:val="000000"/>
      </w:rPr>
      <w:tblPr/>
      <w:tcPr>
        <w:tcBorders>
          <w:top w:val="single" w:sz="12" w:space="0" w:color="000000"/>
        </w:tcBorders>
        <w:shd w:val="clear" w:color="000000"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000000" w:fill="FFFFFF"/>
      </w:tcPr>
    </w:tblStylePr>
    <w:tblStylePr w:type="band1Horz">
      <w:tblPr/>
      <w:tcPr>
        <w:shd w:val="clear" w:color="000000" w:fill="FFFFFF"/>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000000" w:fill="FFFFFF"/>
    </w:tcPr>
    <w:tblStylePr w:type="firstRow">
      <w:rPr>
        <w:b/>
        <w:bCs/>
        <w:color w:val="000000"/>
      </w:rPr>
      <w:tblPr/>
      <w:tcPr>
        <w:tcBorders>
          <w:bottom w:val="single" w:sz="12" w:space="0" w:color="000000"/>
        </w:tcBorders>
        <w:shd w:val="clear" w:color="000000" w:fill="FFFFFF"/>
      </w:tcPr>
    </w:tblStylePr>
    <w:tblStylePr w:type="lastRow">
      <w:rPr>
        <w:b/>
        <w:bCs/>
        <w:color w:val="000000"/>
      </w:rPr>
      <w:tblPr/>
      <w:tcPr>
        <w:tcBorders>
          <w:top w:val="single" w:sz="12" w:space="0" w:color="000000"/>
        </w:tcBorders>
        <w:shd w:val="clear" w:color="000000"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000000" w:fill="FFFFFF"/>
      </w:tcPr>
    </w:tblStylePr>
    <w:tblStylePr w:type="band1Horz">
      <w:tblPr/>
      <w:tcPr>
        <w:shd w:val="clear" w:color="000000" w:fill="FFFFFF"/>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000000" w:fill="FFFFFF"/>
    </w:tcPr>
    <w:tblStylePr w:type="firstRow">
      <w:rPr>
        <w:b/>
        <w:bCs/>
        <w:color w:val="000000"/>
      </w:rPr>
      <w:tblPr/>
      <w:tcPr>
        <w:tcBorders>
          <w:bottom w:val="single" w:sz="12" w:space="0" w:color="000000"/>
        </w:tcBorders>
        <w:shd w:val="clear" w:color="000000" w:fill="FFFFFF"/>
      </w:tcPr>
    </w:tblStylePr>
    <w:tblStylePr w:type="lastRow">
      <w:rPr>
        <w:b/>
        <w:bCs/>
        <w:color w:val="000000"/>
      </w:rPr>
      <w:tblPr/>
      <w:tcPr>
        <w:tcBorders>
          <w:top w:val="single" w:sz="12" w:space="0" w:color="000000"/>
        </w:tcBorders>
        <w:shd w:val="clear" w:color="000000"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000000" w:fill="FFFFFF"/>
      </w:tcPr>
    </w:tblStylePr>
    <w:tblStylePr w:type="band1Horz">
      <w:tblPr/>
      <w:tcPr>
        <w:shd w:val="clear" w:color="000000" w:fill="FFFFFF"/>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000000" w:fill="FFFFFF"/>
    </w:tcPr>
    <w:tblStylePr w:type="firstRow">
      <w:rPr>
        <w:b/>
        <w:bCs/>
        <w:color w:val="000000"/>
      </w:rPr>
      <w:tblPr/>
      <w:tcPr>
        <w:tcBorders>
          <w:bottom w:val="single" w:sz="12" w:space="0" w:color="000000"/>
        </w:tcBorders>
        <w:shd w:val="clear" w:color="000000" w:fill="FFFFFF"/>
      </w:tcPr>
    </w:tblStylePr>
    <w:tblStylePr w:type="lastRow">
      <w:rPr>
        <w:b/>
        <w:bCs/>
        <w:color w:val="000000"/>
      </w:rPr>
      <w:tblPr/>
      <w:tcPr>
        <w:tcBorders>
          <w:top w:val="single" w:sz="12" w:space="0" w:color="000000"/>
        </w:tcBorders>
        <w:shd w:val="clear" w:color="000000"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000000" w:fill="FFFFFF"/>
      </w:tcPr>
    </w:tblStylePr>
    <w:tblStylePr w:type="band1Horz">
      <w:tblPr/>
      <w:tcPr>
        <w:shd w:val="clear" w:color="000000" w:fill="FFFFFF"/>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000000"/>
      </w:tblBorders>
      <w:tblCellMar>
        <w:top w:w="0" w:type="dxa"/>
        <w:left w:w="108" w:type="dxa"/>
        <w:bottom w:w="0" w:type="dxa"/>
        <w:right w:w="108" w:type="dxa"/>
      </w:tblCellMar>
    </w:tblPr>
    <w:tcPr>
      <w:shd w:val="clear" w:color="000000" w:fill="FFFFFF"/>
    </w:tcPr>
    <w:tblStylePr w:type="firstRow">
      <w:rPr>
        <w:b/>
        <w:bCs/>
      </w:rPr>
      <w:tblPr/>
      <w:tcPr>
        <w:shd w:val="clear" w:color="000000" w:fill="FFFFFF"/>
      </w:tcPr>
    </w:tblStylePr>
    <w:tblStylePr w:type="lastRow">
      <w:rPr>
        <w:b/>
        <w:bCs/>
        <w:color w:val="000000"/>
      </w:rPr>
      <w:tblPr/>
      <w:tcPr>
        <w:shd w:val="clear" w:color="000000" w:fill="FFFFFF"/>
      </w:tcPr>
    </w:tblStylePr>
    <w:tblStylePr w:type="firstCol">
      <w:rPr>
        <w:color w:val="000000"/>
      </w:rPr>
      <w:tblPr/>
      <w:tcPr>
        <w:shd w:val="clear" w:color="000000" w:fill="FFFFFF"/>
      </w:tcPr>
    </w:tblStylePr>
    <w:tblStylePr w:type="lastCol">
      <w:rPr>
        <w:color w:val="000000"/>
      </w:rPr>
      <w:tblPr/>
      <w:tcPr>
        <w:shd w:val="clear" w:color="000000" w:fill="FFFFFF"/>
      </w:tcPr>
    </w:tblStylePr>
    <w:tblStylePr w:type="band1Vert">
      <w:tblPr/>
      <w:tcPr>
        <w:shd w:val="clear" w:color="000000" w:fill="FFFFFF"/>
      </w:tcPr>
    </w:tblStylePr>
    <w:tblStylePr w:type="band1Horz">
      <w:tblPr/>
      <w:tcPr>
        <w:shd w:val="clear" w:color="000000" w:fill="FFFFF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000000"/>
      </w:tblBorders>
      <w:tblCellMar>
        <w:top w:w="0" w:type="dxa"/>
        <w:left w:w="108" w:type="dxa"/>
        <w:bottom w:w="0" w:type="dxa"/>
        <w:right w:w="108" w:type="dxa"/>
      </w:tblCellMar>
    </w:tblPr>
    <w:tcPr>
      <w:shd w:val="clear" w:color="000000" w:fill="FFFFFF"/>
    </w:tcPr>
    <w:tblStylePr w:type="firstRow">
      <w:rPr>
        <w:b/>
        <w:bCs/>
      </w:rPr>
      <w:tblPr/>
      <w:tcPr>
        <w:shd w:val="clear" w:color="000000" w:fill="FFFFFF"/>
      </w:tcPr>
    </w:tblStylePr>
    <w:tblStylePr w:type="lastRow">
      <w:rPr>
        <w:b/>
        <w:bCs/>
        <w:color w:val="000000"/>
      </w:rPr>
      <w:tblPr/>
      <w:tcPr>
        <w:shd w:val="clear" w:color="000000" w:fill="FFFFFF"/>
      </w:tcPr>
    </w:tblStylePr>
    <w:tblStylePr w:type="firstCol">
      <w:rPr>
        <w:color w:val="000000"/>
      </w:rPr>
      <w:tblPr/>
      <w:tcPr>
        <w:shd w:val="clear" w:color="000000" w:fill="FFFFFF"/>
      </w:tcPr>
    </w:tblStylePr>
    <w:tblStylePr w:type="lastCol">
      <w:rPr>
        <w:color w:val="000000"/>
      </w:rPr>
      <w:tblPr/>
      <w:tcPr>
        <w:shd w:val="clear" w:color="000000" w:fill="FFFFFF"/>
      </w:tcPr>
    </w:tblStylePr>
    <w:tblStylePr w:type="band1Vert">
      <w:tblPr/>
      <w:tcPr>
        <w:shd w:val="clear" w:color="000000" w:fill="FFFFFF"/>
      </w:tcPr>
    </w:tblStylePr>
    <w:tblStylePr w:type="band1Horz">
      <w:tblPr/>
      <w:tcPr>
        <w:shd w:val="clear" w:color="000000" w:fill="FFFFF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000000"/>
      </w:tblBorders>
      <w:tblCellMar>
        <w:top w:w="0" w:type="dxa"/>
        <w:left w:w="108" w:type="dxa"/>
        <w:bottom w:w="0" w:type="dxa"/>
        <w:right w:w="108" w:type="dxa"/>
      </w:tblCellMar>
    </w:tblPr>
    <w:tcPr>
      <w:shd w:val="clear" w:color="000000" w:fill="FFFFFF"/>
    </w:tcPr>
    <w:tblStylePr w:type="firstRow">
      <w:rPr>
        <w:b/>
        <w:bCs/>
      </w:rPr>
      <w:tblPr/>
      <w:tcPr>
        <w:shd w:val="clear" w:color="000000" w:fill="FFFFFF"/>
      </w:tcPr>
    </w:tblStylePr>
    <w:tblStylePr w:type="lastRow">
      <w:rPr>
        <w:b/>
        <w:bCs/>
        <w:color w:val="000000"/>
      </w:rPr>
      <w:tblPr/>
      <w:tcPr>
        <w:shd w:val="clear" w:color="000000" w:fill="FFFFFF"/>
      </w:tcPr>
    </w:tblStylePr>
    <w:tblStylePr w:type="firstCol">
      <w:rPr>
        <w:color w:val="000000"/>
      </w:rPr>
      <w:tblPr/>
      <w:tcPr>
        <w:shd w:val="clear" w:color="000000" w:fill="FFFFFF"/>
      </w:tcPr>
    </w:tblStylePr>
    <w:tblStylePr w:type="lastCol">
      <w:rPr>
        <w:color w:val="000000"/>
      </w:rPr>
      <w:tblPr/>
      <w:tcPr>
        <w:shd w:val="clear" w:color="000000" w:fill="FFFFFF"/>
      </w:tcPr>
    </w:tblStylePr>
    <w:tblStylePr w:type="band1Vert">
      <w:tblPr/>
      <w:tcPr>
        <w:shd w:val="clear" w:color="000000" w:fill="FFFFFF"/>
      </w:tcPr>
    </w:tblStylePr>
    <w:tblStylePr w:type="band1Horz">
      <w:tblPr/>
      <w:tcPr>
        <w:shd w:val="clear" w:color="000000" w:fill="FFFFF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000000"/>
      </w:tblBorders>
      <w:tblCellMar>
        <w:top w:w="0" w:type="dxa"/>
        <w:left w:w="108" w:type="dxa"/>
        <w:bottom w:w="0" w:type="dxa"/>
        <w:right w:w="108" w:type="dxa"/>
      </w:tblCellMar>
    </w:tblPr>
    <w:tcPr>
      <w:shd w:val="clear" w:color="000000" w:fill="FFFFFF"/>
    </w:tcPr>
    <w:tblStylePr w:type="firstRow">
      <w:rPr>
        <w:b/>
        <w:bCs/>
      </w:rPr>
      <w:tblPr/>
      <w:tcPr>
        <w:shd w:val="clear" w:color="000000" w:fill="FFFFFF"/>
      </w:tcPr>
    </w:tblStylePr>
    <w:tblStylePr w:type="lastRow">
      <w:rPr>
        <w:b/>
        <w:bCs/>
        <w:color w:val="000000"/>
      </w:rPr>
      <w:tblPr/>
      <w:tcPr>
        <w:shd w:val="clear" w:color="000000" w:fill="FFFFFF"/>
      </w:tcPr>
    </w:tblStylePr>
    <w:tblStylePr w:type="firstCol">
      <w:rPr>
        <w:color w:val="000000"/>
      </w:rPr>
      <w:tblPr/>
      <w:tcPr>
        <w:shd w:val="clear" w:color="000000" w:fill="FFFFFF"/>
      </w:tcPr>
    </w:tblStylePr>
    <w:tblStylePr w:type="lastCol">
      <w:rPr>
        <w:color w:val="000000"/>
      </w:rPr>
      <w:tblPr/>
      <w:tcPr>
        <w:shd w:val="clear" w:color="000000" w:fill="FFFFFF"/>
      </w:tcPr>
    </w:tblStylePr>
    <w:tblStylePr w:type="band1Vert">
      <w:tblPr/>
      <w:tcPr>
        <w:shd w:val="clear" w:color="000000" w:fill="FFFFFF"/>
      </w:tcPr>
    </w:tblStylePr>
    <w:tblStylePr w:type="band1Horz">
      <w:tblPr/>
      <w:tcPr>
        <w:shd w:val="clear" w:color="000000" w:fill="FFFFF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000000"/>
      </w:tblBorders>
      <w:tblCellMar>
        <w:top w:w="0" w:type="dxa"/>
        <w:left w:w="108" w:type="dxa"/>
        <w:bottom w:w="0" w:type="dxa"/>
        <w:right w:w="108" w:type="dxa"/>
      </w:tblCellMar>
    </w:tblPr>
    <w:tcPr>
      <w:shd w:val="clear" w:color="000000" w:fill="FFFFFF"/>
    </w:tcPr>
    <w:tblStylePr w:type="firstRow">
      <w:rPr>
        <w:b/>
        <w:bCs/>
      </w:rPr>
      <w:tblPr/>
      <w:tcPr>
        <w:shd w:val="clear" w:color="000000" w:fill="FFFFFF"/>
      </w:tcPr>
    </w:tblStylePr>
    <w:tblStylePr w:type="lastRow">
      <w:rPr>
        <w:b/>
        <w:bCs/>
        <w:color w:val="000000"/>
      </w:rPr>
      <w:tblPr/>
      <w:tcPr>
        <w:shd w:val="clear" w:color="000000" w:fill="FFFFFF"/>
      </w:tcPr>
    </w:tblStylePr>
    <w:tblStylePr w:type="firstCol">
      <w:rPr>
        <w:color w:val="000000"/>
      </w:rPr>
      <w:tblPr/>
      <w:tcPr>
        <w:shd w:val="clear" w:color="000000" w:fill="FFFFFF"/>
      </w:tcPr>
    </w:tblStylePr>
    <w:tblStylePr w:type="lastCol">
      <w:rPr>
        <w:color w:val="000000"/>
      </w:rPr>
      <w:tblPr/>
      <w:tcPr>
        <w:shd w:val="clear" w:color="000000" w:fill="FFFFFF"/>
      </w:tcPr>
    </w:tblStylePr>
    <w:tblStylePr w:type="band1Vert">
      <w:tblPr/>
      <w:tcPr>
        <w:shd w:val="clear" w:color="000000" w:fill="FFFFFF"/>
      </w:tcPr>
    </w:tblStylePr>
    <w:tblStylePr w:type="band1Horz">
      <w:tblPr/>
      <w:tcPr>
        <w:shd w:val="clear" w:color="000000" w:fill="FFFFF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000000"/>
      </w:tblBorders>
      <w:tblCellMar>
        <w:top w:w="0" w:type="dxa"/>
        <w:left w:w="108" w:type="dxa"/>
        <w:bottom w:w="0" w:type="dxa"/>
        <w:right w:w="108" w:type="dxa"/>
      </w:tblCellMar>
    </w:tblPr>
    <w:tcPr>
      <w:shd w:val="clear" w:color="000000" w:fill="FFFFFF"/>
    </w:tcPr>
    <w:tblStylePr w:type="firstRow">
      <w:rPr>
        <w:b/>
        <w:bCs/>
      </w:rPr>
      <w:tblPr/>
      <w:tcPr>
        <w:shd w:val="clear" w:color="000000" w:fill="FFFFFF"/>
      </w:tcPr>
    </w:tblStylePr>
    <w:tblStylePr w:type="lastRow">
      <w:rPr>
        <w:b/>
        <w:bCs/>
        <w:color w:val="000000"/>
      </w:rPr>
      <w:tblPr/>
      <w:tcPr>
        <w:shd w:val="clear" w:color="000000" w:fill="FFFFFF"/>
      </w:tcPr>
    </w:tblStylePr>
    <w:tblStylePr w:type="firstCol">
      <w:rPr>
        <w:color w:val="000000"/>
      </w:rPr>
      <w:tblPr/>
      <w:tcPr>
        <w:shd w:val="clear" w:color="000000" w:fill="FFFFFF"/>
      </w:tcPr>
    </w:tblStylePr>
    <w:tblStylePr w:type="lastCol">
      <w:rPr>
        <w:color w:val="000000"/>
      </w:rPr>
      <w:tblPr/>
      <w:tcPr>
        <w:shd w:val="clear" w:color="000000" w:fill="FFFFFF"/>
      </w:tcPr>
    </w:tblStylePr>
    <w:tblStylePr w:type="band1Vert">
      <w:tblPr/>
      <w:tcPr>
        <w:shd w:val="clear" w:color="000000" w:fill="FFFFFF"/>
      </w:tcPr>
    </w:tblStylePr>
    <w:tblStylePr w:type="band1Horz">
      <w:tblPr/>
      <w:tcPr>
        <w:shd w:val="clear" w:color="000000" w:fill="FFFFF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000000"/>
      </w:tblBorders>
      <w:tblCellMar>
        <w:top w:w="0" w:type="dxa"/>
        <w:left w:w="108" w:type="dxa"/>
        <w:bottom w:w="0" w:type="dxa"/>
        <w:right w:w="108" w:type="dxa"/>
      </w:tblCellMar>
    </w:tblPr>
    <w:tcPr>
      <w:shd w:val="clear" w:color="000000" w:fill="FFFFFF"/>
    </w:tcPr>
    <w:tblStylePr w:type="firstRow">
      <w:rPr>
        <w:b/>
        <w:bCs/>
      </w:rPr>
      <w:tblPr/>
      <w:tcPr>
        <w:shd w:val="clear" w:color="000000" w:fill="FFFFFF"/>
      </w:tcPr>
    </w:tblStylePr>
    <w:tblStylePr w:type="lastRow">
      <w:rPr>
        <w:b/>
        <w:bCs/>
        <w:color w:val="000000"/>
      </w:rPr>
      <w:tblPr/>
      <w:tcPr>
        <w:shd w:val="clear" w:color="000000" w:fill="FFFFFF"/>
      </w:tcPr>
    </w:tblStylePr>
    <w:tblStylePr w:type="firstCol">
      <w:rPr>
        <w:color w:val="000000"/>
      </w:rPr>
      <w:tblPr/>
      <w:tcPr>
        <w:shd w:val="clear" w:color="000000" w:fill="FFFFFF"/>
      </w:tcPr>
    </w:tblStylePr>
    <w:tblStylePr w:type="lastCol">
      <w:rPr>
        <w:color w:val="000000"/>
      </w:rPr>
      <w:tblPr/>
      <w:tcPr>
        <w:shd w:val="clear" w:color="000000" w:fill="FFFFFF"/>
      </w:tcPr>
    </w:tblStylePr>
    <w:tblStylePr w:type="band1Vert">
      <w:tblPr/>
      <w:tcPr>
        <w:shd w:val="clear" w:color="000000" w:fill="FFFFFF"/>
      </w:tcPr>
    </w:tblStylePr>
    <w:tblStylePr w:type="band1Horz">
      <w:tblPr/>
      <w:tcPr>
        <w:shd w:val="clear" w:color="000000" w:fill="FFFFF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gong.io/conversation-intelligence" TargetMode="External"/><Relationship Id="rId12" Type="http://schemas.openxmlformats.org/officeDocument/2006/relationships/hyperlink" Target="https://www.salesloft.com/company/newsroom/salesloft-conversation-intelligence" TargetMode="External"/><Relationship Id="rId13" Type="http://schemas.openxmlformats.org/officeDocument/2006/relationships/hyperlink" Target="https://knowledge.hubspot.com/calling/review-call-recordings-and-transcripts" TargetMode="External"/><Relationship Id="rId14" Type="http://schemas.openxmlformats.org/officeDocument/2006/relationships/hyperlink" Target="https://learn.microsoft.com/en-us/dynamics365/sales/faq-conversation-intelligence" TargetMode="External"/><Relationship Id="rId15" Type="http://schemas.openxmlformats.org/officeDocument/2006/relationships/hyperlink" Target="https://help.gong.io/docs/explore-call-content" TargetMode="External"/><Relationship Id="rId16" Type="http://schemas.openxmlformats.org/officeDocument/2006/relationships/hyperlink" Target="https://help.salesloft.com/s/article/Conversation-Intelligence-Call-Review-Page-UI-Reference?language=en_US" TargetMode="External"/><Relationship Id="rId17" Type="http://schemas.openxmlformats.org/officeDocument/2006/relationships/hyperlink" Target="https://learn.microsoft.com/en-us/dynamics365/sales/view-and-understand-call-summary-sales-app" TargetMode="External"/><Relationship Id="rId18" Type="http://schemas.openxmlformats.org/officeDocument/2006/relationships/hyperlink" Target="https://help.gong.io/docs/crm-integrations" TargetMode="External"/><Relationship Id="rId19" Type="http://schemas.openxmlformats.org/officeDocument/2006/relationships/hyperlink" Target="https://help.salesloft.com/s/article/Integrate-Salesforce-with-Conversation-Intelligence?language=en_US" TargetMode="External"/><Relationship Id="rId20" Type="http://schemas.openxmlformats.org/officeDocument/2006/relationships/hyperlink" Target="https://learn.microsoft.com/en-us/dynamics365/sales/language-support-conversation-intelligence" TargetMode="External"/><Relationship Id="rId21" Type="http://schemas.openxmlformats.org/officeDocument/2006/relationships/hyperlink" Target="https://help.gong.io/docs/en/analyze-team-performance" TargetMode="External"/><Relationship Id="rId22" Type="http://schemas.openxmlformats.org/officeDocument/2006/relationships/hyperlink" Target="https://help.salesloft.com/s/article/Set-Up-Topics-and-Filters-in-Conversation-Intelligence?language=en_US" TargetMode="External"/><Relationship Id="rId23" Type="http://schemas.openxmlformats.org/officeDocument/2006/relationships/hyperlink" Target="https://learn.microsoft.com/en-us/dynamics365/sales/dynamics365-sales-insights-app-home-page" TargetMode="External"/><Relationship Id="rId24" Type="http://schemas.openxmlformats.org/officeDocument/2006/relationships/hyperlink" Target="https://help.gong.io/docs/what-languages-are-supported-in-gong" TargetMode="External"/><Relationship Id="rId25" Type="http://schemas.openxmlformats.org/officeDocument/2006/relationships/hyperlink" Target="https://help.salesloft.com/s/article/Conversations-Transcripts?language=en_US" TargetMode="External"/><Relationship Id="rId26" Type="http://schemas.openxmlformats.org/officeDocument/2006/relationships/hyperlink" Target="https://knowledge.hubspot.com/help-and-resources/hubspot-language-offerings" TargetMode="External"/><Relationship Id="rId27" Type="http://schemas.openxmlformats.org/officeDocument/2006/relationships/hyperlink" Target="https://help.gong.io/docs/plans-and-seats" TargetMode="External"/><Relationship Id="rId28" Type="http://schemas.openxmlformats.org/officeDocument/2006/relationships/hyperlink" Target="https://learn.microsoft.com/en-us/dynamics365/sales/intro-admin-guide-sales-insights" TargetMode="External"/><Relationship Id="rId29" Type="http://schemas.openxmlformats.org/officeDocument/2006/relationships/hyperlink" Target="https://fastapi.tiangolo.com/features/" TargetMode="External"/><Relationship Id="rId30" Type="http://schemas.openxmlformats.org/officeDocument/2006/relationships/hyperlink" Target="https://docs.djangoproject.com/en/6.1/intro/overview/" TargetMode="External"/><Relationship Id="rId31" Type="http://schemas.openxmlformats.org/officeDocument/2006/relationships/hyperlink" Target="https://docs.nestjs.com/first-steps" TargetMode="External"/><Relationship Id="rId32" Type="http://schemas.openxmlformats.org/officeDocument/2006/relationships/hyperlink" Target="https://www.postgresql.org/docs/current/ddl-constraints.html" TargetMode="External"/><Relationship Id="rId33" Type="http://schemas.openxmlformats.org/officeDocument/2006/relationships/hyperlink" Target="https://www.postgresql.org/docs/current/datatype-json.html" TargetMode="External"/><Relationship Id="rId34" Type="http://schemas.openxmlformats.org/officeDocument/2006/relationships/hyperlink" Target="https://www.sqlite.org/whentouse.html" TargetMode="External"/><Relationship Id="rId35" Type="http://schemas.openxmlformats.org/officeDocument/2006/relationships/hyperlink" Target="https://www.mongodb.com/docs/manual/data-modeling/" TargetMode="External"/><Relationship Id="rId36" Type="http://schemas.openxmlformats.org/officeDocument/2006/relationships/hyperlink" Target="https://github.com/openai/whisper" TargetMode="External"/><Relationship Id="rId37" Type="http://schemas.openxmlformats.org/officeDocument/2006/relationships/hyperlink" Target="https://learn.microsoft.com/en-us/azure/ai-services/speech-service/speech-to-text" TargetMode="External"/><Relationship Id="rId38" Type="http://schemas.openxmlformats.org/officeDocument/2006/relationships/hyperlink" Target="https://cloud.google.com/speech-to-text/docs/batch-recognize" TargetMode="External"/><Relationship Id="rId39" Type="http://schemas.openxmlformats.org/officeDocument/2006/relationships/hyperlink" Target="https://docs.cloud.google.com/speech-to-text/docs/speech-to-text-supported-languages" TargetMode="External"/><Relationship Id="rId40" Type="http://schemas.openxmlformats.org/officeDocument/2006/relationships/hyperlink" Target="https://fastapi.tiangolo.com/tutorial/background-tasks/" TargetMode="External"/><Relationship Id="rId41" Type="http://schemas.openxmlformats.org/officeDocument/2006/relationships/hyperlink" Target="https://docs.celeryq.dev/en/stable/getting-started/introduction.html" TargetMode="External"/><Relationship Id="rId42" Type="http://schemas.openxmlformats.org/officeDocument/2006/relationships/image" Target="media/image1.png"/><Relationship Id="rId43" Type="http://schemas.openxmlformats.org/officeDocument/2006/relationships/image" Target="media/image2.png"/><Relationship Id="rId44" Type="http://schemas.openxmlformats.org/officeDocument/2006/relationships/image" Target="media/image3.png"/><Relationship Id="rId45" Type="http://schemas.openxmlformats.org/officeDocument/2006/relationships/hyperlink" Target="https://proceedings.mlr.press/v202/radford23a.html" TargetMode="External"/><Relationship Id="rId46" Type="http://schemas.openxmlformats.org/officeDocument/2006/relationships/hyperlink" Target="https://www.isca-archive.org/interspeech_2023/bain23_interspeech.html" TargetMode="External"/><Relationship Id="rId47" Type="http://schemas.openxmlformats.org/officeDocument/2006/relationships/hyperlink" Target="https://www.isca-archive.org/interspeech_2023/bredin23_interspeech.html" TargetMode="External"/><Relationship Id="rId48" Type="http://schemas.openxmlformats.org/officeDocument/2006/relationships/hyperlink" Target="https://www.isca-archive.org/interspeech_2022/mussakhojayeva22_interspeech.html" TargetMode="External"/><Relationship Id="rId49" Type="http://schemas.openxmlformats.org/officeDocument/2006/relationships/hyperlink" Target="https://aclanthology.org/2022.naacl-industry.6/" TargetMode="External"/><Relationship Id="rId50" Type="http://schemas.openxmlformats.org/officeDocument/2006/relationships/hyperlink" Target="https://aclanthology.org/2021.naacl-main.472/" TargetMode="External"/><Relationship Id="rId51" Type="http://schemas.openxmlformats.org/officeDocument/2006/relationships/hyperlink" Target="https://aclanthology.org/2022.naacl-main.415/" TargetMode="External"/><Relationship Id="rId52" Type="http://schemas.openxmlformats.org/officeDocument/2006/relationships/hyperlink" Target="https://doi.org/10.1145/3630106.3658996" TargetMode="External"/><Relationship Id="rId53" Type="http://schemas.openxmlformats.org/officeDocument/2006/relationships/hyperlink" Target="https://doi.org/10.1016/j.array.2026.100755" TargetMode="External"/><Relationship Id="rId54" Type="http://schemas.openxmlformats.org/officeDocument/2006/relationships/hyperlink" Target="https://aclanthology.org/2024.lrec-main.107/" TargetMode="External"/><Relationship Id="rId55" Type="http://schemas.openxmlformats.org/officeDocument/2006/relationships/hyperlink" Target="https://aclanthology.org/2022.emnlp-industry.49/" TargetMode="External"/><Relationship Id="rId56" Type="http://schemas.openxmlformats.org/officeDocument/2006/relationships/hyperlink" Target="https://doi.org/10.1016/j.ijresmar.2025.07.001" TargetMode="External"/><Relationship Id="rId57" Type="http://schemas.openxmlformats.org/officeDocument/2006/relationships/hyperlink" Target="https://doi.org/10.1016/j.jretconser.2024.103774" TargetMode="External"/><Relationship Id="rId58" Type="http://schemas.openxmlformats.org/officeDocument/2006/relationships/hyperlink" Target="https://doi.org/10.1177/0261927X231185520" TargetMode="External"/><Relationship Id="rId59" Type="http://schemas.openxmlformats.org/officeDocument/2006/relationships/hyperlink" Target="https://doi.org/10.1145/3474085.3478555" TargetMode="External"/><Relationship Id="rId60" Type="http://schemas.openxmlformats.org/officeDocument/2006/relationships/hyperlink" Target="https://archive.ics.uci.edu/dataset/222/bank+marketing" TargetMode="External"/><Relationship Id="rId61" Type="http://schemas.openxmlformats.org/officeDocument/2006/relationships/hyperlink" Target="https://doi.org/10.18653/v1/2022.naacl-industry.6" TargetMode="External"/><Relationship Id="rId62" Type="http://schemas.openxmlformats.org/officeDocument/2006/relationships/hyperlink" Target="https://doi.org/10.21437/Interspeech.2023-78" TargetMode="External"/><Relationship Id="rId63" Type="http://schemas.openxmlformats.org/officeDocument/2006/relationships/hyperlink" Target="https://doi.org/10.21437/Interspeech.2023-105" TargetMode="External"/><Relationship Id="rId64" Type="http://schemas.openxmlformats.org/officeDocument/2006/relationships/hyperlink" Target="https://doi.org/10.18653/v1/2022.emnlp-industry.49" TargetMode="External"/><Relationship Id="rId65" Type="http://schemas.openxmlformats.org/officeDocument/2006/relationships/hyperlink" Target="https://help.gong.io/docs/analyze-team-performance" TargetMode="External"/><Relationship Id="rId66" Type="http://schemas.openxmlformats.org/officeDocument/2006/relationships/hyperlink" Target="https://docs.cloud.google.com/speech-to-text/docs/batch-recognize" TargetMode="External"/><Relationship Id="rId67" Type="http://schemas.openxmlformats.org/officeDocument/2006/relationships/hyperlink" Target="https://doi.org/10.24432/C5K306" TargetMode="External"/><Relationship Id="rId68" Type="http://schemas.openxmlformats.org/officeDocument/2006/relationships/hyperlink" Target="https://doi.org/10.21437/Interspeech.2022-421" TargetMode="External"/><Relationship Id="rId69" Type="http://schemas.openxmlformats.org/officeDocument/2006/relationships/hyperlink" Target="https://www.salesloft.com/lp/conversational-intelligence" TargetMode="External"/><Relationship Id="rId70" Type="http://schemas.openxmlformats.org/officeDocument/2006/relationships/hyperlink" Target="https://doi.org/10.18653/v1/2022.naacl-main.415" TargetMode="External"/><Relationship Id="rId71" Type="http://schemas.openxmlformats.org/officeDocument/2006/relationships/hyperlink" Target="https://doi.org/10.18653/v1/2021.naacl-main.472" TargetMode="External"/><Relationship Id="rId72" Type="http://schemas.openxmlformats.org/officeDocument/2006/relationships/hyperlink" Target="https://help.salesloft.com/s/article/Conversation-Intelligence-in-Salesloft?language=en_U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00000"/>
      </a:dk2>
      <a:lt2>
        <a:srgbClr val="000000"/>
      </a:lt2>
      <a:accent1>
        <a:srgbClr val="000000"/>
      </a:accent1>
      <a:accent2>
        <a:srgbClr val="000000"/>
      </a:accent2>
      <a:accent3>
        <a:srgbClr val="000000"/>
      </a:accent3>
      <a:accent4>
        <a:srgbClr val="000000"/>
      </a:accent4>
      <a:accent5>
        <a:srgbClr val="000000"/>
      </a:accent5>
      <a:accent6>
        <a:srgbClr val="000000"/>
      </a:accent6>
      <a:hlink>
        <a:srgbClr val="000000"/>
      </a:hlink>
      <a:folHlink>
        <a:srgbClr val="00000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Sales analytics research and design</dc:title>
  <dc:subject>24 October 2026 research and design checkpoint</dc:subject>
  <dc:creator>Project team draft for review</dc:creator>
  <cp:keywords/>
  <dc:description>Prepared research and design draft; stakeholder and supervisor evidence pending.</dc:description>
  <cp:lastModifiedBy/>
  <cp:revision>1</cp:revision>
  <dcterms:created xsi:type="dcterms:W3CDTF">2013-12-23T23:15:00Z</dcterms:created>
  <dcterms:modified xsi:type="dcterms:W3CDTF">2013-12-23T23:15:00Z</dcterms:modified>
  <cp:category/>
</cp:coreProperties>
</file>