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Sales Analytics Research and Design</w:t>
      </w:r>
    </w:p>
    <w:p>
      <w:r>
        <w:rPr>
          <w:color w:val="000000"/>
        </w:rPr>
      </w:r>
      <w:r>
        <w:rPr>
          <w:b/>
          <w:color w:val="000000"/>
        </w:rPr>
        <w:t>Development of a Sales Analytics System Based on Data and Speech-to-Text Technology</w:t>
      </w:r>
      <w:r>
        <w:rPr>
          <w:color w:val="000000"/>
        </w:rPr>
      </w:r>
    </w:p>
    <w:p>
      <w:r>
        <w:rPr>
          <w:color w:val="000000"/>
        </w:rPr>
        <w:t>Checkpoint 24 October 2026  |  Prepared 22 October 2026</w:t>
      </w:r>
    </w:p>
    <w:p>
      <w:pPr>
        <w:pStyle w:val="Heading1"/>
      </w:pPr>
      <w:r>
        <w:rPr>
          <w:color w:val="000000"/>
        </w:rPr>
        <w:t>1 Project proposal</w:t>
      </w:r>
    </w:p>
    <w:tbl>
      <w:tblPr>
        <w:tblW w:type="auto" w:w="0"/>
        <w:jc w:val="center"/>
        <w:tblLayout w:type="fixed"/>
        <w:tblLook w:firstColumn="1" w:firstRow="1" w:lastColumn="0" w:lastRow="0" w:noHBand="0" w:noVBand="1" w:val="04A0"/>
      </w:tblPr>
      <w:tblGrid>
        <w:gridCol w:w="3672"/>
        <w:gridCol w:w="1008"/>
        <w:gridCol w:w="5126"/>
      </w:tblGrid>
      <w:tr>
        <w:trPr>
          <w:cantSplit/>
          <w:tblHeader w:val="true"/>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Team member</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Group</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responsibility</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Rashiduly Bekzat</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SE-2418</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Backend and data integration</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Taubasar Dameli Almabekkyzy</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SE-2402</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Frontend and API integration</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Amangeldiev Diasbek Yernarovich</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SE-2402</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Speech processing and evaluation</w:t>
            </w:r>
          </w:p>
        </w:tc>
      </w:tr>
    </w:tbl>
    <w:p>
      <w:pPr>
        <w:spacing w:line="60" w:lineRule="exact" w:after="80" w:before="0"/>
      </w:pPr>
      <w:r>
        <w:rPr>
          <w:color w:val="000000"/>
        </w:rPr>
      </w:r>
    </w:p>
    <w:p>
      <w:r>
        <w:rPr>
          <w:color w:val="000000"/>
        </w:rPr>
      </w:r>
      <w:r>
        <w:rPr>
          <w:b/>
          <w:color w:val="000000"/>
        </w:rPr>
        <w:t>Supervisor</w:t>
      </w:r>
      <w:r>
        <w:rPr>
          <w:color w:val="000000"/>
        </w:rPr>
        <w:t xml:space="preserve">  Orynbek Alibek Sarsenbekuly. English name spellings are working transliterations from the topic application; responsibilities are proposed for team agreement.</w:t>
      </w:r>
    </w:p>
    <w:p>
      <w:r>
        <w:rPr>
          <w:color w:val="000000"/>
        </w:rPr>
        <w:t>Sales records show what happened to a deal, but the reasons behind a decision often remain in a call recording. We propose a system that links recordings to sales records, creates timestamped transcripts and helps users review objections and next actions alongside sales metrics.</w:t>
      </w:r>
    </w:p>
    <w:p>
      <w:r>
        <w:rPr>
          <w:color w:val="000000"/>
        </w:rPr>
      </w:r>
      <w:r>
        <w:rPr>
          <w:b/>
          <w:color w:val="000000"/>
        </w:rPr>
        <w:t>Aim</w:t>
      </w:r>
      <w:r>
        <w:rPr>
          <w:color w:val="000000"/>
        </w:rPr>
        <w:t xml:space="preserve">  Develop and evaluate a prototype for Russian, Kazakh and mixed sales calls in which every extracted observation can be checked against its source.</w:t>
      </w:r>
    </w:p>
    <w:p>
      <w:r>
        <w:rPr>
          <w:color w:val="000000"/>
        </w:rPr>
        <w:t>Salespeople will review their own calls; managers will review their assigned team. Analysts will use authorized reports. Administrators will manage access and retention without automatically receiving access to call content.</w:t>
      </w:r>
    </w:p>
    <w:p>
      <w:pPr>
        <w:pStyle w:val="Heading2"/>
      </w:pPr>
      <w:r>
        <w:rPr>
          <w:color w:val="000000"/>
        </w:rPr>
        <w:t>Objectives and scope</w:t>
      </w:r>
    </w:p>
    <w:p>
      <w:r>
        <w:rPr>
          <w:color w:val="000000"/>
        </w:rPr>
        <w:t>We will confirm user needs and data access, define imports and sales metrics, build an asynchronous speech pipeline, add evidence and correction tools, and evaluate the result against simple baselines.</w:t>
      </w:r>
    </w:p>
    <w:p>
      <w:r>
        <w:rPr>
          <w:color w:val="000000"/>
        </w:rPr>
        <w:t>The MVP covers CSV sales imports, explicit call-to-deal links, authorized prerecorded audio, transcript review, objections and next actions, filtered dashboards and export. Speaker diarization is optional and its role labels require confirmation. Live assistance, autonomous CRM changes and employee ranking are outside the initial scope.</w:t>
      </w:r>
    </w:p>
    <w:p>
      <w:r>
        <w:rPr>
          <w:color w:val="000000"/>
        </w:rPr>
        <w:t>The expected outcome is a working research prototype with documented interfaces and reproducible evaluation. At this checkpoint, the completed work consists of desk research, public-data profiling and initial design and UX materials. Interviews, pilot recording access and supervisor feedback remain pending. A complete application is not required on 24 October.</w:t>
      </w:r>
    </w:p>
    <w:p>
      <w:pPr>
        <w:pStyle w:val="Heading1"/>
        <w:pageBreakBefore/>
      </w:pPr>
      <w:r>
        <w:rPr>
          <w:color w:val="000000"/>
        </w:rPr>
        <w:t>2 Evidence of relevance</w:t>
      </w:r>
    </w:p>
    <w:p>
      <w:r>
        <w:rPr>
          <w:color w:val="000000"/>
        </w:rPr>
        <w:t>The literature and the four compared products establish that speech can be combined with sales workflows. They do not yet show which features are useful for our intended users. We still need local evidence before treating the initial requirements as confirmed.</w:t>
      </w:r>
    </w:p>
    <w:p>
      <w:pPr>
        <w:pStyle w:val="Heading2"/>
      </w:pPr>
      <w:r>
        <w:rPr>
          <w:color w:val="000000"/>
        </w:rPr>
        <w:t>What the public data shows</w:t>
      </w:r>
    </w:p>
    <w:p>
      <w:r>
        <w:rPr>
          <w:color w:val="000000"/>
        </w:rPr>
        <w:t xml:space="preserve">We profiled the UCI Bank Marketing file bank-additional-full.csv. It contains </w:t>
      </w:r>
      <w:r>
        <w:rPr>
          <w:b/>
          <w:color w:val="000000"/>
        </w:rPr>
        <w:t>41,188 records</w:t>
      </w:r>
      <w:r>
        <w:rPr>
          <w:color w:val="000000"/>
        </w:rPr>
        <w:t xml:space="preserve">, 20 input variables and 4,640 positive term-deposit subscription outcomes: </w:t>
      </w:r>
      <w:r>
        <w:rPr>
          <w:b/>
          <w:color w:val="000000"/>
        </w:rPr>
        <w:t>11.27% positive</w:t>
      </w:r>
      <w:r>
        <w:rPr>
          <w:color w:val="000000"/>
        </w:rPr>
        <w:t xml:space="preserve">. Always predicting the negative class would give </w:t>
      </w:r>
      <w:r>
        <w:rPr>
          <w:b/>
          <w:color w:val="000000"/>
        </w:rPr>
        <w:t>88.73% accuracy</w:t>
      </w:r>
      <w:r>
        <w:rPr>
          <w:color w:val="000000"/>
        </w:rPr>
        <w:t>. This simple calculation explains why a future outcome model should not be judged on accuracy alone. [DATA1]</w:t>
      </w:r>
    </w:p>
    <w:p>
      <w:r>
        <w:rPr>
          <w:color w:val="000000"/>
        </w:rPr>
        <w:t>The data also contains explicit unknown categories, including 8,597 values for default and 1,731 for education. These need deliberate treatment during import and modelling. Call duration is known after a call, so it must be excluded from a pre-call predictor.</w:t>
      </w:r>
    </w:p>
    <w:p>
      <w:r>
        <w:rPr>
          <w:color w:val="000000"/>
        </w:rPr>
        <w:t>This older Portuguese banking dataset has no audio, transcripts or usable transcript join key. It supports the data-design discussion but cannot test Russian/Kazakh transcription or the added value of call content. Appendix C gives the profile, hashes and reproduction instructions.</w:t>
      </w:r>
    </w:p>
    <w:p>
      <w:pPr>
        <w:pStyle w:val="Heading2"/>
      </w:pPr>
      <w:r>
        <w:rPr>
          <w:color w:val="000000"/>
        </w:rPr>
        <w:t>Evidence still to collect</w:t>
      </w:r>
    </w:p>
    <w:tbl>
      <w:tblPr>
        <w:tblW w:type="auto" w:w="0"/>
        <w:jc w:val="center"/>
        <w:tblLayout w:type="fixed"/>
        <w:tblLook w:firstColumn="1" w:firstRow="1" w:lastColumn="0" w:lastRow="0" w:noHBand="0" w:noVBand="1" w:val="04A0"/>
      </w:tblPr>
      <w:tblGrid>
        <w:gridCol w:w="2664"/>
        <w:gridCol w:w="4752"/>
        <w:gridCol w:w="2390"/>
      </w:tblGrid>
      <w:tr>
        <w:trPr>
          <w:cantSplit/>
          <w:tblHeader w:val="true"/>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Question</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Evidence needed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Requirement affected</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review task is slow or unreliable?</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3–5 discussions with a manager salesperson analyst and data owner; observed task or attributed estimate</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Review workflow and usability baseline</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Can calls be linked to deals?</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Permitted CSV/manifest inspection and explicit stable identifiers</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FR02–FR04</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languages and conditions matter?</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Representative authorized examples including code switching noise and product names</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FR06 and NFR09</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measure supports a real decision?</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An agreed numerator denominator period and authoritative outcome field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FR10 and FR14</w:t>
            </w:r>
          </w:p>
        </w:tc>
      </w:tr>
    </w:tbl>
    <w:p>
      <w:pPr>
        <w:spacing w:line="60" w:lineRule="exact" w:after="80" w:before="0"/>
      </w:pPr>
      <w:r>
        <w:rPr>
          <w:color w:val="000000"/>
        </w:rPr>
      </w:r>
    </w:p>
    <w:p>
      <w:r>
        <w:rPr>
          <w:color w:val="000000"/>
        </w:rPr>
        <w:t>The brief requires 3–5 representative discussions or a substantive agreement with an actual client. Neither has been completed yet. We will record observations, self-reports and assumptions separately, then use confirmed findings to revise the requirements. Appendix F contains the collection forms.</w:t>
      </w:r>
    </w:p>
    <w:p>
      <w:pPr>
        <w:pStyle w:val="Heading2"/>
      </w:pPr>
      <w:r>
        <w:rPr>
          <w:color w:val="000000"/>
        </w:rPr>
        <w:t>Questions the evaluation will answer</w:t>
      </w:r>
    </w:p>
    <w:p>
      <w:r>
        <w:rPr>
          <w:color w:val="000000"/>
        </w:rPr>
        <w:t>How accurately does the system transcribe each language? Can it identify useful objections and next actions with correct evidence? Does the review workflow help users complete a defined task? An outcome-prediction extension will be considered only if sufficient linked sales data becomes available.</w:t>
      </w:r>
    </w:p>
    <w:p>
      <w:pPr>
        <w:pStyle w:val="Heading1"/>
        <w:pageBreakBefore/>
      </w:pPr>
      <w:r>
        <w:rPr>
          <w:color w:val="000000"/>
        </w:rPr>
        <w:t>3 Literature review</w:t>
      </w:r>
    </w:p>
    <w:p>
      <w:r>
        <w:rPr>
          <w:color w:val="000000"/>
        </w:rPr>
        <w:t xml:space="preserve">We reviewed </w:t>
      </w:r>
      <w:r>
        <w:rPr>
          <w:b/>
          <w:color w:val="000000"/>
        </w:rPr>
        <w:t>15 scientific publications</w:t>
      </w:r>
      <w:r>
        <w:rPr>
          <w:color w:val="000000"/>
        </w:rPr>
        <w:t xml:space="preserve">, including </w:t>
      </w:r>
      <w:r>
        <w:rPr>
          <w:b/>
          <w:color w:val="000000"/>
        </w:rPr>
        <w:t>13 from 2022–2026</w:t>
      </w:r>
      <w:r>
        <w:rPr>
          <w:color w:val="000000"/>
        </w:rPr>
        <w:t>. QMSum and SmartSales remain as 2021 foundations for evidence retrieval and system integration. Relevant full-text sections were reviewed for 13 papers; L12 and L13 were available only through publisher abstracts and previews. This is a targeted critical review, with no experimental replication.</w:t>
      </w:r>
    </w:p>
    <w:tbl>
      <w:tblPr>
        <w:tblW w:type="auto" w:w="0"/>
        <w:jc w:val="center"/>
        <w:tblLayout w:type="fixed"/>
        <w:tblLook w:firstColumn="1" w:firstRow="1" w:lastColumn="0" w:lastRow="0" w:noHBand="0" w:noVBand="1" w:val="04A0"/>
      </w:tblPr>
      <w:tblGrid>
        <w:gridCol w:w="619"/>
        <w:gridCol w:w="2923"/>
        <w:gridCol w:w="3024"/>
        <w:gridCol w:w="3240"/>
      </w:tblGrid>
      <w:tr>
        <w:trPr>
          <w:cantSplit/>
          <w:tblHeader w:val="true"/>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Study and approach</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Finding and limitation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How it informs our design</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L01</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Whisper: weakly supervised speech recognition</w:t>
              <w:br/>
              <w:t>Multilingual ASR trained with large-scale weak supervision.</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Broad benchmark transfer does not establish accuracy on local sales calls.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Use Whisper as a baseline; evaluate Russian, Kazakh, mixed speech, and sales entities separately.</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L02</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WhisperX: accurate transcription timing</w:t>
              <w:br/>
              <w:t>Voice activity detection, batched transcription, and forced phoneme alignment.</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Accurate timing and faster batching require alignment resources and local validation.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Link extracted evidence to timestamps; benchmark alignment and processing speed on our hardware.</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L03</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pyannote.audio 2.1: speaker diarization</w:t>
              <w:br/>
              <w:t>Speaker segmentation, embeddings, clustering, and domain adaptation.</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Speaker clustering remains domain-sensitive and does not identify sales roles.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Keep diarization optional; measure DER and require manual role confirmation.</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L04</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KSC2: Kazakh speech corpus</w:t>
              <w:br/>
              <w:t>Kazakh corpus with Russian code-switching and Transformer ASR experiments.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Spontaneous test WER reaches 27.0–36.8%; sales transfer and speaker-independent splits remain unproven.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Use Kazakh benchmark evidence cautiously; create a separate permitted business-call evaluation.</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L05</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Sales-call dialogue summarization system</w:t>
              <w:br/>
              <w:t>DialogBART highlights, pseudo-label training, acceptability filtering, and human editing.</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Pseudo-only training raises ROUGE but lowers automatic FactCC on DialogSum; grammatical acceptability does not ensure grounding.</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Provide editable highlights and evaluate factual evidence separately from fluency.</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L06</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QMSum: query-based meeting summaries</w:t>
              <w:br/>
              <w:t>Retrieve relevant meeting spans before generating query-focused summaries.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Meeting retrieval helps selected baselines; sales transfer remains untested.</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Retrieve supporting turns before extracting objections, commitments, or next actions.</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L07</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CONFIT: faithful dialogue summarization</w:t>
              <w:br/>
              <w:t>Contrastive fine-tuning with a dialogue factual-error taxonomy.</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Faithfulness improves overall, but individual error categories remain inconsistent in small meeting evaluations.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Check entities, negation, references, and modality; distinguish tentative statements from confirmed commitments.</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L08</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Careless Whisper: hallucination harms</w:t>
              <w:br/>
              <w:t>Historical API transcription experiments and manual hallucination analysis.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Historical hallucinations motivate safeguards; specialized English results cannot estimate current sales-call risk.</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Retain audio evidence, inspect silence, and require review of consequential extracted claims.</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L09</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B2B sales-coaching analytics framework</w:t>
              <w:br/>
              <w:t>Finnish call analytics combining acoustic, semantic, linguistic, and graph features.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Reported rejection AUC classifies an engineered risk category among failed calls, with overlapping input features.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Borrow architecture cautiously; independently define outcomes and investigate circularity and inconsistent metric scales.</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L10</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Customer-oriented behaviour in sales dialogues</w:t>
              <w:br/>
              <w:t>Dialogue-act annotation and customer-rating analysis of German service/sales calls.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Relationship-building associates with satisfaction in a small selected German corpus; conversion gains are unproven.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Define auditable labels for needs, offers, feedback, and commitments with supporting turns.</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L11</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Entity sentiment in telephone conversations</w:t>
              <w:br/>
              <w:t>DistilBERT entity sentiment and opinion-word extraction versus heuristic baselines.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Entity sentiment differs from purchase intent; the proprietary English evaluation is small.</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Keep sentiment descriptive and product-specific; verify intent and commitments through separate evidence.</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L12</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Qualifying B2C leads from chats</w:t>
              <w:br/>
              <w:t>Written-chat lead signals and purchase outcomes; abstract and previews reviewed.</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MINITS suggests interpretable features; full methods were inaccessible, and transfer to speech remains untested.</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Treat lead signals as candidate features; test them against legitimate CRM outcomes.</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L13</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B2B chat content and sales performance</w:t>
              <w:br/>
              <w:t>Observational chat-content, timing, and sales analysis; abstract and previews reviewed.</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Negative valence can accompany conversion; single-firm associations and inaccessible full methods limit causal conclusions.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Separate revenue, frequency, and conversion; never treat negative sentiment as automatic failure.</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L14</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Resistance in B2B cold calls</w:t>
              <w:br/>
              <w:t>Conversation analysis of authentic appointment-seeking cold calls.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Blocks and stalls distinguish rejection from delay; qualitative findings do not establish classifier accuracy.</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Separate postponement from refusal; preserve adjacent turns and uncertainty during review.</w:t>
            </w:r>
          </w:p>
        </w:tc>
      </w:tr>
      <w:tr>
        <w:trPr>
          <w:cantSplit/>
        </w:trPr>
        <w:tc>
          <w:tcPr>
            <w:tcW w:type="dxa" w:w="61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L15</w:t>
            </w:r>
          </w:p>
        </w:tc>
        <w:tc>
          <w:tcPr>
            <w:tcW w:type="dxa" w:w="2923"/>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SmartSales: FinTech telemarketing coaching</w:t>
              <w:br/>
              <w:t>System demonstration linking ASR, intent, knowledge retrieval, and call reports.</w:t>
            </w:r>
          </w:p>
        </w:tc>
        <w:tc>
          <w:tcPr>
            <w:tcW w:type="dxa" w:w="302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Deployment illustrates integration, but the short proprietary demonstration establishes neither sales uplift nor multilingual portability.</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Separate speech, extraction, review, and reporting modules; defer live recommendations beyond our initial scope.</w:t>
            </w:r>
          </w:p>
        </w:tc>
      </w:tr>
    </w:tbl>
    <w:p>
      <w:pPr>
        <w:spacing w:line="60" w:lineRule="exact" w:after="80" w:before="0"/>
      </w:pPr>
      <w:r>
        <w:rPr>
          <w:color w:val="000000"/>
        </w:rPr>
      </w:r>
    </w:p>
    <w:p>
      <w:pPr>
        <w:pStyle w:val="Heading2"/>
      </w:pPr>
      <w:r>
        <w:rPr>
          <w:color w:val="000000"/>
        </w:rPr>
        <w:t>What we take from the review</w:t>
      </w:r>
    </w:p>
    <w:p>
      <w:r>
        <w:rPr>
          <w:color w:val="000000"/>
        </w:rPr>
        <w:t>Whisper and WhisperX provide practical starting points for transcription and timing [L01–L02]. The Kazakh corpus and diarization studies show why language, acoustic conditions and speaker roles need separate checks [L03–L04]. We cannot carry benchmark scores directly into our sales-call setting.</w:t>
      </w:r>
    </w:p>
    <w:p>
      <w:r>
        <w:rPr>
          <w:color w:val="000000"/>
        </w:rPr>
        <w:t>The summarization studies support retrieving evidence before producing a highlight and letting a person correct it [L05–L08]. In the sales-call paper, pseudo-only training raises ROUGE but lowers automatic FactCC on DialogSum; this is not a human truth audit. We will check source evidence and numeric commitments separately from fluency or text overlap.</w:t>
      </w:r>
    </w:p>
    <w:p>
      <w:r>
        <w:rPr>
          <w:color w:val="000000"/>
        </w:rPr>
        <w:t>The sales studies also require careful outcome definitions. L09 classifies an engineered rejection category in part of its analysis, so its high score is not independent sales-outcome accuracy. Dialogue and cold-call studies distinguish postponement from refusal [L10, L14], while sentiment and chat studies do not make sentiment a purchase-intent label [L11–L13]. SmartSales supplies an integration example, without proving multilingual portability or revenue uplift [L15].</w:t>
      </w:r>
    </w:p>
    <w:p>
      <w:r>
        <w:rPr>
          <w:color w:val="000000"/>
        </w:rPr>
        <w:t>Our contribution is a small, traceable pipeline and an evaluation on permitted local calls. Full source records, access limits and claim locations are in Appendix A; the linked bibliography is at the end of this report.</w:t>
      </w:r>
    </w:p>
    <w:p>
      <w:pPr>
        <w:sectPr>
          <w:headerReference w:type="default" r:id="rId9"/>
          <w:footerReference w:type="default" r:id="rId10"/>
          <w:pgSz w:w="11909" w:h="16834"/>
          <w:pgMar w:top="1008" w:right="1051" w:bottom="1008" w:left="1051" w:header="432" w:footer="432" w:gutter="0"/>
          <w:cols w:space="720"/>
          <w:docGrid w:linePitch="360"/>
        </w:sectPr>
      </w:pPr>
    </w:p>
    <w:p>
      <w:pPr>
        <w:pStyle w:val="Heading1"/>
      </w:pPr>
      <w:r>
        <w:rPr>
          <w:color w:val="000000"/>
        </w:rPr>
        <w:t>4 Existing system comparison</w:t>
      </w:r>
    </w:p>
    <w:p>
      <w:r>
        <w:rPr>
          <w:color w:val="000000"/>
        </w:rPr>
        <w:t>The same eight criteria are applied to four systems using official documentation checked on 21–22 October 2026. This compares documented capabilities; we have not benchmarked paid product accounts. Each evidence ID is a link, with the full register in Appendix G.</w:t>
      </w:r>
    </w:p>
    <w:tbl>
      <w:tblPr>
        <w:tblW w:type="auto" w:w="0"/>
        <w:jc w:val="center"/>
        <w:tblLayout w:type="fixed"/>
        <w:tblLook w:firstColumn="1" w:firstRow="1" w:lastColumn="0" w:lastRow="0" w:noHBand="0" w:noVBand="1" w:val="04A0"/>
      </w:tblPr>
      <w:tblGrid>
        <w:gridCol w:w="2016"/>
        <w:gridCol w:w="3168"/>
        <w:gridCol w:w="3168"/>
        <w:gridCol w:w="3168"/>
        <w:gridCol w:w="3168"/>
      </w:tblGrid>
      <w:tr>
        <w:trPr>
          <w:cantSplit/>
          <w:tblHeader w:val="true"/>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Criterion</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Gong</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Salesloft Conversation Intelligence</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HubSpot Conversation Intelligence</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Dynamics 365 Sales CI</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1 Capture</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Calls and meetings </w:t>
            </w:r>
            <w:hyperlink r:id="rId11">
              <w:r>
                <w:rPr>
                  <w:color w:val="000000"/>
                  <w:u w:val="single"/>
                  <w:sz w:val="19"/>
                </w:rPr>
                <w:t>[G1]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Customer calls and announced mobile capture </w:t>
            </w:r>
            <w:hyperlink r:id="rId12">
              <w:r>
                <w:rPr>
                  <w:color w:val="000000"/>
                  <w:u w:val="single"/>
                  <w:sz w:val="19"/>
                </w:rPr>
                <w:t>[S1]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Calling and supported conferencing integrations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Teams calls and meetings </w:t>
            </w:r>
            <w:hyperlink r:id="rId14">
              <w:r>
                <w:rPr>
                  <w:color w:val="000000"/>
                  <w:u w:val="single"/>
                  <w:sz w:val="19"/>
                </w:rPr>
                <w:t>[D1]</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2 Transcript review</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Speakers search and timestamps </w:t>
            </w:r>
            <w:hyperlink r:id="rId15">
              <w:r>
                <w:rPr>
                  <w:color w:val="000000"/>
                  <w:u w:val="single"/>
                  <w:sz w:val="19"/>
                </w:rPr>
                <w:t>[G2]</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Call review with transcript </w:t>
            </w:r>
            <w:hyperlink r:id="rId16">
              <w:r>
                <w:rPr>
                  <w:color w:val="000000"/>
                  <w:u w:val="single"/>
                  <w:sz w:val="19"/>
                </w:rPr>
                <w:t>[S2]</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Search speaker tracks and comments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Transcript timeline comments and translation </w:t>
            </w:r>
            <w:hyperlink r:id="rId17">
              <w:r>
                <w:rPr>
                  <w:color w:val="000000"/>
                  <w:u w:val="single"/>
                  <w:sz w:val="19"/>
                </w:rPr>
                <w:t>[D2]</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3 Sales record linkage</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Salesforce HubSpot and Dynamics connectors </w:t>
            </w:r>
            <w:hyperlink r:id="rId18">
              <w:r>
                <w:rPr>
                  <w:color w:val="000000"/>
                  <w:u w:val="single"/>
                  <w:sz w:val="19"/>
                </w:rPr>
                <w:t>[G3]</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Salesforce fully supported in reviewed guide </w:t>
            </w:r>
            <w:hyperlink r:id="rId19">
              <w:r>
                <w:rPr>
                  <w:color w:val="000000"/>
                  <w:u w:val="single"/>
                  <w:sz w:val="19"/>
                </w:rPr>
                <w:t>[S3]</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Contact company deal and ticket associations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Summaries logged to CRM records </w:t>
            </w:r>
            <w:hyperlink r:id="rId14">
              <w:r>
                <w:rPr>
                  <w:color w:val="000000"/>
                  <w:u w:val="single"/>
                  <w:sz w:val="19"/>
                </w:rPr>
                <w:t>[D1]</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4 Derived insights</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Objections topics competitors and summaries </w:t>
            </w:r>
            <w:hyperlink r:id="rId11">
              <w:r>
                <w:rPr>
                  <w:color w:val="000000"/>
                  <w:u w:val="single"/>
                  <w:sz w:val="19"/>
                </w:rPr>
                <w:t>[G1]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Sentiment objections summaries and actions </w:t>
            </w:r>
            <w:hyperlink r:id="rId12">
              <w:r>
                <w:rPr>
                  <w:color w:val="000000"/>
                  <w:u w:val="single"/>
                  <w:sz w:val="19"/>
                </w:rPr>
                <w:t>[S1]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Decisions sentiment next steps and terms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Actions keywords sentiment and questions vary by language </w:t>
            </w:r>
            <w:hyperlink r:id="rId20">
              <w:r>
                <w:rPr>
                  <w:color w:val="000000"/>
                  <w:u w:val="single"/>
                  <w:sz w:val="19"/>
                </w:rPr>
                <w:t>[D3]</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5 Coaching</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Scorecards and recommendations </w:t>
            </w:r>
            <w:hyperlink r:id="rId11">
              <w:r>
                <w:rPr>
                  <w:color w:val="000000"/>
                  <w:u w:val="single"/>
                  <w:sz w:val="19"/>
                </w:rPr>
                <w:t>[G1]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Live coaching and automatic scoring announced </w:t>
            </w:r>
            <w:hyperlink r:id="rId12">
              <w:r>
                <w:rPr>
                  <w:color w:val="000000"/>
                  <w:u w:val="single"/>
                  <w:sz w:val="19"/>
                </w:rPr>
                <w:t>[S1]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Comments excerpts and playlists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Manager review and editable summaries </w:t>
            </w:r>
            <w:hyperlink r:id="rId14">
              <w:r>
                <w:rPr>
                  <w:color w:val="000000"/>
                  <w:u w:val="single"/>
                  <w:sz w:val="19"/>
                </w:rPr>
                <w:t>[D1]</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6 Aggregate analysis</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Team statistics and topics </w:t>
            </w:r>
            <w:hyperlink r:id="rId21">
              <w:r>
                <w:rPr>
                  <w:color w:val="000000"/>
                  <w:u w:val="single"/>
                  <w:sz w:val="19"/>
                </w:rPr>
                <w:t>[G4]</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Topics and announced cross-call trends </w:t>
            </w:r>
            <w:hyperlink r:id="rId22">
              <w:r>
                <w:rPr>
                  <w:color w:val="000000"/>
                  <w:u w:val="single"/>
                  <w:sz w:val="19"/>
                </w:rPr>
                <w:t>[S4]</w:t>
              </w:r>
            </w:hyperlink>
            <w:r>
              <w:rPr>
                <w:color w:val="000000"/>
                <w:sz w:val="18"/>
              </w:rPr>
              <w:t xml:space="preserve">, </w:t>
            </w:r>
            <w:hyperlink r:id="rId12">
              <w:r>
                <w:rPr>
                  <w:color w:val="000000"/>
                  <w:u w:val="single"/>
                  <w:sz w:val="19"/>
                </w:rPr>
                <w:t>[S1]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Call filters and Enterprise term reporting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Team and seller dashboards </w:t>
            </w:r>
            <w:hyperlink r:id="rId14">
              <w:r>
                <w:rPr>
                  <w:color w:val="000000"/>
                  <w:u w:val="single"/>
                  <w:sz w:val="19"/>
                </w:rPr>
                <w:t>[D1]</w:t>
              </w:r>
            </w:hyperlink>
            <w:r>
              <w:rPr>
                <w:color w:val="000000"/>
                <w:sz w:val="18"/>
              </w:rPr>
              <w:t xml:space="preserve">, </w:t>
            </w:r>
            <w:hyperlink r:id="rId23">
              <w:r>
                <w:rPr>
                  <w:color w:val="000000"/>
                  <w:u w:val="single"/>
                  <w:sz w:val="19"/>
                </w:rPr>
                <w:t>[D4]</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7 Relevant languages</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Russian and Kazakh listed </w:t>
            </w:r>
            <w:hyperlink r:id="rId24">
              <w:r>
                <w:rPr>
                  <w:color w:val="000000"/>
                  <w:u w:val="single"/>
                  <w:sz w:val="19"/>
                </w:rPr>
                <w:t>[G5]</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Russian in legacy guide; Kazakh and new-release parity unverified </w:t>
            </w:r>
            <w:hyperlink r:id="rId25">
              <w:r>
                <w:rPr>
                  <w:color w:val="000000"/>
                  <w:u w:val="single"/>
                  <w:sz w:val="19"/>
                </w:rPr>
                <w:t>[S5]</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Russian and Kazakh listed </w:t>
            </w:r>
            <w:hyperlink r:id="rId26">
              <w:r>
                <w:rPr>
                  <w:color w:val="000000"/>
                  <w:u w:val="single"/>
                  <w:sz w:val="19"/>
                </w:rPr>
                <w:t>[H2]</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Russian and Kazakh not listed in reviewed CI table </w:t>
            </w:r>
            <w:hyperlink r:id="rId20">
              <w:r>
                <w:rPr>
                  <w:color w:val="000000"/>
                  <w:u w:val="single"/>
                  <w:sz w:val="19"/>
                </w:rPr>
                <w:t>[D3]</w:t>
              </w:r>
            </w:hyperlink>
            <w:r>
              <w:rPr>
                <w:color w:val="000000"/>
                <w:sz w:val="18"/>
              </w:rPr>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8 Access conditions</w:t>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Foundation license plus application and seat rules </w:t>
            </w:r>
            <w:hyperlink r:id="rId27">
              <w:r>
                <w:rPr>
                  <w:color w:val="000000"/>
                  <w:u w:val="single"/>
                  <w:sz w:val="19"/>
                </w:rPr>
                <w:t>[G6]</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Admin setup and advanced AI conditions for Topics </w:t>
            </w:r>
            <w:hyperlink r:id="rId22">
              <w:r>
                <w:rPr>
                  <w:color w:val="000000"/>
                  <w:u w:val="single"/>
                  <w:sz w:val="19"/>
                </w:rPr>
                <w:t>[S4]</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Professional or Enterprise seats; Enterprise term reporting </w:t>
            </w:r>
            <w:hyperlink r:id="rId13">
              <w:r>
                <w:rPr>
                  <w:color w:val="000000"/>
                  <w:u w:val="single"/>
                  <w:sz w:val="19"/>
                </w:rPr>
                <w:t>[H1]</w:t>
              </w:r>
            </w:hyperlink>
            <w:r>
              <w:rPr>
                <w:color w:val="000000"/>
                <w:sz w:val="18"/>
              </w:rPr>
            </w:r>
          </w:p>
        </w:tc>
        <w:tc>
          <w:tcPr>
            <w:tcW w:type="dxa" w:w="31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 xml:space="preserve">Eligible license setup and region/language rules </w:t>
            </w:r>
            <w:hyperlink r:id="rId14">
              <w:r>
                <w:rPr>
                  <w:color w:val="000000"/>
                  <w:u w:val="single"/>
                  <w:sz w:val="19"/>
                </w:rPr>
                <w:t>[D1]</w:t>
              </w:r>
            </w:hyperlink>
            <w:r>
              <w:rPr>
                <w:color w:val="000000"/>
                <w:sz w:val="18"/>
              </w:rPr>
              <w:t xml:space="preserve">, </w:t>
            </w:r>
            <w:hyperlink r:id="rId28">
              <w:r>
                <w:rPr>
                  <w:color w:val="000000"/>
                  <w:u w:val="single"/>
                  <w:sz w:val="19"/>
                </w:rPr>
                <w:t>[D5]</w:t>
              </w:r>
            </w:hyperlink>
            <w:r>
              <w:rPr>
                <w:color w:val="000000"/>
                <w:sz w:val="18"/>
              </w:rPr>
            </w:r>
          </w:p>
        </w:tc>
      </w:tr>
    </w:tbl>
    <w:p>
      <w:pPr>
        <w:spacing w:line="60" w:lineRule="exact" w:after="80" w:before="0"/>
      </w:pPr>
      <w:r>
        <w:rPr>
          <w:color w:val="000000"/>
        </w:rPr>
      </w:r>
    </w:p>
    <w:p>
      <w:r>
        <w:rPr>
          <w:color w:val="000000"/>
        </w:rPr>
        <w:t>Gong and HubSpot already list Russian and Kazakh. Multilingual support alone is therefore not our novelty claim. Our focus is transparent call-to-deal links, inspectable evidence and a reproducible local evaluation. A missing language in one reviewed table does not prove that a product never supports it; plan, region and release differences must be checked before adoption.</w:t>
      </w:r>
    </w:p>
    <w:p>
      <w:pPr>
        <w:sectPr>
          <w:pgSz w:w="16834" w:h="11909" w:orient="landscape"/>
          <w:pgMar w:top="936" w:right="1051" w:bottom="936" w:left="1051" w:header="432" w:footer="432" w:gutter="0"/>
          <w:cols w:space="720"/>
          <w:docGrid w:linePitch="360"/>
        </w:sectPr>
      </w:pPr>
    </w:p>
    <w:p>
      <w:pPr>
        <w:pStyle w:val="Heading1"/>
      </w:pPr>
      <w:r>
        <w:rPr>
          <w:color w:val="000000"/>
        </w:rPr>
        <w:t>5 Technology comparison</w:t>
      </w:r>
    </w:p>
    <w:p>
      <w:r>
        <w:rPr>
          <w:color w:val="000000"/>
        </w:rPr>
        <w:t>We compare three alternatives for each of four decisions. The criteria are a small team, a modest pilot, Python speech tooling and a need to reproduce results. These choices are provisional until the actual hardware and client constraints are confirmed. Official evidence is linked; details are in Appendix G.</w:t>
      </w:r>
    </w:p>
    <w:tbl>
      <w:tblPr>
        <w:tblW w:type="auto" w:w="0"/>
        <w:jc w:val="center"/>
        <w:tblLayout w:type="fixed"/>
        <w:tblLook w:firstColumn="1" w:firstRow="1" w:lastColumn="0" w:lastRow="0" w:noHBand="0" w:noVBand="1" w:val="04A0"/>
      </w:tblPr>
      <w:tblGrid>
        <w:gridCol w:w="1800"/>
        <w:gridCol w:w="3096"/>
        <w:gridCol w:w="3096"/>
        <w:gridCol w:w="3096"/>
        <w:gridCol w:w="3600"/>
      </w:tblGrid>
      <w:tr>
        <w:trPr>
          <w:cantSplit/>
          <w:tblHeader w:val="true"/>
        </w:trPr>
        <w:tc>
          <w:tcPr>
            <w:tcW w:type="dxa" w:w="18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Decision</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Alternative A</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Alternative B</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Alternative C</w:t>
            </w:r>
          </w:p>
        </w:tc>
        <w:tc>
          <w:tcPr>
            <w:tcW w:type="dxa" w:w="36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choice and reason</w:t>
            </w:r>
          </w:p>
        </w:tc>
      </w:tr>
      <w:tr>
        <w:trPr>
          <w:cantSplit/>
        </w:trPr>
        <w:tc>
          <w:tcPr>
            <w:tcW w:type="dxa" w:w="18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Backend</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FastAPI: typed validation and OpenAPI; data/admin structure added separately </w:t>
            </w:r>
            <w:hyperlink r:id="rId29">
              <w:r>
                <w:rPr>
                  <w:color w:val="000000"/>
                  <w:u w:val="single"/>
                  <w:sz w:val="19"/>
                </w:rPr>
                <w:t>[T1]</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Django: ORM and an integrated admin interface </w:t>
            </w:r>
            <w:hyperlink r:id="rId30">
              <w:r>
                <w:rPr>
                  <w:color w:val="000000"/>
                  <w:u w:val="single"/>
                  <w:sz w:val="19"/>
                </w:rPr>
                <w:t>[T2]</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NestJS: TypeScript modules; Python inference usually separate </w:t>
            </w:r>
            <w:hyperlink r:id="rId31">
              <w:r>
                <w:rPr>
                  <w:color w:val="000000"/>
                  <w:u w:val="single"/>
                  <w:sz w:val="19"/>
                </w:rPr>
                <w:t>[T3]</w:t>
              </w:r>
            </w:hyperlink>
            <w:r>
              <w:rPr>
                <w:color w:val="000000"/>
                <w:sz w:val="19"/>
              </w:rPr>
            </w:r>
          </w:p>
        </w:tc>
        <w:tc>
          <w:tcPr>
            <w:tcW w:type="dxa" w:w="36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FastAPI keeps API and speech/evaluation tooling in Python. Revisit if team experience favours another framework.</w:t>
            </w:r>
          </w:p>
        </w:tc>
      </w:tr>
      <w:tr>
        <w:trPr>
          <w:cantSplit/>
        </w:trPr>
        <w:tc>
          <w:tcPr>
            <w:tcW w:type="dxa" w:w="18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Database</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PostgreSQL: explicit relationships, constraints and JSONB </w:t>
            </w:r>
            <w:hyperlink r:id="rId32">
              <w:r>
                <w:rPr>
                  <w:color w:val="000000"/>
                  <w:u w:val="single"/>
                  <w:sz w:val="19"/>
                </w:rPr>
                <w:t>[T4]</w:t>
              </w:r>
            </w:hyperlink>
            <w:r>
              <w:rPr>
                <w:color w:val="000000"/>
                <w:sz w:val="19"/>
              </w:rPr>
              <w:t xml:space="preserve">, </w:t>
            </w:r>
            <w:hyperlink r:id="rId33">
              <w:r>
                <w:rPr>
                  <w:color w:val="000000"/>
                  <w:u w:val="single"/>
                  <w:sz w:val="19"/>
                </w:rPr>
                <w:t>[T5]</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SQLite: simple embedded setup; single writer </w:t>
            </w:r>
            <w:hyperlink r:id="rId34">
              <w:r>
                <w:rPr>
                  <w:color w:val="000000"/>
                  <w:u w:val="single"/>
                  <w:sz w:val="19"/>
                </w:rPr>
                <w:t>[T6]</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MongoDB: document flexibility; links/access patterns require deliberate design </w:t>
            </w:r>
            <w:hyperlink r:id="rId35">
              <w:r>
                <w:rPr>
                  <w:color w:val="000000"/>
                  <w:u w:val="single"/>
                  <w:sz w:val="19"/>
                </w:rPr>
                <w:t>[T7]</w:t>
              </w:r>
            </w:hyperlink>
            <w:r>
              <w:rPr>
                <w:color w:val="000000"/>
                <w:sz w:val="19"/>
              </w:rPr>
            </w:r>
          </w:p>
        </w:tc>
        <w:tc>
          <w:tcPr>
            <w:tcW w:type="dxa" w:w="36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PostgreSQL suits shared deal/call relationships and versioned metadata. SQLite is reasonable for an offline single-user demo.</w:t>
            </w:r>
          </w:p>
        </w:tc>
      </w:tr>
      <w:tr>
        <w:trPr>
          <w:cantSplit/>
        </w:trPr>
        <w:tc>
          <w:tcPr>
            <w:tcW w:type="dxa" w:w="18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Speech recognition</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Local Whisper: versioned multilingual models; requires suitable compute </w:t>
            </w:r>
            <w:hyperlink r:id="rId36">
              <w:r>
                <w:rPr>
                  <w:color w:val="000000"/>
                  <w:u w:val="single"/>
                  <w:sz w:val="19"/>
                </w:rPr>
                <w:t>[T8]</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Azure Speech: managed batch/real-time options; language/region conditions </w:t>
            </w:r>
            <w:hyperlink r:id="rId37">
              <w:r>
                <w:rPr>
                  <w:color w:val="000000"/>
                  <w:u w:val="single"/>
                  <w:sz w:val="19"/>
                </w:rPr>
                <w:t>[T9]</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Google Cloud STT: managed batch processing and language/model matrix </w:t>
            </w:r>
            <w:hyperlink r:id="rId38">
              <w:r>
                <w:rPr>
                  <w:color w:val="000000"/>
                  <w:u w:val="single"/>
                  <w:sz w:val="19"/>
                </w:rPr>
                <w:t>[T10]</w:t>
              </w:r>
            </w:hyperlink>
            <w:r>
              <w:rPr>
                <w:color w:val="000000"/>
                <w:sz w:val="19"/>
              </w:rPr>
              <w:t xml:space="preserve">, </w:t>
            </w:r>
            <w:hyperlink r:id="rId39">
              <w:r>
                <w:rPr>
                  <w:color w:val="000000"/>
                  <w:u w:val="single"/>
                  <w:sz w:val="19"/>
                </w:rPr>
                <w:t>[T11]</w:t>
              </w:r>
            </w:hyperlink>
            <w:r>
              <w:rPr>
                <w:color w:val="000000"/>
                <w:sz w:val="19"/>
              </w:rPr>
            </w:r>
          </w:p>
        </w:tc>
        <w:tc>
          <w:tcPr>
            <w:tcW w:type="dxa" w:w="36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Local Whisper is the baseline. Choose size after measuring quality, speed and memory; retain an adapter for a permitted cloud comparison.</w:t>
            </w:r>
          </w:p>
        </w:tc>
      </w:tr>
      <w:tr>
        <w:trPr>
          <w:cantSplit/>
        </w:trPr>
        <w:tc>
          <w:tcPr>
            <w:tcW w:type="dxa" w:w="18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Job processing</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Synchronous request: few components, but the user waits</w:t>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FastAPI BackgroundTasks: in-process work after the response </w:t>
            </w:r>
            <w:hyperlink r:id="rId40">
              <w:r>
                <w:rPr>
                  <w:color w:val="000000"/>
                  <w:u w:val="single"/>
                  <w:sz w:val="19"/>
                </w:rPr>
                <w:t>[T12]</w:t>
              </w:r>
            </w:hyperlink>
            <w:r>
              <w:rPr>
                <w:color w:val="000000"/>
                <w:sz w:val="19"/>
              </w:rPr>
            </w:r>
          </w:p>
        </w:tc>
        <w:tc>
          <w:tcPr>
            <w:tcW w:type="dxa" w:w="309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 xml:space="preserve">Celery with a broker: separate workers, states and retry mechanisms </w:t>
            </w:r>
            <w:hyperlink r:id="rId41">
              <w:r>
                <w:rPr>
                  <w:color w:val="000000"/>
                  <w:u w:val="single"/>
                  <w:sz w:val="19"/>
                </w:rPr>
                <w:t>[T13]</w:t>
              </w:r>
            </w:hyperlink>
            <w:r>
              <w:rPr>
                <w:color w:val="000000"/>
                <w:sz w:val="19"/>
              </w:rPr>
            </w:r>
          </w:p>
        </w:tc>
        <w:tc>
          <w:tcPr>
            <w:tcW w:type="dxa" w:w="360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Celery with Redis isolates inference from the API. Start offline experiments with a CLI runner before integrating the queue.</w:t>
            </w:r>
          </w:p>
        </w:tc>
      </w:tr>
    </w:tbl>
    <w:p>
      <w:pPr>
        <w:spacing w:line="60" w:lineRule="exact" w:after="80" w:before="0"/>
      </w:pPr>
      <w:r>
        <w:rPr>
          <w:color w:val="000000"/>
        </w:rPr>
      </w:r>
    </w:p>
    <w:p>
      <w:r>
        <w:rPr>
          <w:color w:val="000000"/>
        </w:rPr>
        <w:t>Audio will be held in private local or S3-compatible storage; PostgreSQL will keep references and versions. Before confirming the stack, we will measure language quality, real-time factor, memory and KPI correctness. Cloud testing additionally requires a budget and permission to transfer the same evaluation audio. No accuracy or cost winner is assumed.</w:t>
      </w:r>
    </w:p>
    <w:p>
      <w:pPr>
        <w:sectPr>
          <w:pgSz w:w="16834" w:h="11909" w:orient="landscape"/>
          <w:pgMar w:top="936" w:right="1051" w:bottom="936" w:left="1051" w:header="432" w:footer="432" w:gutter="0"/>
          <w:cols w:space="720"/>
          <w:docGrid w:linePitch="360"/>
        </w:sectPr>
      </w:pPr>
    </w:p>
    <w:p>
      <w:pPr>
        <w:pStyle w:val="Heading1"/>
      </w:pPr>
      <w:r>
        <w:rPr>
          <w:color w:val="000000"/>
        </w:rPr>
        <w:t>6 Requirements specification</w:t>
      </w:r>
    </w:p>
    <w:p>
      <w:r>
        <w:rPr>
          <w:color w:val="000000"/>
        </w:rPr>
        <w:t>Must requirements define the MVP. Should requirements may be adjusted after the pilot; Could requirements are optional. These initial criteria will be checked with stakeholders. Appendix B contains the full 26-item register and test catalogue; the table below keeps each functional requirement visible.</w:t>
      </w:r>
    </w:p>
    <w:tbl>
      <w:tblPr>
        <w:tblW w:type="auto" w:w="0"/>
        <w:jc w:val="center"/>
        <w:tblLayout w:type="fixed"/>
        <w:tblLook w:firstColumn="1" w:firstRow="1" w:lastColumn="0" w:lastRow="0" w:noHBand="0" w:noVBand="1" w:val="04A0"/>
      </w:tblPr>
      <w:tblGrid>
        <w:gridCol w:w="1066"/>
        <w:gridCol w:w="2549"/>
        <w:gridCol w:w="6192"/>
      </w:tblGrid>
      <w:tr>
        <w:trPr>
          <w:cantSplit/>
          <w:tblHeader w:val="true"/>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ID and priority</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Requirement</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Acceptance evidence</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FR01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Authentication and scoped access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401 without login; each role follows the access matrix; cross-team/direct-ID access is denied. T01</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FR02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CSV sales import</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100 valid rows import once; invalid rows identify their errors; repeated input creates no duplicates. T02</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FR03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Explicit call-to-deal links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Every call points to an existing deal; missing or conflicting links require correction. T03</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FR04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Authorized WAV/MP3 upload</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Reject files over 50 MB or 30 minutes; return a job ID within 2 seconds after upload/validation. T04</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FR05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Jobs and recovery</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Show queued processing completed or failed; at most two transient retries; no duplicate current result. T05</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FR06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Versioned transcripts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Store language model version and valid start/end timestamps for every segment. T06</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FR07 S</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Optional diarization</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Show anonymous speakers; allow label correction and confirm roles separately. T07</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FR08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Evidence-based extraction</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Each objection/next action references a valid segment; uncertain items are flagged; unsupported items cannot be confirmed. T08</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FR09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Human correction</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Keep actor time old/new values and review state for each correction. T09</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FR10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Sales dashboard</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Fixed-fixture totals and filters match hand calculation; count distinct deals and use the stated period. T10</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FR11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Transcript search</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Keyword and combined filters return all permitted matches and no unauthorized calls. T11</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FR12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CSV export</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Export matches active filters and provenance; neutralize spreadsheet-formula text. T12</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FR13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Retention and deletion</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Remove audio and sensitive derivatives from active stores within 24 hours; backup expiry at most 30 days. T13</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FR14 M</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Authoritative outcomes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Imported CRM outcomes cannot be overwritten by inference; missing outcomes remain unknown. T14</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FR15 S</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Reproducible evaluation</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Export per-language quality and speed with the split model configuration and test size. T15</w:t>
            </w:r>
          </w:p>
        </w:tc>
      </w:tr>
      <w:tr>
        <w:trPr>
          <w:cantSplit/>
        </w:trPr>
        <w:tc>
          <w:tcPr>
            <w:tcW w:type="dxa" w:w="10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FR16 C</w:t>
            </w:r>
          </w:p>
        </w:tc>
        <w:tc>
          <w:tcPr>
            <w:tcW w:type="dxa" w:w="2549"/>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Future CRM adapter</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Read-only scoped synchronization is idempotent; CSV is the mandatory initial path. T16</w:t>
            </w:r>
          </w:p>
        </w:tc>
      </w:tr>
    </w:tbl>
    <w:p>
      <w:pPr>
        <w:spacing w:line="60" w:lineRule="exact" w:after="80" w:before="0"/>
      </w:pPr>
      <w:r>
        <w:rPr>
          <w:color w:val="000000"/>
        </w:rPr>
      </w:r>
    </w:p>
    <w:p>
      <w:r>
        <w:rPr>
          <w:color w:val="000000"/>
        </w:rPr>
        <w:t>M = Must  |  S = Should  |  C = Could. Performance conditions and the complete deletion coverage are specified in Appendix B.</w:t>
      </w:r>
    </w:p>
    <w:p>
      <w:pPr>
        <w:pStyle w:val="Heading2"/>
        <w:pageBreakBefore/>
      </w:pPr>
      <w:r>
        <w:rPr>
          <w:color w:val="000000"/>
        </w:rPr>
        <w:t>Quality requirements and data rules</w:t>
      </w:r>
    </w:p>
    <w:tbl>
      <w:tblPr>
        <w:tblW w:type="auto" w:w="0"/>
        <w:jc w:val="center"/>
        <w:tblLayout w:type="fixed"/>
        <w:tblLook w:firstColumn="1" w:firstRow="1" w:lastColumn="0" w:lastRow="0" w:noHBand="0" w:noVBand="1" w:val="04A0"/>
      </w:tblPr>
      <w:tblGrid>
        <w:gridCol w:w="1166"/>
        <w:gridCol w:w="2448"/>
        <w:gridCol w:w="6192"/>
      </w:tblGrid>
      <w:tr>
        <w:trPr>
          <w:cantSplit/>
          <w:tblHeader w:val="true"/>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ID and priority</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Quality</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Acceptance evidence</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NFR01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Minimize personal data</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Only authorized recordings enter the pilot; restricted raw files stay out of source control and public exports. T13</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NFR02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Protect access and secrets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TLS for deployed endpoints, private objects, placeholder examples and minimum-permission credentials. T17</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NFR03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Keep provenance</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Store model/configuration, input hash, transcript revision and processing time; define every reported denominator. T18</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NFR04 S</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Responsive dashboard</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p95 API response ≤2 seconds: 10,000 deals/1,000 calls, 4 vCPU/8 GB, 100 requests, concurrency 5. T19</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NFR05 S</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Practical transcription speed</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On the recorded inference host: median real-time factor ≤1 and p95 ≤2 for the pilot. T20</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NFR06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Consistent recovery</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 worker restart cannot create conflicting current results or report a failed job as complete. T05</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NFR07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Usable main tasks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4 of 5 users finish the three fixed tasks without help in 10 minutes; keyboard operation works. T21</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NFR08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Maintainable components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Document interfaces migrations configuration and tests; a teammate can reproduce setup. T22</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NFR09 S</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Measured language quality</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Provisional WER ≤25% Russian and ≤30% Kazakh; report mixed calls separately with sample size. T06</w:t>
            </w:r>
          </w:p>
        </w:tc>
      </w:tr>
      <w:tr>
        <w:trPr>
          <w:cantSplit/>
        </w:trPr>
        <w:tc>
          <w:tcPr>
            <w:tcW w:type="dxa" w:w="116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NFR10 M</w:t>
            </w:r>
          </w:p>
        </w:tc>
        <w:tc>
          <w:tcPr>
            <w:tcW w:type="dxa" w:w="244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Supported facts</w:t>
            </w:r>
          </w:p>
        </w:tc>
        <w:tc>
          <w:tcPr>
            <w:tcW w:type="dxa" w:w="61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Raw evidence precision ≥95% against source audio/gold; report empty output and recall. Zero fabricated numeric commitments after human review. T08</w:t>
            </w:r>
          </w:p>
        </w:tc>
      </w:tr>
    </w:tbl>
    <w:p>
      <w:pPr>
        <w:spacing w:line="60" w:lineRule="exact" w:after="80" w:before="0"/>
      </w:pPr>
      <w:r>
        <w:rPr>
          <w:color w:val="000000"/>
        </w:rPr>
      </w:r>
    </w:p>
    <w:p>
      <w:r>
        <w:rPr>
          <w:color w:val="000000"/>
        </w:rPr>
        <w:t>These are targets for later testing. The usability task uses preprocessed two-minute examples and excludes ASR waiting, which is reported separately. A missed target leads to a revised method or narrower supported scope, recorded with the result.</w:t>
      </w:r>
    </w:p>
    <w:p>
      <w:pPr>
        <w:pStyle w:val="Heading2"/>
      </w:pPr>
      <w:r>
        <w:rPr>
          <w:color w:val="000000"/>
        </w:rPr>
        <w:t>Record links and permissions</w:t>
      </w:r>
    </w:p>
    <w:p>
      <w:r>
        <w:rPr>
          <w:color w:val="000000"/>
        </w:rPr>
        <w:t>Imports identify records by source_system plus external_deal_id or external_call_id and assign immutable internal IDs. Identical reimports are skipped; changed or conflicting rows need confirmation. Each call belongs to one deal; a deal may have several calls. Store time in UTC and display the selected timezone, initially Asia/Almaty. Keep amounts separate by currency.</w:t>
      </w:r>
    </w:p>
    <w:p>
      <w:r>
        <w:rPr>
          <w:color w:val="000000"/>
        </w:rPr>
        <w:t>Salespeople see their own records, managers their assigned team, and analysts only explicitly authorized data. Administrator status alone gives no call-content access. Appendix C contains the full role and schema rules.</w:t>
      </w:r>
    </w:p>
    <w:p>
      <w:r>
        <w:rPr>
          <w:color w:val="000000"/>
        </w:rPr>
      </w:r>
      <w:r>
        <w:rPr>
          <w:b/>
          <w:color w:val="000000"/>
        </w:rPr>
        <w:t>Win rate = won / (won + lost)</w:t>
      </w:r>
      <w:r>
        <w:rPr>
          <w:color w:val="000000"/>
        </w:rPr>
        <w:t xml:space="preserve"> for distinct closed deals whose closed_at is in the selected period. Open deals are excluded; a zero denominator displays Not available. Call counts use recorded_at. The dashboard must not duplicate an amount when several calls share one deal.</w:t>
      </w:r>
    </w:p>
    <w:p>
      <w:pPr>
        <w:pStyle w:val="Heading1"/>
        <w:pageBreakBefore/>
      </w:pPr>
      <w:r>
        <w:rPr>
          <w:color w:val="000000"/>
        </w:rPr>
        <w:t>7 Architecture and diagrams</w:t>
      </w:r>
    </w:p>
    <w:p>
      <w:pPr>
        <w:pStyle w:val="Heading2"/>
      </w:pPr>
      <w:r>
        <w:rPr>
          <w:color w:val="000000"/>
        </w:rPr>
        <w:t>System context</w:t>
      </w:r>
    </w:p>
    <w:p>
      <w:pPr>
        <w:keepNext/>
      </w:pPr>
      <w:r>
        <w:rPr>
          <w:color w:val="000000"/>
        </w:rPr>
        <w:drawing>
          <wp:inline xmlns:a="http://schemas.openxmlformats.org/drawingml/2006/main" xmlns:pic="http://schemas.openxmlformats.org/drawingml/2006/picture">
            <wp:extent cx="6126480" cy="4227271"/>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42">
                      <a:biLevel thresh="70000"/>
                    </a:blip>
                    <a:stretch>
                      <a:fillRect/>
                    </a:stretch>
                  </pic:blipFill>
                  <pic:spPr>
                    <a:xfrm>
                      <a:off x="0" y="0"/>
                      <a:ext cx="6126480" cy="4227271"/>
                    </a:xfrm>
                    <a:prstGeom prst="rect"/>
                  </pic:spPr>
                </pic:pic>
              </a:graphicData>
            </a:graphic>
          </wp:inline>
        </w:drawing>
      </w:r>
    </w:p>
    <w:p>
      <w:pPr>
        <w:pStyle w:val="Caption"/>
      </w:pPr>
      <w:r>
        <w:rPr>
          <w:color w:val="000000"/>
        </w:rPr>
        <w:t>Figure 1 Users and external inputs to the proposed system</w:t>
      </w:r>
    </w:p>
    <w:p>
      <w:r>
        <w:rPr>
          <w:color w:val="000000"/>
        </w:rPr>
        <w:t>The initial boundary accepts authorized audio and CSV/manifest exports. Calls and sales records meet through explicit identifiers. A future live CRM adapter is optional; automatic CRM writeback is outside the MVP.</w:t>
      </w:r>
    </w:p>
    <w:p>
      <w:r>
        <w:rPr>
          <w:color w:val="000000"/>
        </w:rPr>
        <w:t>A salesperson uploads and reviews their own calls. A manager can inspect the assigned team and compare sales metrics with reviewed call evidence. An analyst receives authorized reports. Administration covers access, retention and approved deletion.</w:t>
      </w:r>
    </w:p>
    <w:p>
      <w:r>
        <w:rPr>
          <w:color w:val="000000"/>
        </w:rPr>
        <w:t>Editable Mermaid/PlantUML sources and SVG exports are supplied in diagrams/. The component-to-requirement mapping is retained in the diagram README and Appendix B.</w:t>
      </w:r>
    </w:p>
    <w:p>
      <w:pPr>
        <w:pStyle w:val="Heading2"/>
        <w:pageBreakBefore/>
      </w:pPr>
      <w:r>
        <w:rPr>
          <w:color w:val="000000"/>
        </w:rPr>
        <w:t>Use case diagram</w:t>
      </w:r>
    </w:p>
    <w:p>
      <w:pPr>
        <w:keepNext/>
      </w:pPr>
      <w:r>
        <w:rPr>
          <w:color w:val="000000"/>
        </w:rPr>
        <w:drawing>
          <wp:inline xmlns:a="http://schemas.openxmlformats.org/drawingml/2006/main" xmlns:pic="http://schemas.openxmlformats.org/drawingml/2006/picture">
            <wp:extent cx="6126480" cy="4686757"/>
            <wp:docPr id="2" name="Picture 2"/>
            <wp:cNvGraphicFramePr>
              <a:graphicFrameLocks noChangeAspect="1"/>
            </wp:cNvGraphicFramePr>
            <a:graphic>
              <a:graphicData uri="http://schemas.openxmlformats.org/drawingml/2006/picture">
                <pic:pic>
                  <pic:nvPicPr>
                    <pic:cNvPr id="0" name="03_use_cases.png"/>
                    <pic:cNvPicPr/>
                  </pic:nvPicPr>
                  <pic:blipFill>
                    <a:blip r:embed="rId43">
                      <a:biLevel thresh="70000"/>
                    </a:blip>
                    <a:stretch>
                      <a:fillRect/>
                    </a:stretch>
                  </pic:blipFill>
                  <pic:spPr>
                    <a:xfrm>
                      <a:off x="0" y="0"/>
                      <a:ext cx="6126480" cy="4686757"/>
                    </a:xfrm>
                    <a:prstGeom prst="rect"/>
                  </pic:spPr>
                </pic:pic>
              </a:graphicData>
            </a:graphic>
          </wp:inline>
        </w:drawing>
      </w:r>
    </w:p>
    <w:p>
      <w:pPr>
        <w:pStyle w:val="Caption"/>
      </w:pPr>
      <w:r>
        <w:rPr>
          <w:color w:val="000000"/>
        </w:rPr>
        <w:t>Figure 2 User goals with own-record and team-record permissions</w:t>
      </w:r>
    </w:p>
    <w:p>
      <w:r>
        <w:rPr>
          <w:color w:val="000000"/>
        </w:rPr>
        <w:t>The associations show who can perform each activity. Login does not remove scope restrictions: every API request and file access must also check the user’s permitted records.</w:t>
      </w:r>
    </w:p>
    <w:p>
      <w:r>
        <w:rPr>
          <w:color w:val="000000"/>
        </w:rPr>
        <w:t>The main review scenario is: open a completed call, inspect timestamped evidence, correct an objection interpretation and confirm that item. The next action stays a draft until separately reviewed. Failed processing exposes a recovery action and never changes the CRM outcome.</w:t>
      </w:r>
    </w:p>
    <w:p>
      <w:pPr>
        <w:pStyle w:val="Heading2"/>
        <w:pageBreakBefore/>
      </w:pPr>
      <w:r>
        <w:rPr>
          <w:color w:val="000000"/>
        </w:rPr>
        <w:t>Component diagram</w:t>
      </w:r>
    </w:p>
    <w:p>
      <w:pPr>
        <w:keepNext/>
      </w:pPr>
      <w:r>
        <w:rPr>
          <w:color w:val="000000"/>
        </w:rPr>
        <w:drawing>
          <wp:inline xmlns:a="http://schemas.openxmlformats.org/drawingml/2006/main" xmlns:pic="http://schemas.openxmlformats.org/drawingml/2006/picture">
            <wp:extent cx="6126480" cy="4533595"/>
            <wp:docPr id="3" name="Picture 3"/>
            <wp:cNvGraphicFramePr>
              <a:graphicFrameLocks noChangeAspect="1"/>
            </wp:cNvGraphicFramePr>
            <a:graphic>
              <a:graphicData uri="http://schemas.openxmlformats.org/drawingml/2006/picture">
                <pic:pic>
                  <pic:nvPicPr>
                    <pic:cNvPr id="0" name="02_component_architecture.png"/>
                    <pic:cNvPicPr/>
                  </pic:nvPicPr>
                  <pic:blipFill>
                    <a:blip r:embed="rId44">
                      <a:biLevel thresh="70000"/>
                    </a:blip>
                    <a:stretch>
                      <a:fillRect/>
                    </a:stretch>
                  </pic:blipFill>
                  <pic:spPr>
                    <a:xfrm>
                      <a:off x="0" y="0"/>
                      <a:ext cx="6126480" cy="4533595"/>
                    </a:xfrm>
                    <a:prstGeom prst="rect"/>
                  </pic:spPr>
                </pic:pic>
              </a:graphicData>
            </a:graphic>
          </wp:inline>
        </w:drawing>
      </w:r>
    </w:p>
    <w:p>
      <w:pPr>
        <w:pStyle w:val="Caption"/>
      </w:pPr>
      <w:r>
        <w:rPr>
          <w:color w:val="000000"/>
        </w:rPr>
        <w:t>Figure 3 API storage and asynchronous worker responsibilities</w:t>
      </w:r>
    </w:p>
    <w:p>
      <w:r>
        <w:rPr>
          <w:color w:val="000000"/>
        </w:rPr>
        <w:t>FastAPI validates imports and access, stores metadata and queues a job. A Celery worker reads private audio, runs transcription and extraction, and stores versioned results in PostgreSQL. Inference is separate from dashboard requests. Retention jobs remove active data and sensitive revisions under the agreed policy.</w:t>
      </w:r>
    </w:p>
    <w:p>
      <w:pPr>
        <w:pStyle w:val="Heading1"/>
      </w:pPr>
      <w:r>
        <w:rPr>
          <w:color w:val="000000"/>
        </w:rPr>
        <w:t>8 UX and prototype</w:t>
      </w:r>
    </w:p>
    <w:p>
      <w:r>
        <w:rPr>
          <w:color w:val="000000"/>
        </w:rPr>
        <w:t>Open prototype/index.html for the local clickable mockup. It contains synthetic data and manually written transcript examples; it illustrates interaction rather than a running speech service. Appendix F includes a screen preview.</w:t>
      </w:r>
    </w:p>
    <w:p>
      <w:r>
        <w:rPr>
          <w:color w:val="000000"/>
        </w:rPr>
        <w:t xml:space="preserve">The key flow is </w:t>
      </w:r>
      <w:r>
        <w:rPr>
          <w:b/>
          <w:color w:val="000000"/>
        </w:rPr>
        <w:t>map and validate IDs → inspect a call → follow an evidence timestamp → correct and review → filter the dashboard</w:t>
      </w:r>
      <w:r>
        <w:rPr>
          <w:color w:val="000000"/>
        </w:rPr>
        <w:t>. The fixture has eight calls and seven deals, including two calls for one deal, so reviewers can check that sales amounts are counted once. A failed-job example illustrates retry handling. Changes remain in browser memory.</w:t>
      </w:r>
    </w:p>
    <w:p>
      <w:pPr>
        <w:pStyle w:val="Heading1"/>
        <w:pageBreakBefore/>
      </w:pPr>
      <w:r>
        <w:rPr>
          <w:color w:val="000000"/>
        </w:rPr>
        <w:t>9 Verification and evaluation plan</w:t>
      </w:r>
    </w:p>
    <w:p>
      <w:r>
        <w:rPr>
          <w:color w:val="000000"/>
        </w:rPr>
        <w:t>The evaluation will separate transcription errors, extraction errors and workflow usability. The public-data profile and synthetic interface checks are complete; no model benchmark or representative-user study has been run. Appendix D gives the full protocol; Appendix B contains the T01–T22 test catalogue.</w:t>
      </w:r>
    </w:p>
    <w:tbl>
      <w:tblPr>
        <w:tblW w:type="auto" w:w="0"/>
        <w:jc w:val="center"/>
        <w:tblLayout w:type="fixed"/>
        <w:tblLook w:firstColumn="1" w:firstRow="1" w:lastColumn="0" w:lastRow="0" w:noHBand="0" w:noVBand="1" w:val="04A0"/>
      </w:tblPr>
      <w:tblGrid>
        <w:gridCol w:w="2131"/>
        <w:gridCol w:w="3240"/>
        <w:gridCol w:w="4435"/>
      </w:tblGrid>
      <w:tr>
        <w:trPr>
          <w:cantSplit/>
          <w:tblHeader w:val="true"/>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Question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Baseline or comparison</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Measure and proposed target</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Can we transcribe the target calls?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Selected local Whisper versus a smaller/faster local configuration; cloud only if permitted</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Per-language WER, business-entity exact match and valid timing. Provisional WER ≤25% Russian, ≤30% Kazakh; mixed speech reported separately.</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Are extracted items useful and supported?</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Keyword/rule extraction versus a schema-constrained model; test both gold and ASR transcripts</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Objection macro F1 ≥0.75 and action-event F1 ≥0.75, separately; raw evidence precision ≥0.95 against source truth. Zero fabricated numbers after human review.</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Does the workflow help users?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Matched tasks in the current manual process and the prototype</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Task completion, time, errors and assistance; 4 of 5 users complete the fixed three-task sequence without help in 10 minutes.</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Is the implementation practical?</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Same fixed fixtures, declared hardware and controlled concurrency</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API p95 ≤2 seconds; median ASR real-time factor ≤1 and p95 ≤2; report queue wait, end-to-end time and memory.</w:t>
            </w:r>
          </w:p>
        </w:tc>
      </w:tr>
    </w:tbl>
    <w:p>
      <w:pPr>
        <w:spacing w:line="60" w:lineRule="exact" w:after="80" w:before="0"/>
      </w:pPr>
      <w:r>
        <w:rPr>
          <w:color w:val="000000"/>
        </w:rPr>
      </w:r>
    </w:p>
    <w:p>
      <w:pPr>
        <w:pStyle w:val="Heading2"/>
      </w:pPr>
      <w:r>
        <w:rPr>
          <w:color w:val="000000"/>
        </w:rPr>
        <w:t>Data split and annotation</w:t>
      </w:r>
    </w:p>
    <w:p>
      <w:r>
        <w:rPr>
          <w:color w:val="000000"/>
        </w:rPr>
        <w:t>The feasibility target is 60 authorized calls: 20 mainly Russian, 20 mainly Kazakh and 20 mixed, about 2–15 minutes each. The 30/10/20 split is approximate: assign connected customer/speaker groups intact, then report achieved counts and missing strata. Four representatives may not permit the desired split. Obtain more independent groups or narrow the claim; never describe repeated-speaker partitions as speaker-independent. Freeze the manifest before tuning.</w:t>
      </w:r>
    </w:p>
    <w:p>
      <w:r>
        <w:rPr>
          <w:color w:val="000000"/>
        </w:rPr>
        <w:t>Two annotators label held-out material independently before adjudication. Report six binary objection-label agreement scores, event/field agreement and rare-class support. Score objections and next-action events separately; fix label and empty-output rules. Check factual support against audio or adjudicated gold, including ASR hallucinations. Appendix D defines matching, failed calls and grouped uncertainty.</w:t>
      </w:r>
    </w:p>
    <w:p>
      <w:pPr>
        <w:pStyle w:val="Heading2"/>
      </w:pPr>
      <w:r>
        <w:rPr>
          <w:color w:val="000000"/>
        </w:rPr>
        <w:t>Measurement conditions</w:t>
      </w:r>
    </w:p>
    <w:p>
      <w:r>
        <w:rPr>
          <w:color w:val="000000"/>
        </w:rPr>
        <w:t>Record model/runtime versions, decoding, hardware and audio conditions. Report real-time factor with warm-up and queue time separately. The future integrated usability study uses two equivalent fixtures with counterbalanced manual/application order; compare common outputs. The present sample-only HTML import cannot pass the full CSV, queueing or authentication requirements.</w:t>
      </w:r>
    </w:p>
    <w:p>
      <w:r>
        <w:rPr>
          <w:color w:val="000000"/>
        </w:rPr>
        <w:t>If enough legitimate linked outcomes become available, compare a constant baseline, structured-only logistic regression and structured-plus-conversation features on the same time/customer-separated split. Use PR AUC and calibration; exclude features unavailable at prediction time. This extension cannot yet support a claim of improved sales or causal revenue uplift.</w:t>
      </w:r>
    </w:p>
    <w:p>
      <w:pPr>
        <w:pStyle w:val="Heading1"/>
        <w:pageBreakBefore/>
      </w:pPr>
      <w:r>
        <w:rPr>
          <w:color w:val="000000"/>
        </w:rPr>
        <w:t>10 Project management and risks</w:t>
      </w:r>
    </w:p>
    <w:p>
      <w:r>
        <w:rPr>
          <w:color w:val="000000"/>
        </w:rPr>
        <w:t>The allocations below are proposed. Each member will review another member’s work and keep evidence of substantive changes. The full assigned backlog W01–W15 and risk register R01–R09 are in Appendix E and the planning files.</w:t>
      </w:r>
    </w:p>
    <w:tbl>
      <w:tblPr>
        <w:tblW w:type="auto" w:w="0"/>
        <w:jc w:val="center"/>
        <w:tblLayout w:type="fixed"/>
        <w:tblLook w:firstColumn="1" w:firstRow="1" w:lastColumn="0" w:lastRow="0" w:noHBand="0" w:noVBand="1" w:val="04A0"/>
      </w:tblPr>
      <w:tblGrid>
        <w:gridCol w:w="2736"/>
        <w:gridCol w:w="4392"/>
        <w:gridCol w:w="2678"/>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Owner</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Work before the checkpoint</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Review focus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Rashiduly Bekzat</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Confirm schema/data access; review architecture; coordinate supervisor feedback</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Interfaces permissions and metric correctness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Taubasar Dameli Almabekkyzy</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Refine prototype; agree API states; review sources and user needs</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Frontend integration and usability</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Amangeldiev Diasbek Yernarovich</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Confirm speech/annotation protocol; reproduce data profile; rehearse evaluation</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Reproducibility language quality and integration</w:t>
            </w:r>
          </w:p>
        </w:tc>
      </w:tr>
    </w:tbl>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1368"/>
        <w:gridCol w:w="4968"/>
        <w:gridCol w:w="3470"/>
      </w:tblGrid>
      <w:tr>
        <w:trPr>
          <w:cantSplit/>
          <w:tblHeader w:val="true"/>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Date</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milestone</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Evidence</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22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Review scope sources schema and task allocation</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Corrected drafts and confirmed responsibilities</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23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3–5 discussions data-access check UX walkthrough and supervisor review</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Deidentified findings real comments and revision actions</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24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Resolve comments verify materials and rehearse</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Updated report limitations and genuine tracking links when available</w:t>
            </w:r>
          </w:p>
        </w:tc>
      </w:tr>
    </w:tbl>
    <w:p>
      <w:pPr>
        <w:spacing w:line="60" w:lineRule="exact" w:after="80" w:before="0"/>
      </w:pPr>
      <w:r>
        <w:rPr>
          <w:color w:val="000000"/>
        </w:rPr>
      </w:r>
    </w:p>
    <w:p>
      <w:r>
        <w:rPr>
          <w:color w:val="000000"/>
        </w:rPr>
        <w:t>The main risks are unavailable recordings or join keys, weak language accuracy, unsupported extracted facts, outcome leakage and delayed stakeholder/supervisor access. Responses are a documented data agreement, stratified pilot, human evidence review, time/customer split and a narrower scope where necessary. Compute limits may require a smaller model or a permitted managed adapter.</w:t>
      </w:r>
    </w:p>
    <w:p>
      <w:r>
        <w:rPr>
          <w:color w:val="000000"/>
        </w:rPr>
        <w:t>On 23 October, the prepared package is published in draft PR 2 at https://github.com/ddigreen/sales-analytics-stt. YouTrack at https://sales-analytics-stt-team.youtrack.cloud/projects/SASTT has 12 assigned Open issues. Source checks, public-data reproduction and technical prototype checks are recorded; genuine student review, stakeholder evidence, supervisor feedback, reviewer access and the submission tag remain pending. Publication does not establish earlier progressive student development.</w:t>
      </w:r>
    </w:p>
    <w:p>
      <w:pPr>
        <w:pStyle w:val="Heading1"/>
      </w:pPr>
      <w:r>
        <w:rPr>
          <w:color w:val="000000"/>
        </w:rPr>
        <w:t>11 Supervisor feedback and next steps</w:t>
      </w:r>
    </w:p>
    <w:p>
      <w:r>
        <w:rPr>
          <w:color w:val="000000"/>
        </w:rPr>
        <w:t xml:space="preserve">Review with </w:t>
      </w:r>
      <w:r>
        <w:rPr>
          <w:b/>
          <w:color w:val="000000"/>
        </w:rPr>
        <w:t>Orynbek Alibek Sarsenbekuly</w:t>
      </w:r>
      <w:r>
        <w:rPr>
          <w:color w:val="000000"/>
        </w:rPr>
        <w:t xml:space="preserve"> is pending. The discussion should confirm the pilot scope and data access, assess the research gap, review the architecture and evaluation targets, and agree the next implementation milestone.</w:t>
      </w:r>
    </w:p>
    <w:p>
      <w:r>
        <w:rPr>
          <w:color w:val="000000"/>
        </w:rPr>
        <w:t>After the meeting, record the actual date, artifact version, comment, decision, owner and resulting revision. Appendix F contains the feedback form. The remaining checkpoint evidence is stakeholder/client confirmation, approved recording access, supervisor feedback and revisions, and the actual tracking and contribution record. Application implementation continues after this checkpoint.</w:t>
      </w:r>
    </w:p>
    <w:p>
      <w:pPr>
        <w:pStyle w:val="Heading1"/>
        <w:pageBreakBefore/>
      </w:pPr>
      <w:r>
        <w:rPr>
          <w:color w:val="000000"/>
        </w:rPr>
        <w:t>References</w:t>
      </w:r>
    </w:p>
    <w:p>
      <w:r>
        <w:rPr>
          <w:color w:val="000000"/>
        </w:rPr>
        <w:t>Article IDs match the literature table. Titles link to the primary publication. Full authors, DOI details, access notes and claim locations are in Appendix A and research/references.bib.</w:t>
      </w:r>
    </w:p>
    <w:p>
      <w:pPr>
        <w:keepLines/>
        <w:spacing w:after="140"/>
      </w:pPr>
      <w:r>
        <w:rPr>
          <w:sz w:val="20"/>
          <w:color w:val="000000"/>
        </w:rPr>
      </w:r>
      <w:r>
        <w:rPr>
          <w:b/>
          <w:sz w:val="20"/>
          <w:color w:val="000000"/>
        </w:rPr>
        <w:t xml:space="preserve">L01  </w:t>
      </w:r>
      <w:r>
        <w:rPr>
          <w:sz w:val="20"/>
          <w:color w:val="000000"/>
        </w:rPr>
        <w:t xml:space="preserve">Alec Radford et al. (2023). </w:t>
      </w:r>
      <w:hyperlink r:id="rId45">
        <w:r>
          <w:rPr>
            <w:color w:val="000000"/>
            <w:u w:val="single"/>
            <w:sz w:val="20"/>
          </w:rPr>
          <w:t>Robust Speech Recognition via Large-Scale Weak Supervision</w:t>
        </w:r>
      </w:hyperlink>
      <w:r>
        <w:rPr>
          <w:sz w:val="20"/>
          <w:color w:val="000000"/>
        </w:rPr>
        <w:t>. ICML.</w:t>
      </w:r>
    </w:p>
    <w:p>
      <w:pPr>
        <w:keepLines/>
        <w:spacing w:after="140"/>
      </w:pPr>
      <w:r>
        <w:rPr>
          <w:sz w:val="20"/>
          <w:color w:val="000000"/>
        </w:rPr>
      </w:r>
      <w:r>
        <w:rPr>
          <w:b/>
          <w:sz w:val="20"/>
          <w:color w:val="000000"/>
        </w:rPr>
        <w:t xml:space="preserve">L02  </w:t>
      </w:r>
      <w:r>
        <w:rPr>
          <w:sz w:val="20"/>
          <w:color w:val="000000"/>
        </w:rPr>
        <w:t xml:space="preserve">Max Bain et al. (2023). </w:t>
      </w:r>
      <w:hyperlink r:id="rId46">
        <w:r>
          <w:rPr>
            <w:color w:val="000000"/>
            <w:u w:val="single"/>
            <w:sz w:val="20"/>
          </w:rPr>
          <w:t>WhisperX: Time-Accurate Speech Transcription of Long-Form Audio</w:t>
        </w:r>
      </w:hyperlink>
      <w:r>
        <w:rPr>
          <w:sz w:val="20"/>
          <w:color w:val="000000"/>
        </w:rPr>
        <w:t>. Interspeech.</w:t>
      </w:r>
    </w:p>
    <w:p>
      <w:pPr>
        <w:keepLines/>
        <w:spacing w:after="140"/>
      </w:pPr>
      <w:r>
        <w:rPr>
          <w:sz w:val="20"/>
          <w:color w:val="000000"/>
        </w:rPr>
      </w:r>
      <w:r>
        <w:rPr>
          <w:b/>
          <w:sz w:val="20"/>
          <w:color w:val="000000"/>
        </w:rPr>
        <w:t xml:space="preserve">L03  </w:t>
      </w:r>
      <w:r>
        <w:rPr>
          <w:sz w:val="20"/>
          <w:color w:val="000000"/>
        </w:rPr>
        <w:t xml:space="preserve">Hervé Bredin (2023). </w:t>
      </w:r>
      <w:hyperlink r:id="rId47">
        <w:r>
          <w:rPr>
            <w:color w:val="000000"/>
            <w:u w:val="single"/>
            <w:sz w:val="20"/>
          </w:rPr>
          <w:t>pyannote.audio 2.1 speaker diarization pipeline: principle, benchmark, and recipe</w:t>
        </w:r>
      </w:hyperlink>
      <w:r>
        <w:rPr>
          <w:sz w:val="20"/>
          <w:color w:val="000000"/>
        </w:rPr>
        <w:t>. Interspeech.</w:t>
      </w:r>
    </w:p>
    <w:p>
      <w:pPr>
        <w:keepLines/>
        <w:spacing w:after="140"/>
      </w:pPr>
      <w:r>
        <w:rPr>
          <w:sz w:val="20"/>
          <w:color w:val="000000"/>
        </w:rPr>
      </w:r>
      <w:r>
        <w:rPr>
          <w:b/>
          <w:sz w:val="20"/>
          <w:color w:val="000000"/>
        </w:rPr>
        <w:t xml:space="preserve">L04  </w:t>
      </w:r>
      <w:r>
        <w:rPr>
          <w:sz w:val="20"/>
          <w:color w:val="000000"/>
        </w:rPr>
        <w:t xml:space="preserve">Saida Mussakhojayeva et al. (2022). </w:t>
      </w:r>
      <w:hyperlink r:id="rId48">
        <w:r>
          <w:rPr>
            <w:color w:val="000000"/>
            <w:u w:val="single"/>
            <w:sz w:val="20"/>
          </w:rPr>
          <w:t>KSC2: An Industrial-Scale Open-Source Kazakh Speech Corpus</w:t>
        </w:r>
      </w:hyperlink>
      <w:r>
        <w:rPr>
          <w:sz w:val="20"/>
          <w:color w:val="000000"/>
        </w:rPr>
        <w:t>. Interspeech.</w:t>
      </w:r>
    </w:p>
    <w:p>
      <w:pPr>
        <w:keepLines/>
        <w:spacing w:after="140"/>
      </w:pPr>
      <w:r>
        <w:rPr>
          <w:sz w:val="20"/>
          <w:color w:val="000000"/>
        </w:rPr>
      </w:r>
      <w:r>
        <w:rPr>
          <w:b/>
          <w:sz w:val="20"/>
          <w:color w:val="000000"/>
        </w:rPr>
        <w:t xml:space="preserve">L05  </w:t>
      </w:r>
      <w:r>
        <w:rPr>
          <w:sz w:val="20"/>
          <w:color w:val="000000"/>
        </w:rPr>
        <w:t xml:space="preserve">Abedelkadir Asi et al. (2022). </w:t>
      </w:r>
      <w:hyperlink r:id="rId49">
        <w:r>
          <w:rPr>
            <w:color w:val="000000"/>
            <w:u w:val="single"/>
            <w:sz w:val="20"/>
          </w:rPr>
          <w:t>An End-to-End Dialogue Summarization System for Sales Calls</w:t>
        </w:r>
      </w:hyperlink>
      <w:r>
        <w:rPr>
          <w:sz w:val="20"/>
          <w:color w:val="000000"/>
        </w:rPr>
        <w:t>. NAACL Industry Track.</w:t>
      </w:r>
    </w:p>
    <w:p>
      <w:pPr>
        <w:keepLines/>
        <w:spacing w:after="140"/>
      </w:pPr>
      <w:r>
        <w:rPr>
          <w:sz w:val="20"/>
          <w:color w:val="000000"/>
        </w:rPr>
      </w:r>
      <w:r>
        <w:rPr>
          <w:b/>
          <w:sz w:val="20"/>
          <w:color w:val="000000"/>
        </w:rPr>
        <w:t xml:space="preserve">L06  </w:t>
      </w:r>
      <w:r>
        <w:rPr>
          <w:sz w:val="20"/>
          <w:color w:val="000000"/>
        </w:rPr>
        <w:t xml:space="preserve">Ming Zhong et al. (2021). </w:t>
      </w:r>
      <w:hyperlink r:id="rId50">
        <w:r>
          <w:rPr>
            <w:color w:val="000000"/>
            <w:u w:val="single"/>
            <w:sz w:val="20"/>
          </w:rPr>
          <w:t>QMSum: A New Benchmark for Query-based Multi-domain Meeting Summarization</w:t>
        </w:r>
      </w:hyperlink>
      <w:r>
        <w:rPr>
          <w:sz w:val="20"/>
          <w:color w:val="000000"/>
        </w:rPr>
        <w:t>. NAACL.</w:t>
      </w:r>
    </w:p>
    <w:p>
      <w:pPr>
        <w:keepLines/>
        <w:spacing w:after="140"/>
      </w:pPr>
      <w:r>
        <w:rPr>
          <w:sz w:val="20"/>
          <w:color w:val="000000"/>
        </w:rPr>
      </w:r>
      <w:r>
        <w:rPr>
          <w:b/>
          <w:sz w:val="20"/>
          <w:color w:val="000000"/>
        </w:rPr>
        <w:t xml:space="preserve">L07  </w:t>
      </w:r>
      <w:r>
        <w:rPr>
          <w:sz w:val="20"/>
          <w:color w:val="000000"/>
        </w:rPr>
        <w:t xml:space="preserve">Xiangru Tang et al. (2022). </w:t>
      </w:r>
      <w:hyperlink r:id="rId51">
        <w:r>
          <w:rPr>
            <w:color w:val="000000"/>
            <w:u w:val="single"/>
            <w:sz w:val="20"/>
          </w:rPr>
          <w:t>CONFIT: Toward Faithful Dialogue Summarization with Linguistically-Informed Contrastive Fine-tuning</w:t>
        </w:r>
      </w:hyperlink>
      <w:r>
        <w:rPr>
          <w:sz w:val="20"/>
          <w:color w:val="000000"/>
        </w:rPr>
        <w:t>. NAACL.</w:t>
      </w:r>
    </w:p>
    <w:p>
      <w:pPr>
        <w:keepLines/>
        <w:spacing w:after="140"/>
      </w:pPr>
      <w:r>
        <w:rPr>
          <w:sz w:val="20"/>
          <w:color w:val="000000"/>
        </w:rPr>
      </w:r>
      <w:r>
        <w:rPr>
          <w:b/>
          <w:sz w:val="20"/>
          <w:color w:val="000000"/>
        </w:rPr>
        <w:t xml:space="preserve">L08  </w:t>
      </w:r>
      <w:r>
        <w:rPr>
          <w:sz w:val="20"/>
          <w:color w:val="000000"/>
        </w:rPr>
        <w:t xml:space="preserve">Allison Koenecke et al. (2024). </w:t>
      </w:r>
      <w:hyperlink r:id="rId52">
        <w:r>
          <w:rPr>
            <w:color w:val="000000"/>
            <w:u w:val="single"/>
            <w:sz w:val="20"/>
          </w:rPr>
          <w:t>Careless Whisper: Speech-to-Text Hallucination Harms</w:t>
        </w:r>
      </w:hyperlink>
      <w:r>
        <w:rPr>
          <w:sz w:val="20"/>
          <w:color w:val="000000"/>
        </w:rPr>
        <w:t>. ACM FAccT.</w:t>
      </w:r>
    </w:p>
    <w:p>
      <w:pPr>
        <w:keepLines/>
        <w:spacing w:after="140"/>
      </w:pPr>
      <w:r>
        <w:rPr>
          <w:sz w:val="20"/>
          <w:color w:val="000000"/>
        </w:rPr>
      </w:r>
      <w:r>
        <w:rPr>
          <w:b/>
          <w:sz w:val="20"/>
          <w:color w:val="000000"/>
        </w:rPr>
        <w:t xml:space="preserve">L09  </w:t>
      </w:r>
      <w:r>
        <w:rPr>
          <w:sz w:val="20"/>
          <w:color w:val="000000"/>
        </w:rPr>
        <w:t xml:space="preserve">Joona Mäntyvaara et al. (2026). </w:t>
      </w:r>
      <w:hyperlink r:id="rId53">
        <w:r>
          <w:rPr>
            <w:color w:val="000000"/>
            <w:u w:val="single"/>
            <w:sz w:val="20"/>
          </w:rPr>
          <w:t>AI-assisted sales coaching framework: Empirically-derived models for B2B communication analysis</w:t>
        </w:r>
      </w:hyperlink>
      <w:r>
        <w:rPr>
          <w:sz w:val="20"/>
          <w:color w:val="000000"/>
        </w:rPr>
        <w:t>. Array 30 100755.</w:t>
      </w:r>
    </w:p>
    <w:p>
      <w:pPr>
        <w:keepLines/>
        <w:spacing w:after="140"/>
      </w:pPr>
      <w:r>
        <w:rPr>
          <w:sz w:val="20"/>
          <w:color w:val="000000"/>
        </w:rPr>
      </w:r>
      <w:r>
        <w:rPr>
          <w:b/>
          <w:sz w:val="20"/>
          <w:color w:val="000000"/>
        </w:rPr>
        <w:t xml:space="preserve">L10  </w:t>
      </w:r>
      <w:r>
        <w:rPr>
          <w:sz w:val="20"/>
          <w:color w:val="000000"/>
        </w:rPr>
        <w:t xml:space="preserve">Jutta Stock et al. (2024). </w:t>
      </w:r>
      <w:hyperlink r:id="rId54">
        <w:r>
          <w:rPr>
            <w:color w:val="000000"/>
            <w:u w:val="single"/>
            <w:sz w:val="20"/>
          </w:rPr>
          <w:t>Annotating Customer-Oriented Behaviour in Call Centre Sales Dialogues</w:t>
        </w:r>
      </w:hyperlink>
      <w:r>
        <w:rPr>
          <w:sz w:val="20"/>
          <w:color w:val="000000"/>
        </w:rPr>
        <w:t>. LREC COLING.</w:t>
      </w:r>
    </w:p>
    <w:p>
      <w:pPr>
        <w:keepLines/>
        <w:spacing w:after="140"/>
      </w:pPr>
      <w:r>
        <w:rPr>
          <w:sz w:val="20"/>
          <w:color w:val="000000"/>
        </w:rPr>
      </w:r>
      <w:r>
        <w:rPr>
          <w:b/>
          <w:sz w:val="20"/>
          <w:color w:val="000000"/>
        </w:rPr>
        <w:t xml:space="preserve">L11  </w:t>
      </w:r>
      <w:r>
        <w:rPr>
          <w:sz w:val="20"/>
          <w:color w:val="000000"/>
        </w:rPr>
        <w:t xml:space="preserve">Xue-Yong Fu et al. (2022). </w:t>
      </w:r>
      <w:hyperlink r:id="rId55">
        <w:r>
          <w:rPr>
            <w:color w:val="000000"/>
            <w:u w:val="single"/>
            <w:sz w:val="20"/>
          </w:rPr>
          <w:t>Entity-level Sentiment Analysis in Contact Center Telephone Conversations</w:t>
        </w:r>
      </w:hyperlink>
      <w:r>
        <w:rPr>
          <w:sz w:val="20"/>
          <w:color w:val="000000"/>
        </w:rPr>
        <w:t>. EMNLP Industry Track.</w:t>
      </w:r>
    </w:p>
    <w:p>
      <w:pPr>
        <w:keepLines/>
        <w:spacing w:after="140"/>
      </w:pPr>
      <w:r>
        <w:rPr>
          <w:sz w:val="20"/>
          <w:color w:val="000000"/>
        </w:rPr>
      </w:r>
      <w:r>
        <w:rPr>
          <w:b/>
          <w:sz w:val="20"/>
          <w:color w:val="000000"/>
        </w:rPr>
        <w:t xml:space="preserve">L12  </w:t>
      </w:r>
      <w:r>
        <w:rPr>
          <w:sz w:val="20"/>
          <w:color w:val="000000"/>
        </w:rPr>
        <w:t xml:space="preserve">Valerie Good et al. (2026). </w:t>
      </w:r>
      <w:hyperlink r:id="rId56">
        <w:r>
          <w:rPr>
            <w:color w:val="000000"/>
            <w:u w:val="single"/>
            <w:sz w:val="20"/>
          </w:rPr>
          <w:t>Determining the quality of B2C sales leads from online chats</w:t>
        </w:r>
      </w:hyperlink>
      <w:r>
        <w:rPr>
          <w:sz w:val="20"/>
          <w:color w:val="000000"/>
        </w:rPr>
        <w:t>. International Journal of Research in Marketing 43.</w:t>
      </w:r>
    </w:p>
    <w:p>
      <w:pPr>
        <w:keepLines/>
        <w:spacing w:after="140"/>
      </w:pPr>
      <w:r>
        <w:rPr>
          <w:sz w:val="20"/>
          <w:color w:val="000000"/>
        </w:rPr>
      </w:r>
      <w:r>
        <w:rPr>
          <w:b/>
          <w:sz w:val="20"/>
          <w:color w:val="000000"/>
        </w:rPr>
        <w:t xml:space="preserve">L13  </w:t>
      </w:r>
      <w:r>
        <w:rPr>
          <w:sz w:val="20"/>
          <w:color w:val="000000"/>
        </w:rPr>
        <w:t xml:space="preserve">Valter Afonso Vieira et al. (2024). </w:t>
      </w:r>
      <w:hyperlink r:id="rId57">
        <w:r>
          <w:rPr>
            <w:color w:val="000000"/>
            <w:u w:val="single"/>
            <w:sz w:val="20"/>
          </w:rPr>
          <w:t>Drivers of industrial sales performance in the agent-buyer chat channel: The role of social and functional content, message valence, and synchronicity</w:t>
        </w:r>
      </w:hyperlink>
      <w:r>
        <w:rPr>
          <w:sz w:val="20"/>
          <w:color w:val="000000"/>
        </w:rPr>
        <w:t>. Journal of Retailing and Consumer Services 78.</w:t>
      </w:r>
    </w:p>
    <w:p>
      <w:pPr>
        <w:keepLines/>
        <w:spacing w:after="140"/>
      </w:pPr>
      <w:r>
        <w:rPr>
          <w:sz w:val="20"/>
          <w:color w:val="000000"/>
        </w:rPr>
      </w:r>
      <w:r>
        <w:rPr>
          <w:b/>
          <w:sz w:val="20"/>
          <w:color w:val="000000"/>
        </w:rPr>
        <w:t xml:space="preserve">L14  </w:t>
      </w:r>
      <w:r>
        <w:rPr>
          <w:sz w:val="20"/>
          <w:color w:val="000000"/>
        </w:rPr>
        <w:t xml:space="preserve">Bogdana Humă et al. (2023). </w:t>
      </w:r>
      <w:hyperlink r:id="rId58">
        <w:r>
          <w:rPr>
            <w:color w:val="000000"/>
            <w:u w:val="single"/>
            <w:sz w:val="20"/>
          </w:rPr>
          <w:t>Resistance in Business-to-Business “Cold” Sales Calls</w:t>
        </w:r>
      </w:hyperlink>
      <w:r>
        <w:rPr>
          <w:sz w:val="20"/>
          <w:color w:val="000000"/>
        </w:rPr>
        <w:t>. Journal of Language and Social Psychology 42.</w:t>
      </w:r>
    </w:p>
    <w:p>
      <w:pPr>
        <w:keepLines/>
        <w:spacing w:after="140"/>
      </w:pPr>
      <w:r>
        <w:rPr>
          <w:sz w:val="20"/>
          <w:color w:val="000000"/>
        </w:rPr>
      </w:r>
      <w:r>
        <w:rPr>
          <w:b/>
          <w:sz w:val="20"/>
          <w:color w:val="000000"/>
        </w:rPr>
        <w:t xml:space="preserve">L15  </w:t>
      </w:r>
      <w:r>
        <w:rPr>
          <w:sz w:val="20"/>
          <w:color w:val="000000"/>
        </w:rPr>
        <w:t xml:space="preserve">Yuanfeng Song et al. (2021). </w:t>
      </w:r>
      <w:hyperlink r:id="rId59">
        <w:r>
          <w:rPr>
            <w:color w:val="000000"/>
            <w:u w:val="single"/>
            <w:sz w:val="20"/>
          </w:rPr>
          <w:t>SmartSales: An AI-Powered Telemarketing Coaching System in FinTech</w:t>
        </w:r>
      </w:hyperlink>
      <w:r>
        <w:rPr>
          <w:sz w:val="20"/>
          <w:color w:val="000000"/>
        </w:rPr>
        <w:t>. ACM Multimedia.</w:t>
      </w:r>
    </w:p>
    <w:p>
      <w:pPr>
        <w:keepLines/>
      </w:pPr>
      <w:r>
        <w:rPr>
          <w:color w:val="000000"/>
        </w:rPr>
      </w:r>
      <w:r>
        <w:rPr>
          <w:b/>
          <w:color w:val="000000"/>
        </w:rPr>
        <w:t xml:space="preserve">DATA1  </w:t>
      </w:r>
      <w:r>
        <w:rPr>
          <w:color w:val="000000"/>
        </w:rPr>
        <w:t xml:space="preserve">Moro, S., Rita, P., and Cortez, P. (2014). </w:t>
      </w:r>
      <w:hyperlink r:id="rId60">
        <w:r>
          <w:rPr>
            <w:color w:val="000000"/>
            <w:u w:val="single"/>
          </w:rPr>
          <w:t>Bank Marketing dataset</w:t>
        </w:r>
      </w:hyperlink>
      <w:r>
        <w:rPr>
          <w:color w:val="000000"/>
        </w:rPr>
        <w:t>. UCI Machine Learning Repository. DOI 10.24432/C5K306. CC BY 4.0. The analyzed variant is bank-additional-full.csv.</w:t>
      </w:r>
    </w:p>
    <w:p>
      <w:r>
        <w:rPr>
          <w:color w:val="000000"/>
        </w:rPr>
      </w:r>
      <w:r>
        <w:rPr>
          <w:b/>
          <w:color w:val="000000"/>
        </w:rPr>
        <w:t>Appendix guide</w:t>
      </w:r>
      <w:r>
        <w:rPr>
          <w:color w:val="000000"/>
        </w:rPr>
        <w:t xml:space="preserve">  A Source analysis; B Full requirements and tests; C Data and access contract; D Evaluation protocol; E Backlog and risks; F Collection forms and UX preview; G Official comparison evidence. These are supplied in research_appendices.docx alongside this report.</w:t>
      </w:r>
    </w:p>
    <w:sectPr w:rsidR="00FC693F" w:rsidRPr="0006063C" w:rsidSect="00034616">
      <w:pgSz w:w="11909" w:h="16834"/>
      <w:pgMar w:top="1008" w:right="1051" w:bottom="1008" w:left="105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color w:val="000000"/>
      </w:rPr>
      <w:t xml:space="preserve">22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Sales analytics research and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i/>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gong.io/conversation-intelligence" TargetMode="External"/><Relationship Id="rId12" Type="http://schemas.openxmlformats.org/officeDocument/2006/relationships/hyperlink" Target="https://www.salesloft.com/company/newsroom/salesloft-conversation-intelligence" TargetMode="External"/><Relationship Id="rId13" Type="http://schemas.openxmlformats.org/officeDocument/2006/relationships/hyperlink" Target="https://knowledge.hubspot.com/calling/review-call-recordings-and-transcripts" TargetMode="External"/><Relationship Id="rId14" Type="http://schemas.openxmlformats.org/officeDocument/2006/relationships/hyperlink" Target="https://learn.microsoft.com/en-us/dynamics365/sales/faq-conversation-intelligence" TargetMode="External"/><Relationship Id="rId15" Type="http://schemas.openxmlformats.org/officeDocument/2006/relationships/hyperlink" Target="https://help.gong.io/docs/explore-call-content" TargetMode="External"/><Relationship Id="rId16" Type="http://schemas.openxmlformats.org/officeDocument/2006/relationships/hyperlink" Target="https://help.salesloft.com/s/article/Conversation-Intelligence-Call-Review-Page-UI-Reference?language=en_US" TargetMode="External"/><Relationship Id="rId17" Type="http://schemas.openxmlformats.org/officeDocument/2006/relationships/hyperlink" Target="https://learn.microsoft.com/en-us/dynamics365/sales/view-and-understand-call-summary-sales-app" TargetMode="External"/><Relationship Id="rId18" Type="http://schemas.openxmlformats.org/officeDocument/2006/relationships/hyperlink" Target="https://help.gong.io/docs/crm-integrations" TargetMode="External"/><Relationship Id="rId19" Type="http://schemas.openxmlformats.org/officeDocument/2006/relationships/hyperlink" Target="https://help.salesloft.com/s/article/Integrate-Salesforce-with-Conversation-Intelligence?language=en_US" TargetMode="External"/><Relationship Id="rId20" Type="http://schemas.openxmlformats.org/officeDocument/2006/relationships/hyperlink" Target="https://learn.microsoft.com/en-us/dynamics365/sales/language-support-conversation-intelligence" TargetMode="External"/><Relationship Id="rId21" Type="http://schemas.openxmlformats.org/officeDocument/2006/relationships/hyperlink" Target="https://help.gong.io/docs/en/analyze-team-performance" TargetMode="External"/><Relationship Id="rId22" Type="http://schemas.openxmlformats.org/officeDocument/2006/relationships/hyperlink" Target="https://help.salesloft.com/s/article/Set-Up-Topics-and-Filters-in-Conversation-Intelligence?language=en_US" TargetMode="External"/><Relationship Id="rId23" Type="http://schemas.openxmlformats.org/officeDocument/2006/relationships/hyperlink" Target="https://learn.microsoft.com/en-us/dynamics365/sales/dynamics365-sales-insights-app-home-page" TargetMode="External"/><Relationship Id="rId24" Type="http://schemas.openxmlformats.org/officeDocument/2006/relationships/hyperlink" Target="https://help.gong.io/docs/what-languages-are-supported-in-gong" TargetMode="External"/><Relationship Id="rId25" Type="http://schemas.openxmlformats.org/officeDocument/2006/relationships/hyperlink" Target="https://help.salesloft.com/s/article/Conversations-Transcripts?language=en_US" TargetMode="External"/><Relationship Id="rId26" Type="http://schemas.openxmlformats.org/officeDocument/2006/relationships/hyperlink" Target="https://knowledge.hubspot.com/help-and-resources/hubspot-language-offerings" TargetMode="External"/><Relationship Id="rId27" Type="http://schemas.openxmlformats.org/officeDocument/2006/relationships/hyperlink" Target="https://help.gong.io/docs/plans-and-seats" TargetMode="External"/><Relationship Id="rId28" Type="http://schemas.openxmlformats.org/officeDocument/2006/relationships/hyperlink" Target="https://learn.microsoft.com/en-us/dynamics365/sales/intro-admin-guide-sales-insights" TargetMode="External"/><Relationship Id="rId29" Type="http://schemas.openxmlformats.org/officeDocument/2006/relationships/hyperlink" Target="https://fastapi.tiangolo.com/features/" TargetMode="External"/><Relationship Id="rId30" Type="http://schemas.openxmlformats.org/officeDocument/2006/relationships/hyperlink" Target="https://docs.djangoproject.com/en/6.1/intro/overview/" TargetMode="External"/><Relationship Id="rId31" Type="http://schemas.openxmlformats.org/officeDocument/2006/relationships/hyperlink" Target="https://docs.nestjs.com/first-steps" TargetMode="External"/><Relationship Id="rId32" Type="http://schemas.openxmlformats.org/officeDocument/2006/relationships/hyperlink" Target="https://www.postgresql.org/docs/current/ddl-constraints.html" TargetMode="External"/><Relationship Id="rId33" Type="http://schemas.openxmlformats.org/officeDocument/2006/relationships/hyperlink" Target="https://www.postgresql.org/docs/current/datatype-json.html" TargetMode="External"/><Relationship Id="rId34" Type="http://schemas.openxmlformats.org/officeDocument/2006/relationships/hyperlink" Target="https://www.sqlite.org/whentouse.html" TargetMode="External"/><Relationship Id="rId35" Type="http://schemas.openxmlformats.org/officeDocument/2006/relationships/hyperlink" Target="https://www.mongodb.com/docs/manual/data-modeling/" TargetMode="External"/><Relationship Id="rId36" Type="http://schemas.openxmlformats.org/officeDocument/2006/relationships/hyperlink" Target="https://github.com/openai/whisper" TargetMode="External"/><Relationship Id="rId37" Type="http://schemas.openxmlformats.org/officeDocument/2006/relationships/hyperlink" Target="https://learn.microsoft.com/en-us/azure/ai-services/speech-service/speech-to-text" TargetMode="External"/><Relationship Id="rId38" Type="http://schemas.openxmlformats.org/officeDocument/2006/relationships/hyperlink" Target="https://cloud.google.com/speech-to-text/docs/batch-recognize" TargetMode="External"/><Relationship Id="rId39" Type="http://schemas.openxmlformats.org/officeDocument/2006/relationships/hyperlink" Target="https://docs.cloud.google.com/speech-to-text/docs/speech-to-text-supported-languages" TargetMode="External"/><Relationship Id="rId40" Type="http://schemas.openxmlformats.org/officeDocument/2006/relationships/hyperlink" Target="https://fastapi.tiangolo.com/tutorial/background-tasks/" TargetMode="External"/><Relationship Id="rId41" Type="http://schemas.openxmlformats.org/officeDocument/2006/relationships/hyperlink" Target="https://docs.celeryq.dev/en/stable/getting-started/introduction.html" TargetMode="External"/><Relationship Id="rId42" Type="http://schemas.openxmlformats.org/officeDocument/2006/relationships/image" Target="media/image1.png"/><Relationship Id="rId43" Type="http://schemas.openxmlformats.org/officeDocument/2006/relationships/image" Target="media/image2.png"/><Relationship Id="rId44" Type="http://schemas.openxmlformats.org/officeDocument/2006/relationships/image" Target="media/image3.png"/><Relationship Id="rId45" Type="http://schemas.openxmlformats.org/officeDocument/2006/relationships/hyperlink" Target="https://proceedings.mlr.press/v202/radford23a.html" TargetMode="External"/><Relationship Id="rId46" Type="http://schemas.openxmlformats.org/officeDocument/2006/relationships/hyperlink" Target="https://www.isca-archive.org/interspeech_2023/bain23_interspeech.html" TargetMode="External"/><Relationship Id="rId47" Type="http://schemas.openxmlformats.org/officeDocument/2006/relationships/hyperlink" Target="https://www.isca-archive.org/interspeech_2023/bredin23_interspeech.html" TargetMode="External"/><Relationship Id="rId48" Type="http://schemas.openxmlformats.org/officeDocument/2006/relationships/hyperlink" Target="https://www.isca-archive.org/interspeech_2022/mussakhojayeva22_interspeech.html" TargetMode="External"/><Relationship Id="rId49" Type="http://schemas.openxmlformats.org/officeDocument/2006/relationships/hyperlink" Target="https://aclanthology.org/2022.naacl-industry.6/" TargetMode="External"/><Relationship Id="rId50" Type="http://schemas.openxmlformats.org/officeDocument/2006/relationships/hyperlink" Target="https://aclanthology.org/2021.naacl-main.472/" TargetMode="External"/><Relationship Id="rId51" Type="http://schemas.openxmlformats.org/officeDocument/2006/relationships/hyperlink" Target="https://aclanthology.org/2022.naacl-main.415/" TargetMode="External"/><Relationship Id="rId52" Type="http://schemas.openxmlformats.org/officeDocument/2006/relationships/hyperlink" Target="https://doi.org/10.1145/3630106.3658996" TargetMode="External"/><Relationship Id="rId53" Type="http://schemas.openxmlformats.org/officeDocument/2006/relationships/hyperlink" Target="https://doi.org/10.1016/j.array.2026.100755" TargetMode="External"/><Relationship Id="rId54" Type="http://schemas.openxmlformats.org/officeDocument/2006/relationships/hyperlink" Target="https://aclanthology.org/2024.lrec-main.107/" TargetMode="External"/><Relationship Id="rId55" Type="http://schemas.openxmlformats.org/officeDocument/2006/relationships/hyperlink" Target="https://aclanthology.org/2022.emnlp-industry.49/" TargetMode="External"/><Relationship Id="rId56" Type="http://schemas.openxmlformats.org/officeDocument/2006/relationships/hyperlink" Target="https://doi.org/10.1016/j.ijresmar.2025.07.001" TargetMode="External"/><Relationship Id="rId57" Type="http://schemas.openxmlformats.org/officeDocument/2006/relationships/hyperlink" Target="https://doi.org/10.1016/j.jretconser.2024.103774" TargetMode="External"/><Relationship Id="rId58" Type="http://schemas.openxmlformats.org/officeDocument/2006/relationships/hyperlink" Target="https://doi.org/10.1177/0261927X231185520" TargetMode="External"/><Relationship Id="rId59" Type="http://schemas.openxmlformats.org/officeDocument/2006/relationships/hyperlink" Target="https://doi.org/10.1145/3474085.3478555" TargetMode="External"/><Relationship Id="rId60" Type="http://schemas.openxmlformats.org/officeDocument/2006/relationships/hyperlink" Target="https://archive.ics.uci.edu/dataset/222/bank+marke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analytics research and design</dc:title>
  <dc:subject>24 October 2026 research and design checkpoint</dc:subject>
  <dc:creator>Project team draft for review</dc:creator>
  <cp:keywords/>
  <dc:description>Prepared research and design draft; stakeholder and supervisor evidence pending.</dc:description>
  <cp:lastModifiedBy/>
  <cp:revision>1</cp:revision>
  <dcterms:created xsi:type="dcterms:W3CDTF">2013-12-23T23:15:00Z</dcterms:created>
  <dcterms:modified xsi:type="dcterms:W3CDTF">2013-12-23T23:15:00Z</dcterms:modified>
  <cp:category/>
</cp:coreProperties>
</file>