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bidi w:val="1"/>
        <w:spacing w:after="120" w:before="240" w:lineRule="auto"/>
        <w:ind w:left="720" w:hanging="360"/>
        <w:jc w:val="center"/>
        <w:rPr>
          <w:b w:val="1"/>
          <w:color w:val="4a86e8"/>
          <w:sz w:val="56"/>
          <w:szCs w:val="56"/>
          <w:u w:val="single"/>
        </w:rPr>
      </w:pPr>
      <w:r w:rsidDel="00000000" w:rsidR="00000000" w:rsidRPr="00000000">
        <w:rPr>
          <w:b w:val="1"/>
          <w:color w:val="4a86e8"/>
          <w:sz w:val="56"/>
          <w:szCs w:val="56"/>
          <w:u w:val="single"/>
          <w:rtl w:val="1"/>
        </w:rPr>
        <w:t xml:space="preserve">מסמך</w:t>
      </w:r>
      <w:r w:rsidDel="00000000" w:rsidR="00000000" w:rsidRPr="00000000">
        <w:rPr>
          <w:b w:val="1"/>
          <w:color w:val="4a86e8"/>
          <w:sz w:val="56"/>
          <w:szCs w:val="5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a86e8"/>
          <w:sz w:val="56"/>
          <w:szCs w:val="56"/>
          <w:u w:val="single"/>
          <w:rtl w:val="1"/>
        </w:rPr>
        <w:t xml:space="preserve">דרישות</w:t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www.eventbuzz.co.il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למפיקי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למכירה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והפצה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לאירועים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לרוכשי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ידידותית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להרוויח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משיתוף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אירועים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bidi w:val="1"/>
        <w:spacing w:after="12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רישום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לאתר</w:t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אלקטרוני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יתבקש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מלאים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ומדויקים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הרישום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bidi w:val="1"/>
        <w:spacing w:after="12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רכישת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כרטיסים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לאירועים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מנוהלת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בקיומם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לאירוע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האלקטרוני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הוזנה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ייתכן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ותישלח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הרוכש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שרכש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להנהלת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הרוכש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הרוכש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שרוכש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דוגמת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. 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לאישורו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האירוע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240" w:line="276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אירוע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240" w:line="276" w:lineRule="auto"/>
        <w:ind w:left="720" w:right="0" w:firstLine="0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ובחינם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בחירת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סרטונים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★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הגדרת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כרטיסים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למכירה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סוגי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כרטיסים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מחירים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תמיכה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באולמות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מקומות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מסומנים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אפשרות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לטופס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לקבלת</w:t>
      </w:r>
      <w:r w:rsidDel="00000000" w:rsidR="00000000" w:rsidRPr="00000000">
        <w:rPr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7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           </w:t>
      </w:r>
      <w:r w:rsidDel="00000000" w:rsidR="00000000" w:rsidRPr="00000000">
        <w:rPr>
          <w:sz w:val="20"/>
          <w:szCs w:val="20"/>
          <w:rtl w:val="1"/>
        </w:rPr>
        <w:t xml:space="preserve">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נוסף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מהקהל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שלך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אפשרות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להטמעת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המכירה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ובפייסבוק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שלך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הוספת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נוספים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7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           </w:t>
      </w:r>
      <w:r w:rsidDel="00000000" w:rsidR="00000000" w:rsidRPr="00000000">
        <w:rPr>
          <w:sz w:val="20"/>
          <w:szCs w:val="20"/>
          <w:rtl w:val="1"/>
        </w:rPr>
        <w:t xml:space="preserve">הצוות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שלך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יבוא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רשימות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למערכת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שליחת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במייל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וסמס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שליחת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אישיות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נבחר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ולחברים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שליחת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כרטיסים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חינמיים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למוזמנים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הוספת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מקדמי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האירועים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שלך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ניטור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המכירות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והתחשבנות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כספית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הפעלת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שלך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אפשרות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ותמריצים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נוספים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שישתף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האירוע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קידום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האירוע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השותפים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ומקדמי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האירועים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eventbuzz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פיקסלים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פייסבוק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וגוגל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לניטור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המכירות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קמפיינים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קבלת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עדכני</w:t>
      </w:r>
      <w:r w:rsidDel="00000000" w:rsidR="00000000" w:rsidRPr="00000000">
        <w:rPr>
          <w:sz w:val="20"/>
          <w:szCs w:val="20"/>
          <w:rtl w:val="1"/>
        </w:rPr>
        <w:t xml:space="preserve"> 24\7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הוספת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כרטיסים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עדכון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מחירים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יצירת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ועוד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בזמן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אמת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עדכונים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לקהל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שליחת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mail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sms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לרוכשי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הכרטיסים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תשלום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מאובטח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באמצעות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כרטיסי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האשראי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המובילים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paypal</w:t>
      </w:r>
      <w:r w:rsidDel="00000000" w:rsidR="00000000" w:rsidRPr="00000000">
        <w:rPr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הפקת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חשבוניות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אוטומטית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לרוכשים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תמיכה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בריבוי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שפות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משיכת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כספי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מכירות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לחשבון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הבנק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צפיה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בנתוני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מכירות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הפקת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דוחו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ת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צפיה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באירוע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פילוח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גיל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ועוד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שמירה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לאירוע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bidi w:val="1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240" w:line="276" w:lineRule="auto"/>
        <w:ind w:left="720" w:right="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הפצת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כרטיסים</w:t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לרוכשי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שלישיים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מנוהלת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שמתבצעות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הפצה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bidi w:val="1"/>
        <w:spacing w:after="12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מחירים</w:t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מחירי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האירוע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מחירי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לשיעורו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bidi w:val="1"/>
        <w:spacing w:after="12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תשלומים</w:t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שיתבקש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ישראכרט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מאסטרכרד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ואמריקן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אקספרס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ודיינרס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יפורסמו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ייגבה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כמתואר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רוכש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האשראי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הבנק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הנהלת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שלישיים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ומאובטחת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הנהלת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בטכנולוגיית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SSL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האינטרנט</w:t>
      </w:r>
      <w:r w:rsidDel="00000000" w:rsidR="00000000" w:rsidRPr="00000000">
        <w:rPr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2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bidi w:val="1"/>
        <w:spacing w:after="12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ביטולים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והחזרים</w:t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הרוכש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להנהלת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האירוע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הנהלת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דחיית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לרוכשים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בניכוי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ventbuzz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