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6B15DF" w14:textId="6E49F62B" w:rsidR="00936D5E" w:rsidRDefault="009F5087" w:rsidP="009F5087">
      <w:pPr>
        <w:jc w:val="center"/>
      </w:pPr>
      <w:r>
        <w:t>US T-Bill price decline analysis</w:t>
      </w:r>
    </w:p>
    <w:p w14:paraId="10B86325" w14:textId="075ADC22" w:rsidR="009F5087" w:rsidRDefault="009F5087" w:rsidP="009F5087">
      <w:pPr>
        <w:jc w:val="center"/>
      </w:pPr>
      <w:r>
        <w:t>Mar 27, 2024</w:t>
      </w:r>
    </w:p>
    <w:p w14:paraId="1553FD00" w14:textId="7D1BBF66" w:rsidR="009F5087" w:rsidRDefault="009F5087" w:rsidP="009F5087">
      <w:pPr>
        <w:jc w:val="center"/>
      </w:pPr>
      <w:r>
        <w:t xml:space="preserve">Derek Ding, Cristina </w:t>
      </w:r>
      <w:proofErr w:type="spellStart"/>
      <w:r>
        <w:t>Polizu</w:t>
      </w:r>
      <w:proofErr w:type="spellEnd"/>
    </w:p>
    <w:p w14:paraId="5E1EFBCF" w14:textId="77777777" w:rsidR="009F5087" w:rsidRDefault="009F5087" w:rsidP="009F5087">
      <w:pPr>
        <w:jc w:val="center"/>
      </w:pPr>
    </w:p>
    <w:p w14:paraId="0AE222F8" w14:textId="4B03B7D9" w:rsidR="009F5087" w:rsidRPr="008A0CC0" w:rsidRDefault="009F5087" w:rsidP="009F508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8A0CC0">
        <w:rPr>
          <w:b/>
          <w:bCs/>
          <w:sz w:val="20"/>
          <w:szCs w:val="20"/>
        </w:rPr>
        <w:t>Data Description</w:t>
      </w:r>
    </w:p>
    <w:p w14:paraId="2CCDB6EA" w14:textId="77777777" w:rsidR="009F5087" w:rsidRDefault="009F5087" w:rsidP="009F5087">
      <w:pPr>
        <w:pStyle w:val="ListParagraph"/>
      </w:pPr>
    </w:p>
    <w:p w14:paraId="55F3D7E0" w14:textId="3972A943" w:rsidR="009F5087" w:rsidRPr="00CC3894" w:rsidRDefault="009F5087" w:rsidP="009F5087">
      <w:pPr>
        <w:pStyle w:val="ListParagraph"/>
        <w:rPr>
          <w:i/>
          <w:iCs/>
          <w:color w:val="FF0000"/>
          <w:sz w:val="18"/>
          <w:szCs w:val="18"/>
        </w:rPr>
      </w:pPr>
      <w:r w:rsidRPr="00CC3894">
        <w:rPr>
          <w:i/>
          <w:iCs/>
          <w:color w:val="FF0000"/>
          <w:sz w:val="18"/>
          <w:szCs w:val="18"/>
        </w:rPr>
        <w:t>Source: St. Louis Federal bank website.</w:t>
      </w:r>
    </w:p>
    <w:tbl>
      <w:tblPr>
        <w:tblStyle w:val="TableGrid"/>
        <w:tblW w:w="9306" w:type="dxa"/>
        <w:tblInd w:w="720" w:type="dxa"/>
        <w:tblLook w:val="04A0" w:firstRow="1" w:lastRow="0" w:firstColumn="1" w:lastColumn="0" w:noHBand="0" w:noVBand="1"/>
      </w:tblPr>
      <w:tblGrid>
        <w:gridCol w:w="2299"/>
        <w:gridCol w:w="1677"/>
        <w:gridCol w:w="1692"/>
        <w:gridCol w:w="1819"/>
        <w:gridCol w:w="1819"/>
      </w:tblGrid>
      <w:tr w:rsidR="005A069B" w14:paraId="1240D0AF" w14:textId="77777777" w:rsidTr="005A069B">
        <w:trPr>
          <w:trHeight w:val="209"/>
        </w:trPr>
        <w:tc>
          <w:tcPr>
            <w:tcW w:w="2299" w:type="dxa"/>
          </w:tcPr>
          <w:p w14:paraId="30F737DA" w14:textId="5FBE560D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Index Name</w:t>
            </w:r>
          </w:p>
        </w:tc>
        <w:tc>
          <w:tcPr>
            <w:tcW w:w="1677" w:type="dxa"/>
          </w:tcPr>
          <w:p w14:paraId="17266D28" w14:textId="7EB8E293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Data Frequency</w:t>
            </w:r>
          </w:p>
        </w:tc>
        <w:tc>
          <w:tcPr>
            <w:tcW w:w="1692" w:type="dxa"/>
          </w:tcPr>
          <w:p w14:paraId="73DCA88E" w14:textId="515B54CA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Data Type</w:t>
            </w:r>
          </w:p>
        </w:tc>
        <w:tc>
          <w:tcPr>
            <w:tcW w:w="1819" w:type="dxa"/>
          </w:tcPr>
          <w:p w14:paraId="38364B88" w14:textId="7B6BDBD0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Start Date</w:t>
            </w:r>
          </w:p>
        </w:tc>
        <w:tc>
          <w:tcPr>
            <w:tcW w:w="1819" w:type="dxa"/>
          </w:tcPr>
          <w:p w14:paraId="15FC7C7F" w14:textId="008AA11C" w:rsidR="005A069B" w:rsidRPr="005A069B" w:rsidRDefault="005A069B" w:rsidP="00B50B2C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End Date</w:t>
            </w:r>
          </w:p>
        </w:tc>
      </w:tr>
      <w:tr w:rsidR="005A069B" w14:paraId="17F7AD09" w14:textId="77777777" w:rsidTr="005A069B">
        <w:trPr>
          <w:trHeight w:val="628"/>
        </w:trPr>
        <w:tc>
          <w:tcPr>
            <w:tcW w:w="2299" w:type="dxa"/>
          </w:tcPr>
          <w:p w14:paraId="5B92740F" w14:textId="1699D3B5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U.S. Treasury Securities at 1-Month Constant Maturity</w:t>
            </w:r>
          </w:p>
        </w:tc>
        <w:tc>
          <w:tcPr>
            <w:tcW w:w="1677" w:type="dxa"/>
          </w:tcPr>
          <w:p w14:paraId="1C7B3CEB" w14:textId="78EA4BFC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Daily</w:t>
            </w:r>
          </w:p>
        </w:tc>
        <w:tc>
          <w:tcPr>
            <w:tcW w:w="1692" w:type="dxa"/>
          </w:tcPr>
          <w:p w14:paraId="30D434CD" w14:textId="6475CAC5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Yield</w:t>
            </w:r>
          </w:p>
        </w:tc>
        <w:tc>
          <w:tcPr>
            <w:tcW w:w="1819" w:type="dxa"/>
          </w:tcPr>
          <w:p w14:paraId="3EDCB234" w14:textId="34CCD355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Jul, 2001</w:t>
            </w:r>
          </w:p>
        </w:tc>
        <w:tc>
          <w:tcPr>
            <w:tcW w:w="1819" w:type="dxa"/>
          </w:tcPr>
          <w:p w14:paraId="33AD3C86" w14:textId="44651858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Mar, 2024</w:t>
            </w:r>
          </w:p>
        </w:tc>
      </w:tr>
      <w:tr w:rsidR="005A069B" w14:paraId="1E2C430D" w14:textId="77777777" w:rsidTr="005A069B">
        <w:trPr>
          <w:trHeight w:val="628"/>
        </w:trPr>
        <w:tc>
          <w:tcPr>
            <w:tcW w:w="2299" w:type="dxa"/>
          </w:tcPr>
          <w:p w14:paraId="13B5E945" w14:textId="7B205CC0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 xml:space="preserve">U.S. Treasury Securities at </w:t>
            </w:r>
            <w:r w:rsidRPr="005A069B">
              <w:rPr>
                <w:sz w:val="18"/>
                <w:szCs w:val="18"/>
              </w:rPr>
              <w:t>3</w:t>
            </w:r>
            <w:r w:rsidRPr="005A069B">
              <w:rPr>
                <w:sz w:val="18"/>
                <w:szCs w:val="18"/>
              </w:rPr>
              <w:t>-Month Constant Maturity</w:t>
            </w:r>
          </w:p>
        </w:tc>
        <w:tc>
          <w:tcPr>
            <w:tcW w:w="1677" w:type="dxa"/>
          </w:tcPr>
          <w:p w14:paraId="44C2BBFB" w14:textId="77BBF11D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Daily</w:t>
            </w:r>
          </w:p>
        </w:tc>
        <w:tc>
          <w:tcPr>
            <w:tcW w:w="1692" w:type="dxa"/>
          </w:tcPr>
          <w:p w14:paraId="20AB9D02" w14:textId="1246208D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Yield</w:t>
            </w:r>
          </w:p>
        </w:tc>
        <w:tc>
          <w:tcPr>
            <w:tcW w:w="1819" w:type="dxa"/>
          </w:tcPr>
          <w:p w14:paraId="7DB263B2" w14:textId="10B8E811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Sep, 1981</w:t>
            </w:r>
          </w:p>
        </w:tc>
        <w:tc>
          <w:tcPr>
            <w:tcW w:w="1819" w:type="dxa"/>
          </w:tcPr>
          <w:p w14:paraId="3FA7A9DC" w14:textId="10CD1CF6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Mar, 2024</w:t>
            </w:r>
          </w:p>
        </w:tc>
      </w:tr>
      <w:tr w:rsidR="005A069B" w14:paraId="618EB830" w14:textId="77777777" w:rsidTr="005A069B">
        <w:trPr>
          <w:trHeight w:val="628"/>
        </w:trPr>
        <w:tc>
          <w:tcPr>
            <w:tcW w:w="2299" w:type="dxa"/>
          </w:tcPr>
          <w:p w14:paraId="2315134E" w14:textId="5F74C075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 xml:space="preserve">U.S. Treasury Securities at </w:t>
            </w:r>
            <w:r w:rsidRPr="005A069B">
              <w:rPr>
                <w:sz w:val="18"/>
                <w:szCs w:val="18"/>
              </w:rPr>
              <w:t>6</w:t>
            </w:r>
            <w:r w:rsidRPr="005A069B">
              <w:rPr>
                <w:sz w:val="18"/>
                <w:szCs w:val="18"/>
              </w:rPr>
              <w:t>-Month Constant Maturity</w:t>
            </w:r>
          </w:p>
        </w:tc>
        <w:tc>
          <w:tcPr>
            <w:tcW w:w="1677" w:type="dxa"/>
          </w:tcPr>
          <w:p w14:paraId="7A92590B" w14:textId="5BA755D7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Daily</w:t>
            </w:r>
          </w:p>
        </w:tc>
        <w:tc>
          <w:tcPr>
            <w:tcW w:w="1692" w:type="dxa"/>
          </w:tcPr>
          <w:p w14:paraId="2167C2F2" w14:textId="3D94F26C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Yield</w:t>
            </w:r>
          </w:p>
        </w:tc>
        <w:tc>
          <w:tcPr>
            <w:tcW w:w="1819" w:type="dxa"/>
          </w:tcPr>
          <w:p w14:paraId="5B6F06A9" w14:textId="4A1BA3CD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Sep, 1981</w:t>
            </w:r>
          </w:p>
        </w:tc>
        <w:tc>
          <w:tcPr>
            <w:tcW w:w="1819" w:type="dxa"/>
          </w:tcPr>
          <w:p w14:paraId="4D5F7169" w14:textId="27DCB73A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Mar, 2024</w:t>
            </w:r>
          </w:p>
        </w:tc>
      </w:tr>
      <w:tr w:rsidR="005A069B" w14:paraId="646C9D31" w14:textId="77777777" w:rsidTr="005A069B">
        <w:trPr>
          <w:trHeight w:val="628"/>
        </w:trPr>
        <w:tc>
          <w:tcPr>
            <w:tcW w:w="2299" w:type="dxa"/>
          </w:tcPr>
          <w:p w14:paraId="77D02592" w14:textId="1D082FC2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U.S. Treasury Securities at 1</w:t>
            </w:r>
            <w:r w:rsidRPr="005A069B">
              <w:rPr>
                <w:sz w:val="18"/>
                <w:szCs w:val="18"/>
              </w:rPr>
              <w:t>2</w:t>
            </w:r>
            <w:r w:rsidRPr="005A069B">
              <w:rPr>
                <w:sz w:val="18"/>
                <w:szCs w:val="18"/>
              </w:rPr>
              <w:t>-Month Constant Maturity</w:t>
            </w:r>
          </w:p>
        </w:tc>
        <w:tc>
          <w:tcPr>
            <w:tcW w:w="1677" w:type="dxa"/>
          </w:tcPr>
          <w:p w14:paraId="073E5910" w14:textId="73A2BAFE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Daily</w:t>
            </w:r>
          </w:p>
        </w:tc>
        <w:tc>
          <w:tcPr>
            <w:tcW w:w="1692" w:type="dxa"/>
          </w:tcPr>
          <w:p w14:paraId="46A756A5" w14:textId="44ECA074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Yield</w:t>
            </w:r>
          </w:p>
        </w:tc>
        <w:tc>
          <w:tcPr>
            <w:tcW w:w="1819" w:type="dxa"/>
          </w:tcPr>
          <w:p w14:paraId="7DEB7A93" w14:textId="271408EE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Jan, 1962</w:t>
            </w:r>
          </w:p>
        </w:tc>
        <w:tc>
          <w:tcPr>
            <w:tcW w:w="1819" w:type="dxa"/>
          </w:tcPr>
          <w:p w14:paraId="4DCA4958" w14:textId="596DE5D7" w:rsidR="005A069B" w:rsidRPr="005A069B" w:rsidRDefault="005A069B" w:rsidP="005A069B">
            <w:pPr>
              <w:jc w:val="center"/>
              <w:rPr>
                <w:sz w:val="18"/>
                <w:szCs w:val="18"/>
              </w:rPr>
            </w:pPr>
            <w:r w:rsidRPr="005A069B">
              <w:rPr>
                <w:sz w:val="18"/>
                <w:szCs w:val="18"/>
              </w:rPr>
              <w:t>Mar, 2024</w:t>
            </w:r>
          </w:p>
        </w:tc>
      </w:tr>
    </w:tbl>
    <w:p w14:paraId="2E6FE2DB" w14:textId="77777777" w:rsidR="009F5087" w:rsidRDefault="009F5087" w:rsidP="009F5087">
      <w:pPr>
        <w:ind w:left="720"/>
      </w:pPr>
    </w:p>
    <w:p w14:paraId="3FA654B7" w14:textId="63C2344E" w:rsidR="009F5087" w:rsidRPr="008A0CC0" w:rsidRDefault="009F5087" w:rsidP="009F508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8A0CC0">
        <w:rPr>
          <w:b/>
          <w:bCs/>
          <w:sz w:val="20"/>
          <w:szCs w:val="20"/>
        </w:rPr>
        <w:t>Price Decline Analysis</w:t>
      </w:r>
    </w:p>
    <w:p w14:paraId="18ABB6C3" w14:textId="58541638" w:rsidR="009F5087" w:rsidRPr="008A0CC0" w:rsidRDefault="009F5087" w:rsidP="009F5087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8A0CC0">
        <w:rPr>
          <w:sz w:val="18"/>
          <w:szCs w:val="18"/>
        </w:rPr>
        <w:t>Method 1</w:t>
      </w:r>
      <w:r w:rsidR="00356168" w:rsidRPr="008A0CC0">
        <w:rPr>
          <w:sz w:val="18"/>
          <w:szCs w:val="18"/>
        </w:rPr>
        <w:t xml:space="preserve"> – historical 5-day price decline</w:t>
      </w:r>
      <w:r w:rsidR="00EB7962" w:rsidRPr="008A0CC0">
        <w:rPr>
          <w:sz w:val="18"/>
          <w:szCs w:val="18"/>
        </w:rPr>
        <w:t xml:space="preserve"> analysis</w:t>
      </w:r>
    </w:p>
    <w:p w14:paraId="41265805" w14:textId="20B83A7F" w:rsidR="00CB307C" w:rsidRDefault="00B1690F" w:rsidP="00EB7962">
      <w:pPr>
        <w:pStyle w:val="ListParagraph"/>
        <w:ind w:left="1440"/>
        <w:rPr>
          <w:sz w:val="18"/>
          <w:szCs w:val="18"/>
        </w:rPr>
      </w:pPr>
      <w:r w:rsidRPr="00B1690F">
        <w:rPr>
          <w:sz w:val="18"/>
          <w:szCs w:val="18"/>
        </w:rPr>
        <w:t xml:space="preserve">In this method, we initially convert yield to price. Subsequently, we calculate the 5-day price decline on a rolling basis for all </w:t>
      </w:r>
      <w:r>
        <w:rPr>
          <w:sz w:val="18"/>
          <w:szCs w:val="18"/>
        </w:rPr>
        <w:t>4</w:t>
      </w:r>
      <w:r w:rsidRPr="00B1690F">
        <w:rPr>
          <w:sz w:val="18"/>
          <w:szCs w:val="18"/>
        </w:rPr>
        <w:t xml:space="preserve"> T-bill rates. The values representing price decline at selected critical quantiles are presented in the first table below.</w:t>
      </w:r>
    </w:p>
    <w:p w14:paraId="16D1BF87" w14:textId="77777777" w:rsidR="00B1690F" w:rsidRPr="008A0CC0" w:rsidRDefault="00B1690F" w:rsidP="00EB7962">
      <w:pPr>
        <w:pStyle w:val="ListParagraph"/>
        <w:ind w:left="1440"/>
        <w:rPr>
          <w:sz w:val="18"/>
          <w:szCs w:val="18"/>
        </w:rPr>
      </w:pPr>
    </w:p>
    <w:p w14:paraId="504E31B0" w14:textId="444DD4C6" w:rsidR="00CF2062" w:rsidRPr="008A0CC0" w:rsidRDefault="00CB307C" w:rsidP="004D7B8F">
      <w:pPr>
        <w:pStyle w:val="ListParagraph"/>
        <w:ind w:left="1440"/>
        <w:rPr>
          <w:sz w:val="18"/>
          <w:szCs w:val="18"/>
        </w:rPr>
      </w:pPr>
      <w:r w:rsidRPr="008A0CC0">
        <w:rPr>
          <w:noProof/>
          <w:sz w:val="18"/>
          <w:szCs w:val="18"/>
        </w:rPr>
        <w:drawing>
          <wp:inline distT="0" distB="0" distL="0" distR="0" wp14:anchorId="78E8875E" wp14:editId="4BF75BAE">
            <wp:extent cx="4625849" cy="2176555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6084" cy="2200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8A4B" w14:textId="77777777" w:rsidR="009F6AA3" w:rsidRDefault="009F6AA3" w:rsidP="00EB7962">
      <w:pPr>
        <w:pStyle w:val="ListParagraph"/>
        <w:ind w:left="1440"/>
        <w:rPr>
          <w:sz w:val="18"/>
          <w:szCs w:val="18"/>
        </w:rPr>
      </w:pPr>
    </w:p>
    <w:p w14:paraId="23495031" w14:textId="11C16B92" w:rsidR="00634EEA" w:rsidRDefault="009F6AA3" w:rsidP="00EB7962">
      <w:pPr>
        <w:pStyle w:val="ListParagraph"/>
        <w:ind w:left="1440"/>
        <w:rPr>
          <w:sz w:val="18"/>
          <w:szCs w:val="18"/>
        </w:rPr>
      </w:pPr>
      <w:r w:rsidRPr="009F6AA3">
        <w:rPr>
          <w:sz w:val="18"/>
          <w:szCs w:val="18"/>
        </w:rPr>
        <w:t xml:space="preserve">In the </w:t>
      </w:r>
      <w:r w:rsidRPr="009F6AA3">
        <w:rPr>
          <w:color w:val="FF0000"/>
          <w:sz w:val="18"/>
          <w:szCs w:val="18"/>
        </w:rPr>
        <w:t xml:space="preserve">'Ratio table' </w:t>
      </w:r>
      <w:r w:rsidRPr="009F6AA3">
        <w:rPr>
          <w:sz w:val="18"/>
          <w:szCs w:val="18"/>
        </w:rPr>
        <w:t>provided above, it illustrates the ratio between the price decline of the selected rate and that of the 12-month rate for all critical quantiles.</w:t>
      </w:r>
    </w:p>
    <w:p w14:paraId="19C0BA8D" w14:textId="77777777" w:rsidR="009F6AA3" w:rsidRPr="008A0CC0" w:rsidRDefault="009F6AA3" w:rsidP="00EB7962">
      <w:pPr>
        <w:pStyle w:val="ListParagraph"/>
        <w:ind w:left="1440"/>
        <w:rPr>
          <w:sz w:val="18"/>
          <w:szCs w:val="18"/>
        </w:rPr>
      </w:pPr>
    </w:p>
    <w:p w14:paraId="441316D2" w14:textId="47056BE8" w:rsidR="009F5087" w:rsidRDefault="009F5087" w:rsidP="009F5087">
      <w:pPr>
        <w:pStyle w:val="ListParagraph"/>
        <w:numPr>
          <w:ilvl w:val="1"/>
          <w:numId w:val="1"/>
        </w:numPr>
        <w:rPr>
          <w:sz w:val="18"/>
          <w:szCs w:val="18"/>
        </w:rPr>
      </w:pPr>
      <w:r w:rsidRPr="008A0CC0">
        <w:rPr>
          <w:sz w:val="18"/>
          <w:szCs w:val="18"/>
        </w:rPr>
        <w:t>Method 2</w:t>
      </w:r>
      <w:r w:rsidR="00675A48" w:rsidRPr="008A0CC0">
        <w:rPr>
          <w:sz w:val="18"/>
          <w:szCs w:val="18"/>
        </w:rPr>
        <w:t xml:space="preserve"> </w:t>
      </w:r>
      <w:r w:rsidR="00934D84" w:rsidRPr="008A0CC0">
        <w:rPr>
          <w:sz w:val="18"/>
          <w:szCs w:val="18"/>
        </w:rPr>
        <w:t>–</w:t>
      </w:r>
      <w:r w:rsidR="00675A48" w:rsidRPr="008A0CC0">
        <w:rPr>
          <w:sz w:val="18"/>
          <w:szCs w:val="18"/>
        </w:rPr>
        <w:t xml:space="preserve"> </w:t>
      </w:r>
      <w:r w:rsidR="00934D84" w:rsidRPr="008A0CC0">
        <w:rPr>
          <w:sz w:val="18"/>
          <w:szCs w:val="18"/>
        </w:rPr>
        <w:t>closed</w:t>
      </w:r>
      <w:r w:rsidR="00921D80" w:rsidRPr="008A0CC0">
        <w:rPr>
          <w:sz w:val="18"/>
          <w:szCs w:val="18"/>
        </w:rPr>
        <w:t>-</w:t>
      </w:r>
      <w:r w:rsidR="00934D84" w:rsidRPr="008A0CC0">
        <w:rPr>
          <w:sz w:val="18"/>
          <w:szCs w:val="18"/>
        </w:rPr>
        <w:t>form</w:t>
      </w:r>
      <w:r w:rsidR="00921D80" w:rsidRPr="008A0CC0">
        <w:rPr>
          <w:sz w:val="18"/>
          <w:szCs w:val="18"/>
        </w:rPr>
        <w:t xml:space="preserve"> </w:t>
      </w:r>
      <w:proofErr w:type="gramStart"/>
      <w:r w:rsidR="009A3E40" w:rsidRPr="008A0CC0">
        <w:rPr>
          <w:sz w:val="18"/>
          <w:szCs w:val="18"/>
        </w:rPr>
        <w:t>calculation</w:t>
      </w:r>
      <w:proofErr w:type="gramEnd"/>
    </w:p>
    <w:p w14:paraId="2698CE59" w14:textId="77777777" w:rsidR="008A0CC0" w:rsidRDefault="008A0CC0" w:rsidP="008A0CC0">
      <w:pPr>
        <w:pStyle w:val="ListParagraph"/>
        <w:ind w:left="1440"/>
        <w:rPr>
          <w:sz w:val="18"/>
          <w:szCs w:val="18"/>
        </w:rPr>
      </w:pPr>
    </w:p>
    <w:p w14:paraId="74918051" w14:textId="77777777" w:rsidR="00985F32" w:rsidRPr="008A0CC0" w:rsidRDefault="00985F32" w:rsidP="008A0CC0">
      <w:pPr>
        <w:pStyle w:val="ListParagraph"/>
        <w:ind w:left="1440"/>
        <w:rPr>
          <w:sz w:val="18"/>
          <w:szCs w:val="18"/>
        </w:rPr>
      </w:pPr>
    </w:p>
    <w:p w14:paraId="3B303837" w14:textId="30678E3D" w:rsidR="00CF78D7" w:rsidRPr="008A0CC0" w:rsidRDefault="00024EF5" w:rsidP="00CF78D7">
      <w:pPr>
        <w:pStyle w:val="ListParagraph"/>
        <w:ind w:left="144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Example</w:t>
      </w:r>
      <w:r w:rsidR="00CF78D7" w:rsidRPr="008A0CC0">
        <w:rPr>
          <w:sz w:val="18"/>
          <w:szCs w:val="18"/>
          <w:u w:val="single"/>
        </w:rPr>
        <w:t xml:space="preserve"> 1: </w:t>
      </w:r>
      <w:r w:rsidR="00536B82" w:rsidRPr="008A0CC0">
        <w:rPr>
          <w:sz w:val="18"/>
          <w:szCs w:val="18"/>
          <w:u w:val="single"/>
        </w:rPr>
        <w:t>rate change – 1% to 4%</w:t>
      </w:r>
    </w:p>
    <w:p w14:paraId="71F92DC1" w14:textId="3E7422F9" w:rsidR="009A3E40" w:rsidRPr="008A0CC0" w:rsidRDefault="00D40B2E" w:rsidP="00D40B2E">
      <w:pPr>
        <w:pStyle w:val="ListParagraph"/>
        <w:ind w:left="1440"/>
        <w:rPr>
          <w:sz w:val="18"/>
          <w:szCs w:val="18"/>
        </w:rPr>
      </w:pPr>
      <w:r w:rsidRPr="008A0CC0">
        <w:rPr>
          <w:noProof/>
          <w:sz w:val="18"/>
          <w:szCs w:val="18"/>
        </w:rPr>
        <w:lastRenderedPageBreak/>
        <w:drawing>
          <wp:inline distT="0" distB="0" distL="0" distR="0" wp14:anchorId="086E8C64" wp14:editId="4CC22DB6">
            <wp:extent cx="5798745" cy="1301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9066" cy="130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B234" w14:textId="57E8D143" w:rsidR="00D40B2E" w:rsidRPr="008A0CC0" w:rsidRDefault="00024EF5" w:rsidP="00D40B2E">
      <w:pPr>
        <w:pStyle w:val="ListParagraph"/>
        <w:ind w:left="1440"/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Example</w:t>
      </w:r>
      <w:r w:rsidRPr="008A0CC0">
        <w:rPr>
          <w:sz w:val="18"/>
          <w:szCs w:val="18"/>
          <w:u w:val="single"/>
        </w:rPr>
        <w:t xml:space="preserve"> </w:t>
      </w:r>
      <w:r w:rsidR="00536B82" w:rsidRPr="008A0CC0">
        <w:rPr>
          <w:sz w:val="18"/>
          <w:szCs w:val="18"/>
          <w:u w:val="single"/>
        </w:rPr>
        <w:t>2: rate change – 1% to 2%</w:t>
      </w:r>
    </w:p>
    <w:p w14:paraId="13055CC0" w14:textId="05E12EA0" w:rsidR="00536B82" w:rsidRPr="008A0CC0" w:rsidRDefault="00536B82" w:rsidP="00D40B2E">
      <w:pPr>
        <w:pStyle w:val="ListParagraph"/>
        <w:ind w:left="1440"/>
        <w:rPr>
          <w:sz w:val="18"/>
          <w:szCs w:val="18"/>
        </w:rPr>
      </w:pPr>
      <w:r w:rsidRPr="008A0CC0">
        <w:rPr>
          <w:noProof/>
          <w:sz w:val="18"/>
          <w:szCs w:val="18"/>
        </w:rPr>
        <w:drawing>
          <wp:inline distT="0" distB="0" distL="0" distR="0" wp14:anchorId="2AC6731D" wp14:editId="36110BFB">
            <wp:extent cx="5857592" cy="13658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8853" cy="136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9808B" w14:textId="3092792C" w:rsidR="00D40B2E" w:rsidRPr="008A0CC0" w:rsidRDefault="00B10854" w:rsidP="00D40B2E">
      <w:pPr>
        <w:pStyle w:val="ListParagraph"/>
        <w:ind w:left="1440"/>
        <w:rPr>
          <w:sz w:val="18"/>
          <w:szCs w:val="18"/>
        </w:rPr>
      </w:pPr>
      <w:r w:rsidRPr="00B10854">
        <w:rPr>
          <w:sz w:val="18"/>
          <w:szCs w:val="18"/>
        </w:rPr>
        <w:t>As indicated by the preceding results, the relative change (%) exhibits linearity with respect to time (t</w:t>
      </w:r>
      <w:r w:rsidR="00EF1614">
        <w:rPr>
          <w:sz w:val="18"/>
          <w:szCs w:val="18"/>
        </w:rPr>
        <w:t>)</w:t>
      </w:r>
      <w:r w:rsidR="000610BF" w:rsidRPr="008A0CC0">
        <w:rPr>
          <w:sz w:val="18"/>
          <w:szCs w:val="18"/>
        </w:rPr>
        <w:t xml:space="preserve"> </w:t>
      </w:r>
    </w:p>
    <w:p w14:paraId="61968049" w14:textId="77777777" w:rsidR="008A0CC0" w:rsidRDefault="008A0CC0" w:rsidP="00D40B2E">
      <w:pPr>
        <w:pStyle w:val="ListParagraph"/>
        <w:ind w:left="1440"/>
      </w:pPr>
    </w:p>
    <w:p w14:paraId="35DB4094" w14:textId="471C8D4D" w:rsidR="009F5087" w:rsidRPr="008A0CC0" w:rsidRDefault="009F5087" w:rsidP="009F5087">
      <w:pPr>
        <w:pStyle w:val="ListParagraph"/>
        <w:numPr>
          <w:ilvl w:val="0"/>
          <w:numId w:val="1"/>
        </w:numPr>
        <w:rPr>
          <w:b/>
          <w:bCs/>
          <w:sz w:val="20"/>
          <w:szCs w:val="20"/>
        </w:rPr>
      </w:pPr>
      <w:r w:rsidRPr="008A0CC0">
        <w:rPr>
          <w:b/>
          <w:bCs/>
          <w:sz w:val="20"/>
          <w:szCs w:val="20"/>
        </w:rPr>
        <w:t>Proposal</w:t>
      </w:r>
    </w:p>
    <w:p w14:paraId="00E22F4C" w14:textId="77777777" w:rsidR="009F5087" w:rsidRDefault="009F5087" w:rsidP="00B80275">
      <w:pPr>
        <w:pStyle w:val="ListParagraph"/>
        <w:ind w:left="1440"/>
      </w:pPr>
    </w:p>
    <w:p w14:paraId="46152FE5" w14:textId="294277F8" w:rsidR="009F5087" w:rsidRDefault="008E2FB4" w:rsidP="009F5087">
      <w:pPr>
        <w:pStyle w:val="ListParagraph"/>
        <w:ind w:left="1440"/>
      </w:pPr>
      <w:r>
        <w:rPr>
          <w:sz w:val="20"/>
          <w:szCs w:val="20"/>
        </w:rPr>
        <w:t xml:space="preserve">Based on </w:t>
      </w:r>
      <w:r w:rsidRPr="008E2FB4">
        <w:rPr>
          <w:sz w:val="20"/>
          <w:szCs w:val="20"/>
        </w:rPr>
        <w:t xml:space="preserve">two </w:t>
      </w:r>
      <w:proofErr w:type="gramStart"/>
      <w:r w:rsidRPr="008E2FB4">
        <w:rPr>
          <w:sz w:val="20"/>
          <w:szCs w:val="20"/>
        </w:rPr>
        <w:t>aforementioned methods</w:t>
      </w:r>
      <w:proofErr w:type="gramEnd"/>
      <w:r w:rsidRPr="008E2FB4">
        <w:rPr>
          <w:sz w:val="20"/>
          <w:szCs w:val="20"/>
        </w:rPr>
        <w:t>, we propose implementing a time-based linear reduction approach to formulate our haircut assumption for T-bills with a tenor of less than 1 year. Employing this linear reduction method will yield a more conservative outcome compared to the results obtained through historical analysis.</w:t>
      </w:r>
    </w:p>
    <w:p w14:paraId="0104ABED" w14:textId="77777777" w:rsidR="009F5087" w:rsidRDefault="009F5087" w:rsidP="009F5087">
      <w:pPr>
        <w:ind w:left="1080"/>
      </w:pPr>
    </w:p>
    <w:sectPr w:rsidR="009F5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68760" w14:textId="77777777" w:rsidR="009F5087" w:rsidRDefault="009F5087" w:rsidP="009F5087">
      <w:pPr>
        <w:spacing w:after="0" w:line="240" w:lineRule="auto"/>
      </w:pPr>
      <w:r>
        <w:separator/>
      </w:r>
    </w:p>
  </w:endnote>
  <w:endnote w:type="continuationSeparator" w:id="0">
    <w:p w14:paraId="12E44D25" w14:textId="77777777" w:rsidR="009F5087" w:rsidRDefault="009F5087" w:rsidP="009F50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0094C3" w14:textId="77777777" w:rsidR="009F5087" w:rsidRDefault="009F5087" w:rsidP="009F5087">
      <w:pPr>
        <w:spacing w:after="0" w:line="240" w:lineRule="auto"/>
      </w:pPr>
      <w:r>
        <w:separator/>
      </w:r>
    </w:p>
  </w:footnote>
  <w:footnote w:type="continuationSeparator" w:id="0">
    <w:p w14:paraId="4BD7D5B8" w14:textId="77777777" w:rsidR="009F5087" w:rsidRDefault="009F5087" w:rsidP="009F50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C39D5"/>
    <w:multiLevelType w:val="hybridMultilevel"/>
    <w:tmpl w:val="D4D8FA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3265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087"/>
    <w:rsid w:val="00024EF5"/>
    <w:rsid w:val="00052A2B"/>
    <w:rsid w:val="000610BF"/>
    <w:rsid w:val="00356168"/>
    <w:rsid w:val="00384BF9"/>
    <w:rsid w:val="00404F42"/>
    <w:rsid w:val="004D7B8F"/>
    <w:rsid w:val="00536B82"/>
    <w:rsid w:val="005A069B"/>
    <w:rsid w:val="005E3DF2"/>
    <w:rsid w:val="00621012"/>
    <w:rsid w:val="006305F9"/>
    <w:rsid w:val="00634EEA"/>
    <w:rsid w:val="00636C0D"/>
    <w:rsid w:val="00675A48"/>
    <w:rsid w:val="00684236"/>
    <w:rsid w:val="006B42F2"/>
    <w:rsid w:val="006C099E"/>
    <w:rsid w:val="0078298C"/>
    <w:rsid w:val="008409F1"/>
    <w:rsid w:val="008A0CC0"/>
    <w:rsid w:val="008D6F95"/>
    <w:rsid w:val="008E2FB4"/>
    <w:rsid w:val="00921D80"/>
    <w:rsid w:val="00934D84"/>
    <w:rsid w:val="00936D5E"/>
    <w:rsid w:val="00985F32"/>
    <w:rsid w:val="009A3E40"/>
    <w:rsid w:val="009F5087"/>
    <w:rsid w:val="009F6AA3"/>
    <w:rsid w:val="00B10854"/>
    <w:rsid w:val="00B1690F"/>
    <w:rsid w:val="00B50B2C"/>
    <w:rsid w:val="00B80275"/>
    <w:rsid w:val="00BA5BAC"/>
    <w:rsid w:val="00CB307C"/>
    <w:rsid w:val="00CC3894"/>
    <w:rsid w:val="00CC6CB5"/>
    <w:rsid w:val="00CF2062"/>
    <w:rsid w:val="00CF78D7"/>
    <w:rsid w:val="00D40B2E"/>
    <w:rsid w:val="00EB7962"/>
    <w:rsid w:val="00EE58BC"/>
    <w:rsid w:val="00EF1614"/>
    <w:rsid w:val="00FB1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630F85D"/>
  <w15:chartTrackingRefBased/>
  <w15:docId w15:val="{6E81D963-69EB-4B20-93D9-F5E89B88F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5087"/>
    <w:pPr>
      <w:ind w:left="720"/>
      <w:contextualSpacing/>
    </w:pPr>
  </w:style>
  <w:style w:type="table" w:styleId="TableGrid">
    <w:name w:val="Table Grid"/>
    <w:basedOn w:val="TableNormal"/>
    <w:uiPriority w:val="39"/>
    <w:rsid w:val="009F5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8780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01B5F0-40A2-4DD4-B924-FBC535D55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237</Words>
  <Characters>1356</Characters>
  <Application>Microsoft Office Word</Application>
  <DocSecurity>0</DocSecurity>
  <Lines>11</Lines>
  <Paragraphs>3</Paragraphs>
  <ScaleCrop>false</ScaleCrop>
  <Company/>
  <LinksUpToDate>false</LinksUpToDate>
  <CharactersWithSpaces>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Ding, Derek (Analytical)</dc:creator>
  <cp:keywords/>
  <dc:description/>
  <cp:lastModifiedBy>Ding, Derek (Analytical)</cp:lastModifiedBy>
  <cp:revision>2</cp:revision>
  <dcterms:created xsi:type="dcterms:W3CDTF">2024-03-29T18:58:00Z</dcterms:created>
  <dcterms:modified xsi:type="dcterms:W3CDTF">2024-03-29T18:58:00Z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1f0267-8575-4fc2-99cc-f6b7f9934be9_Enabled">
    <vt:lpwstr>true</vt:lpwstr>
  </property>
  <property fmtid="{D5CDD505-2E9C-101B-9397-08002B2CF9AE}" pid="3" name="MSIP_Label_831f0267-8575-4fc2-99cc-f6b7f9934be9_SetDate">
    <vt:lpwstr>2024-03-27T18:53:40Z</vt:lpwstr>
  </property>
  <property fmtid="{D5CDD505-2E9C-101B-9397-08002B2CF9AE}" pid="4" name="MSIP_Label_831f0267-8575-4fc2-99cc-f6b7f9934be9_Method">
    <vt:lpwstr>Standard</vt:lpwstr>
  </property>
  <property fmtid="{D5CDD505-2E9C-101B-9397-08002B2CF9AE}" pid="5" name="MSIP_Label_831f0267-8575-4fc2-99cc-f6b7f9934be9_Name">
    <vt:lpwstr>831f0267-8575-4fc2-99cc-f6b7f9934be9</vt:lpwstr>
  </property>
  <property fmtid="{D5CDD505-2E9C-101B-9397-08002B2CF9AE}" pid="6" name="MSIP_Label_831f0267-8575-4fc2-99cc-f6b7f9934be9_SiteId">
    <vt:lpwstr>8f3e36ea-8039-4b40-81a7-7dc0599e8645</vt:lpwstr>
  </property>
  <property fmtid="{D5CDD505-2E9C-101B-9397-08002B2CF9AE}" pid="7" name="MSIP_Label_831f0267-8575-4fc2-99cc-f6b7f9934be9_ActionId">
    <vt:lpwstr>16dda976-2c71-4ad5-883f-a2b5c668f75a</vt:lpwstr>
  </property>
  <property fmtid="{D5CDD505-2E9C-101B-9397-08002B2CF9AE}" pid="8" name="MSIP_Label_831f0267-8575-4fc2-99cc-f6b7f9934be9_ContentBits">
    <vt:lpwstr>0</vt:lpwstr>
  </property>
</Properties>
</file>