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15DF" w14:textId="6E49F62B" w:rsidR="00936D5E" w:rsidRDefault="009F5087" w:rsidP="009F5087">
      <w:pPr>
        <w:jc w:val="center"/>
      </w:pPr>
      <w:r>
        <w:t>US T-Bill price decline analysis</w:t>
      </w:r>
    </w:p>
    <w:p w14:paraId="10B86325" w14:textId="54B5E223" w:rsidR="009F5087" w:rsidRDefault="00AC228B" w:rsidP="009F5087">
      <w:pPr>
        <w:jc w:val="center"/>
      </w:pPr>
      <w:r>
        <w:t>June 22, 2026</w:t>
      </w:r>
    </w:p>
    <w:p w14:paraId="1553FD00" w14:textId="006AF3B7" w:rsidR="009F5087" w:rsidRDefault="009F5087" w:rsidP="009F5087">
      <w:pPr>
        <w:jc w:val="center"/>
      </w:pPr>
      <w:r>
        <w:t>Derek Ding</w:t>
      </w:r>
    </w:p>
    <w:p w14:paraId="5E1EFBCF" w14:textId="77777777" w:rsidR="009F5087" w:rsidRDefault="009F5087" w:rsidP="009F5087">
      <w:pPr>
        <w:jc w:val="center"/>
      </w:pPr>
    </w:p>
    <w:p w14:paraId="0AE222F8" w14:textId="4B03B7D9" w:rsidR="009F5087" w:rsidRPr="008A0CC0" w:rsidRDefault="009F5087" w:rsidP="009F508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Description</w:t>
      </w:r>
    </w:p>
    <w:p w14:paraId="2CCDB6EA" w14:textId="77777777" w:rsidR="009F5087" w:rsidRDefault="009F5087" w:rsidP="009F5087">
      <w:pPr>
        <w:pStyle w:val="ListParagraph"/>
      </w:pPr>
    </w:p>
    <w:p w14:paraId="55F3D7E0" w14:textId="3972A943" w:rsidR="009F5087" w:rsidRPr="00CC3894" w:rsidRDefault="009F5087" w:rsidP="009F5087">
      <w:pPr>
        <w:pStyle w:val="ListParagraph"/>
        <w:rPr>
          <w:i/>
          <w:iCs/>
          <w:color w:val="FF0000"/>
          <w:sz w:val="18"/>
          <w:szCs w:val="18"/>
        </w:rPr>
      </w:pPr>
      <w:r>
        <w:rPr>
          <w:i/>
          <w:iCs/>
          <w:color w:val="FF0000"/>
          <w:sz w:val="18"/>
          <w:szCs w:val="18"/>
        </w:rPr>
        <w:t>Source: St. Louis Federal bank website.</w:t>
      </w:r>
    </w:p>
    <w:tbl>
      <w:tblPr>
        <w:tblStyle w:val="TableGrid"/>
        <w:tblW w:w="9306" w:type="dxa"/>
        <w:tblInd w:w="720" w:type="dxa"/>
        <w:tblLook w:val="04A0" w:firstRow="1" w:lastRow="0" w:firstColumn="1" w:lastColumn="0" w:noHBand="0" w:noVBand="1"/>
      </w:tblPr>
      <w:tblGrid>
        <w:gridCol w:w="2299"/>
        <w:gridCol w:w="1677"/>
        <w:gridCol w:w="1692"/>
        <w:gridCol w:w="1819"/>
        <w:gridCol w:w="1819"/>
      </w:tblGrid>
      <w:tr w:rsidR="005A069B" w14:paraId="1240D0AF" w14:textId="77777777" w:rsidTr="005A069B">
        <w:trPr>
          <w:trHeight w:val="209"/>
        </w:trPr>
        <w:tc>
          <w:tcPr>
            <w:tcW w:w="2299" w:type="dxa"/>
          </w:tcPr>
          <w:p w14:paraId="30F737DA" w14:textId="5FBE560D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Index Name</w:t>
            </w:r>
          </w:p>
        </w:tc>
        <w:tc>
          <w:tcPr>
            <w:tcW w:w="1677" w:type="dxa"/>
          </w:tcPr>
          <w:p w14:paraId="17266D28" w14:textId="7EB8E293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Frequency</w:t>
            </w:r>
          </w:p>
        </w:tc>
        <w:tc>
          <w:tcPr>
            <w:tcW w:w="1692" w:type="dxa"/>
          </w:tcPr>
          <w:p w14:paraId="73DCA88E" w14:textId="515B54CA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Type</w:t>
            </w:r>
          </w:p>
        </w:tc>
        <w:tc>
          <w:tcPr>
            <w:tcW w:w="1819" w:type="dxa"/>
          </w:tcPr>
          <w:p w14:paraId="38364B88" w14:textId="7B6BDBD0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Date</w:t>
            </w:r>
          </w:p>
        </w:tc>
        <w:tc>
          <w:tcPr>
            <w:tcW w:w="1819" w:type="dxa"/>
          </w:tcPr>
          <w:p w14:paraId="15FC7C7F" w14:textId="008AA11C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 Date</w:t>
            </w:r>
          </w:p>
        </w:tc>
      </w:tr>
      <w:tr w:rsidR="005A069B" w14:paraId="17F7AD09" w14:textId="77777777" w:rsidTr="005A069B">
        <w:trPr>
          <w:trHeight w:val="628"/>
        </w:trPr>
        <w:tc>
          <w:tcPr>
            <w:tcW w:w="2299" w:type="dxa"/>
          </w:tcPr>
          <w:p w14:paraId="40796F96" w14:textId="77777777" w:rsidR="005A069B" w:rsidRDefault="00BD7611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3-Month Treasury Bill Secondary Market Rate</w:t>
            </w:r>
          </w:p>
          <w:p w14:paraId="5B92740F" w14:textId="2BAE2696" w:rsidR="00EE40DB" w:rsidRPr="005A069B" w:rsidRDefault="00EE40DB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(ticker: DTB3)</w:t>
            </w:r>
          </w:p>
        </w:tc>
        <w:tc>
          <w:tcPr>
            <w:tcW w:w="1677" w:type="dxa"/>
          </w:tcPr>
          <w:p w14:paraId="1C7B3CEB" w14:textId="78EA4BFC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1692" w:type="dxa"/>
          </w:tcPr>
          <w:p w14:paraId="30D434CD" w14:textId="6475CAC5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Yield</w:t>
            </w:r>
          </w:p>
        </w:tc>
        <w:tc>
          <w:tcPr>
            <w:tcW w:w="1819" w:type="dxa"/>
          </w:tcPr>
          <w:p w14:paraId="3EDCB234" w14:textId="6375EB6B" w:rsidR="005A069B" w:rsidRPr="005A069B" w:rsidRDefault="008C5CC7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Jan, 1954</w:t>
            </w:r>
          </w:p>
        </w:tc>
        <w:tc>
          <w:tcPr>
            <w:tcW w:w="1819" w:type="dxa"/>
          </w:tcPr>
          <w:p w14:paraId="33AD3C86" w14:textId="746DF5CF" w:rsidR="005A069B" w:rsidRPr="005A069B" w:rsidRDefault="008C5CC7" w:rsidP="008C5CC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Jun, 2026</w:t>
            </w:r>
          </w:p>
        </w:tc>
      </w:tr>
      <w:tr w:rsidR="005A069B" w14:paraId="1E2C430D" w14:textId="77777777" w:rsidTr="005A069B">
        <w:trPr>
          <w:trHeight w:val="628"/>
        </w:trPr>
        <w:tc>
          <w:tcPr>
            <w:tcW w:w="2299" w:type="dxa"/>
          </w:tcPr>
          <w:p w14:paraId="53D34BB1" w14:textId="77777777" w:rsidR="005A069B" w:rsidRDefault="005A069B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U.S. Treasury Securities at 3-Month Constant Maturity</w:t>
            </w:r>
          </w:p>
          <w:p w14:paraId="13B5E945" w14:textId="33A684BF" w:rsidR="00677316" w:rsidRPr="005A069B" w:rsidRDefault="00677316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(ticker: DGS3MO)</w:t>
            </w:r>
          </w:p>
        </w:tc>
        <w:tc>
          <w:tcPr>
            <w:tcW w:w="1677" w:type="dxa"/>
          </w:tcPr>
          <w:p w14:paraId="44C2BBFB" w14:textId="77BBF11D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Daily</w:t>
            </w:r>
          </w:p>
        </w:tc>
        <w:tc>
          <w:tcPr>
            <w:tcW w:w="1692" w:type="dxa"/>
          </w:tcPr>
          <w:p w14:paraId="20AB9D02" w14:textId="1246208D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Yield</w:t>
            </w:r>
          </w:p>
        </w:tc>
        <w:tc>
          <w:tcPr>
            <w:tcW w:w="1819" w:type="dxa"/>
          </w:tcPr>
          <w:p w14:paraId="7DB263B2" w14:textId="10B8E811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Sep, 1981</w:t>
            </w:r>
          </w:p>
        </w:tc>
        <w:tc>
          <w:tcPr>
            <w:tcW w:w="1819" w:type="dxa"/>
          </w:tcPr>
          <w:p w14:paraId="3FA7A9DC" w14:textId="6238FD5F" w:rsidR="005A069B" w:rsidRPr="005A069B" w:rsidRDefault="008C5CC7" w:rsidP="005A069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Jun, 2026</w:t>
            </w:r>
          </w:p>
        </w:tc>
      </w:tr>
    </w:tbl>
    <w:p w:rsidR="009F5087" w:rsidRDefault="009F5087" w:rsidP="009F5087">
      <w:pPr>
        <w:pStyle w:val="ListParagraph"/>
        <w:spacing w:before="120"/>
        <w:rPr>
          <w:sz w:val="18"/>
          <w:szCs w:val="18"/>
        </w:rPr>
      </w:pPr>
      <w:r>
        <w:rPr>
          <w:sz w:val="18"/>
          <w:szCs w:val="18"/>
        </w:rPr>
        <w:t>Both series are published by the Federal Reserve Bank of St. Louis (FRED) and track the 3-month Treasury bill, but they are quoted and constructed on different bases, which is relevant to the choice of input used below.</w:t>
      </w:r>
    </w:p>
    <w:p w:rsidR="009F5087" w:rsidRDefault="009F5087" w:rsidP="009F5087">
      <w:pPr>
        <w:pStyle w:val="ListParagraph"/>
        <w:rPr>
          <w:sz w:val="18"/>
          <w:szCs w:val="18"/>
        </w:rPr>
      </w:pPr>
      <w:r>
        <w:rPr>
          <w:b/>
          <w:bCs/>
          <w:sz w:val="18"/>
          <w:szCs w:val="18"/>
        </w:rPr>
        <w:t>DTB3 (3-Month Treasury Bill Secondary Market Rate)</w:t>
      </w:r>
      <w:r>
        <w:rPr>
          <w:sz w:val="18"/>
          <w:szCs w:val="18"/>
        </w:rPr>
        <w:t xml:space="preserve"> is quoted on a bank-discount basis using a 360-day year and is taken directly from secondary-market trading quotes for bills currently being traded; it therefore reflects an actual, traded instrument.</w:t>
      </w:r>
    </w:p>
    <w:p w:rsidR="009F5087" w:rsidRDefault="009F5087" w:rsidP="009F5087">
      <w:pPr>
        <w:pStyle w:val="ListParagraph"/>
        <w:rPr>
          <w:sz w:val="18"/>
          <w:szCs w:val="18"/>
        </w:rPr>
      </w:pPr>
      <w:r>
        <w:rPr>
          <w:b/>
          <w:bCs/>
          <w:sz w:val="18"/>
          <w:szCs w:val="18"/>
        </w:rPr>
        <w:t>DGS3MO (3-Month Constant Maturity Rate)</w:t>
      </w:r>
      <w:r>
        <w:rPr>
          <w:sz w:val="18"/>
          <w:szCs w:val="18"/>
        </w:rPr>
        <w:t xml:space="preserve"> is quoted on an investment (bond-equivalent) basis using a 365- or 366-day year and is interpolated from the Treasury’s daily yield curve. It represents the theoretical yield of a security with exactly three months remaining to maturity rather than any specific bill, and because of its longer day-count and price-based denominator it typically reads slightly higher than DTB3 for the same date.</w:t>
      </w:r>
    </w:p>
    <w:p w:rsidR="009F5087" w:rsidRDefault="009F5087" w:rsidP="009F5087">
      <w:pPr>
        <w:pStyle w:val="ListParagraph"/>
        <w:rPr>
          <w:sz w:val="18"/>
          <w:szCs w:val="18"/>
        </w:rPr>
      </w:pPr>
      <w:r>
        <w:rPr>
          <w:sz w:val="18"/>
          <w:szCs w:val="18"/>
        </w:rPr>
        <w:t>A practical consequence is that DGS3MO holds time-to-maturity fixed at 90 days, so it does not capture the day-to-day pull-to-par accrual that a real bill experiences, whereas DTB3 does — a distinction that matters when measuring price changes.</w:t>
      </w:r>
    </w:p>
    <w:p w14:paraId="2E6FE2DB" w14:textId="77777777" w:rsidR="009F5087" w:rsidRDefault="009F5087" w:rsidP="009F5087">
      <w:pPr>
        <w:ind w:left="720"/>
      </w:pPr>
    </w:p>
    <w:p w14:paraId="3FA654B7" w14:textId="63C2344E" w:rsidR="009F5087" w:rsidRPr="008A0CC0" w:rsidRDefault="009F5087" w:rsidP="009F508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Price Decline Analysis</w:t>
      </w:r>
    </w:p>
    <w:p w14:paraId="18ABB6C3" w14:textId="58541638" w:rsidR="009F5087" w:rsidRPr="008A0CC0" w:rsidRDefault="009F5087" w:rsidP="009F5087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>Method 1 – historical 5-day price decline analysis</w:t>
      </w:r>
    </w:p>
    <w:p w14:paraId="41265805" w14:textId="3C1999C9" w:rsidR="00CB307C" w:rsidRDefault="00B1690F" w:rsidP="00EB7962">
      <w:pPr>
        <w:pStyle w:val="ListParagraph"/>
        <w:ind w:left="1440"/>
        <w:rPr>
          <w:sz w:val="18"/>
          <w:szCs w:val="18"/>
        </w:rPr>
      </w:pPr>
      <w:r>
        <w:rPr>
          <w:sz w:val="18"/>
          <w:szCs w:val="18"/>
        </w:rPr>
        <w:t>In this method, we initially convert yield to price. Subsequently, we calculate the 5-day price decline on a rolling basis for aformentioned 2 T-bill 3-moth rates. The values representing price decline at selected critical quantiles are presented in the first table below.</w:t>
      </w:r>
    </w:p>
    <w:p w14:paraId="20074D7A" w14:textId="5B4F40DC" w:rsidR="00A8400C" w:rsidRDefault="00A8400C" w:rsidP="00EB7962">
      <w:pPr>
        <w:pStyle w:val="ListParagraph"/>
        <w:ind w:left="1440"/>
      </w:pPr>
      <w:r>
        <w:fldChar w:fldCharType="begin"/>
        <w:instrText xml:space="preserve"> LINK Excel.Sheet.12 "https://spgl-my.sharepoint.com/personal/derek_ding_spglobal_com/Documents/_Home/DEREK/S&amp;P%20Work%20C_Drive%20Transfer()6052017)/SP%20work/US%20Treasury%20Bill%203M%20analysis%20June%202026/price%20decline%20analysis%20master%20summary%2006172026.xlsx" "summary!R23C4:R29C6" \a \f 4 \h  \* MERGEFORMAT </w:instrText>
        <w:fldChar w:fldCharType="separate"/>
      </w:r>
    </w:p>
    <w:tbl>
      <w:tblPr>
        <w:tblW w:w="6940" w:type="dxa"/>
        <w:tblInd w:w="1720" w:type="dxa"/>
        <w:tblLook w:val="04A0" w:firstRow="1" w:lastRow="0" w:firstColumn="1" w:lastColumn="0" w:noHBand="0" w:noVBand="1"/>
      </w:tblPr>
      <w:tblGrid>
        <w:gridCol w:w="2120"/>
        <w:gridCol w:w="2520"/>
        <w:gridCol w:w="2300"/>
      </w:tblGrid>
      <w:tr w:rsidR="00A8400C" w:rsidRPr="00A8400C" w14:paraId="72050B89" w14:textId="77777777" w:rsidTr="00A8400C">
        <w:trPr>
          <w:trHeight w:val="580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6FC0B" w14:textId="31B5A1A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9FE9D1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  <w:t xml:space="preserve">3M Tbill </w:t>
              <w:br/>
              <w:t>(secondary market)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D9DD20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  <w:t>3M Tbill</w:t>
              <w:br/>
              <w:t>(constant maturity)</w:t>
            </w:r>
          </w:p>
        </w:tc>
      </w:tr>
      <w:tr w:rsidR="00A8400C" w:rsidRPr="00A8400C" w14:paraId="4D001DCD" w14:textId="77777777" w:rsidTr="00A8400C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86AB9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  <w:t>Data Range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32108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  <w:t>Jan 1954 - Jun 2026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72A58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kern w:val="0"/>
                <w:sz w:val="18"/>
                <w:szCs w:val="18"/>
                <w14:ligatures w14:val="none"/>
              </w:rPr>
              <w:t>Sep 1981 - Jun 2026</w:t>
            </w:r>
          </w:p>
        </w:tc>
      </w:tr>
      <w:tr w:rsidR="00A8400C" w:rsidRPr="00A8400C" w14:paraId="7FADEF21" w14:textId="77777777" w:rsidTr="00A8400C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42548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Max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6EC89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0.490%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D1225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0.363%</w:t>
            </w:r>
          </w:p>
        </w:tc>
      </w:tr>
      <w:tr w:rsidR="00A8400C" w:rsidRPr="00A8400C" w14:paraId="1858F1BE" w14:textId="77777777" w:rsidTr="00A8400C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BAF16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99%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8C0A0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0.135%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2879A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0.094%</w:t>
            </w:r>
          </w:p>
        </w:tc>
      </w:tr>
      <w:tr w:rsidR="00A8400C" w:rsidRPr="00A8400C" w14:paraId="33A1351C" w14:textId="77777777" w:rsidTr="00A8400C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ED4DA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95%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865F8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0.055%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CAC78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0.043%</w:t>
            </w:r>
          </w:p>
        </w:tc>
      </w:tr>
      <w:tr w:rsidR="00A8400C" w:rsidRPr="00A8400C" w14:paraId="32AD71D7" w14:textId="77777777" w:rsidTr="00A8400C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F51E2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90%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5155C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0.035%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11E1F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0.026%</w:t>
            </w:r>
          </w:p>
        </w:tc>
      </w:tr>
      <w:tr w:rsidR="00A8400C" w:rsidRPr="00A8400C" w14:paraId="4AA053A7" w14:textId="77777777" w:rsidTr="00A8400C">
        <w:trPr>
          <w:trHeight w:val="290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51222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50%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571B3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0.000%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7C795" w14:textId="77777777" w:rsidR="00A8400C" w:rsidRPr="00A8400C" w:rsidRDefault="00A8400C" w:rsidP="00A84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0.000%</w:t>
            </w:r>
          </w:p>
        </w:tc>
      </w:tr>
    </w:tbl>
    <w:p w14:paraId="16D1BF87" w14:textId="03B6142D" w:rsidR="00B1690F" w:rsidRPr="008A0CC0" w:rsidRDefault="00A8400C" w:rsidP="00EB7962">
      <w:pPr>
        <w:pStyle w:val="ListParagraph"/>
        <w:ind w:left="1440"/>
        <w:rPr>
          <w:sz w:val="18"/>
          <w:szCs w:val="18"/>
        </w:rPr>
      </w:pPr>
      <w:r>
        <w:rPr>
          <w:sz w:val="18"/>
          <w:szCs w:val="18"/>
        </w:rPr>
        <w:fldChar w:fldCharType="end"/>
      </w:r>
    </w:p>
    <w:p w14:paraId="504E31B0" w14:textId="1DAE34AD" w:rsidR="00CF2062" w:rsidRPr="008A0CC0" w:rsidRDefault="00CF2062" w:rsidP="004D7B8F">
      <w:pPr>
        <w:pStyle w:val="ListParagraph"/>
        <w:ind w:left="1440"/>
        <w:rPr>
          <w:sz w:val="18"/>
          <w:szCs w:val="18"/>
        </w:rPr>
      </w:pPr>
    </w:p>
    <w:p w14:paraId="441316D2" w14:textId="7E3FF4AB" w:rsidR="009F5087" w:rsidRDefault="009F5087" w:rsidP="009F5087">
      <w:pPr>
        <w:pStyle w:val="ListParagraph"/>
        <w:numPr>
          <w:ilvl w:val="1"/>
          <w:numId w:val="1"/>
        </w:numPr>
        <w:rPr>
          <w:sz w:val="18"/>
          <w:szCs w:val="18"/>
        </w:rPr>
      </w:pPr>
      <w:r>
        <w:rPr>
          <w:sz w:val="18"/>
          <w:szCs w:val="18"/>
        </w:rPr>
        <w:t xml:space="preserve">Method 2 – closed-form calculation (auxiliiary proxy </w:t>
      </w:r>
    </w:p>
    <w:p w14:paraId="2698CE59" w14:textId="77777777" w:rsidR="008A0CC0" w:rsidRDefault="008A0CC0" w:rsidP="008A0CC0">
      <w:pPr>
        <w:pStyle w:val="ListParagraph"/>
        <w:ind w:left="1440"/>
        <w:rPr>
          <w:sz w:val="18"/>
          <w:szCs w:val="18"/>
        </w:rPr>
      </w:pPr>
    </w:p>
    <w:p w14:paraId="74918051" w14:textId="77777777" w:rsidR="00985F32" w:rsidRPr="008A0CC0" w:rsidRDefault="00985F32" w:rsidP="008A0CC0">
      <w:pPr>
        <w:pStyle w:val="ListParagraph"/>
        <w:ind w:left="1440"/>
        <w:rPr>
          <w:sz w:val="18"/>
          <w:szCs w:val="18"/>
        </w:rPr>
      </w:pPr>
    </w:p>
    <w:p w14:paraId="3B303837" w14:textId="30678E3D" w:rsidR="00CF78D7" w:rsidRPr="008A0CC0" w:rsidRDefault="00024EF5" w:rsidP="00CF78D7">
      <w:pPr>
        <w:pStyle w:val="ListParagraph"/>
        <w:ind w:left="144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Example 1: rate change – 1% to 4%</w:t>
      </w:r>
    </w:p>
    <w:p w14:paraId="71F92DC1" w14:textId="3E7422F9" w:rsidR="009A3E40" w:rsidRPr="008A0CC0" w:rsidRDefault="00D40B2E" w:rsidP="00D40B2E">
      <w:pPr>
        <w:pStyle w:val="ListParagraph"/>
        <w:ind w:left="144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86E8C64" wp14:editId="4CC22DB6">
            <wp:extent cx="5798745" cy="130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9066" cy="13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B234" w14:textId="57E8D143" w:rsidR="00D40B2E" w:rsidRPr="008A0CC0" w:rsidRDefault="00024EF5" w:rsidP="00D40B2E">
      <w:pPr>
        <w:pStyle w:val="ListParagraph"/>
        <w:ind w:left="144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Example 2: rate change – 1% to 2%</w:t>
      </w:r>
    </w:p>
    <w:p w14:paraId="13055CC0" w14:textId="05E12EA0" w:rsidR="00536B82" w:rsidRPr="008A0CC0" w:rsidRDefault="00536B82" w:rsidP="00D40B2E">
      <w:pPr>
        <w:pStyle w:val="ListParagraph"/>
        <w:ind w:left="1440"/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 wp14:anchorId="2AC6731D" wp14:editId="36110BFB">
            <wp:extent cx="5857592" cy="1365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8853" cy="13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08B" w14:textId="3092792C" w:rsidR="00D40B2E" w:rsidRPr="008A0CC0" w:rsidRDefault="00B10854" w:rsidP="00D40B2E">
      <w:pPr>
        <w:pStyle w:val="ListParagraph"/>
        <w:ind w:left="1440"/>
        <w:rPr>
          <w:sz w:val="18"/>
          <w:szCs w:val="18"/>
        </w:rPr>
      </w:pPr>
      <w:r>
        <w:rPr>
          <w:sz w:val="18"/>
          <w:szCs w:val="18"/>
        </w:rPr>
        <w:t xml:space="preserve">As indicated by the preceding results, the relative change (%) exhibits linearity with respect to time (t) </w:t>
      </w:r>
    </w:p>
    <w:p w14:paraId="61968049" w14:textId="77777777" w:rsidR="008A0CC0" w:rsidRDefault="008A0CC0" w:rsidP="00D40B2E">
      <w:pPr>
        <w:pStyle w:val="ListParagraph"/>
        <w:ind w:left="1440"/>
      </w:pPr>
    </w:p>
    <w:p w14:paraId="35DB4094" w14:textId="471C8D4D" w:rsidR="009F5087" w:rsidRPr="008A0CC0" w:rsidRDefault="009F5087" w:rsidP="009F508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Proposal</w:t>
      </w:r>
    </w:p>
    <w:p w14:paraId="00E22F4C" w14:textId="77777777" w:rsidR="009F5087" w:rsidRDefault="009F5087" w:rsidP="00B80275">
      <w:pPr>
        <w:pStyle w:val="ListParagraph"/>
        <w:ind w:left="1440"/>
      </w:pPr>
    </w:p>
    <w:p w14:paraId="46152FE5" w14:textId="4A209F7A" w:rsidR="009F5087" w:rsidRDefault="008E2FB4" w:rsidP="009F5087">
      <w:pPr>
        <w:pStyle w:val="ListParagraph"/>
        <w:ind w:left="1440"/>
        <w:rPr>
          <w:sz w:val="18"/>
          <w:szCs w:val="18"/>
        </w:rPr>
      </w:pPr>
      <w:r>
        <w:rPr>
          <w:sz w:val="18"/>
          <w:szCs w:val="18"/>
        </w:rPr>
        <w:t xml:space="preserve">Based on the above results, we recommend adopting the DTB3 series – the 3-month Treasury bill secondary market rate – as the input for the transaction rating analysis. This recommendation is supported by the following considerations:</w:t>
      </w:r>
    </w:p>
    <w:p w:rsidR="009F5087" w:rsidRDefault="009F5087" w:rsidP="009F5087">
      <w:pPr>
        <w:pStyle w:val="ListParagraph"/>
        <w:numPr>
          <w:ilvl w:val="0"/>
          <w:numId w:val="2"/>
        </w:numPr>
        <w:spacing w:before="60"/>
        <w:ind w:left="1800" w:hanging="36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Sourcing methodology. </w:t>
      </w:r>
      <w:r>
        <w:rPr>
          <w:sz w:val="18"/>
          <w:szCs w:val="18"/>
        </w:rPr>
        <w:t>DTB3 is taken directly from observed secondary-market trading quotes for actual 3-month bills, on the standard 360-day bank-discount convention that market participants use to price these instruments. DGS3MO, by contrast, is a constant-maturity rate interpolated from the Treasury’s daily yield curve – a synthetic construct that does not correspond to any single traded security. Anchoring the analysis on prices that are actually realizable in the market is preferable for transaction rating purposes.</w:t>
      </w:r>
    </w:p>
    <w:p w:rsidR="009F5087" w:rsidRDefault="009F5087" w:rsidP="009F5087">
      <w:pPr>
        <w:pStyle w:val="ListParagraph"/>
        <w:numPr>
          <w:ilvl w:val="0"/>
          <w:numId w:val="2"/>
        </w:numPr>
        <w:spacing w:before="60"/>
        <w:ind w:left="1800" w:hanging="36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Length of history. </w:t>
      </w:r>
      <w:r>
        <w:rPr>
          <w:sz w:val="18"/>
          <w:szCs w:val="18"/>
        </w:rPr>
        <w:t>DTB3 begins in January 1954, whereas DGS3MO only begins in September 1981 – roughly 27 additional years of daily observations. The longer DTB3 window spans a wider range of interest-rate regimes, including the high-rate, high-volatility environment of the late 1970s and early 1980s, which produces more robust estimates of the tail quantiles that drive the stress assumption.</w:t>
      </w:r>
    </w:p>
    <w:p w:rsidR="009F5087" w:rsidRDefault="009F5087" w:rsidP="009F5087">
      <w:pPr>
        <w:pStyle w:val="ListParagraph"/>
        <w:numPr>
          <w:ilvl w:val="0"/>
          <w:numId w:val="2"/>
        </w:numPr>
        <w:spacing w:before="60"/>
        <w:ind w:left="1800" w:hanging="36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More conservative outcome. </w:t>
      </w:r>
      <w:r>
        <w:rPr>
          <w:sz w:val="18"/>
          <w:szCs w:val="18"/>
        </w:rPr>
        <w:t>Across every quantile examined, the empirical 5-day price declines derived from DTB3 exceed those from DGS3MO (for example, 0.490% vs. 0.363% at the maximum and 0.135% vs. 0.094% at the 99th percentile). Selecting DTB3 therefore yields the more conservative stress input, which is the prudent choice for rating analysis.</w:t>
      </w:r>
    </w:p>
    <w:p w:rsidR="009F5087" w:rsidRDefault="009F5087" w:rsidP="009F5087">
      <w:pPr>
        <w:pStyle w:val="ListParagraph"/>
        <w:numPr>
          <w:ilvl w:val="0"/>
          <w:numId w:val="2"/>
        </w:numPr>
        <w:spacing w:before="60"/>
        <w:ind w:left="1800" w:hanging="36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Economically clean price change. </w:t>
      </w:r>
      <w:r>
        <w:rPr>
          <w:sz w:val="18"/>
          <w:szCs w:val="18"/>
        </w:rPr>
        <w:t>Because DTB3 follows a real bill whose remaining days to maturity actually decline over the holding period, the resulting 5-day price change reflects both market-rate movements and the natural pull-to-par accrual. DGS3MO holds maturity fixed at exactly 90 days, which suppresses this aging effect and understates the true price change.</w:t>
      </w:r>
    </w:p>
    <w:p w:rsidR="009F5087" w:rsidRDefault="009F5087" w:rsidP="009F5087">
      <w:pPr>
        <w:pStyle w:val="ListParagraph"/>
        <w:spacing w:before="120"/>
        <w:ind w:left="1440"/>
        <w:rPr>
          <w:sz w:val="18"/>
          <w:szCs w:val="18"/>
        </w:rPr>
      </w:pPr>
      <w:r>
        <w:rPr>
          <w:sz w:val="18"/>
          <w:szCs w:val="18"/>
        </w:rPr>
        <w:t>On balance, DTB3 provides the longer history, the more market-representative sourcing, and the more conservative stress estimates, and is therefore recommended as the basis for the transaction rating analysis.</w:t>
      </w:r>
    </w:p>
    <w:p w14:paraId="0104ABED" w14:textId="77777777" w:rsidR="009F5087" w:rsidRDefault="009F5087" w:rsidP="009F5087">
      <w:pPr>
        <w:ind w:left="1080"/>
      </w:pPr>
    </w:p>
    <w:sectPr w:rsidR="009F5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03BF6" w14:textId="77777777" w:rsidR="00911B4C" w:rsidRDefault="00911B4C" w:rsidP="009F5087">
      <w:pPr>
        <w:spacing w:after="0" w:line="240" w:lineRule="auto"/>
      </w:pPr>
      <w:r>
        <w:separator/>
      </w:r>
    </w:p>
  </w:endnote>
  <w:endnote w:type="continuationSeparator" w:id="0">
    <w:p w14:paraId="034A5608" w14:textId="77777777" w:rsidR="00911B4C" w:rsidRDefault="00911B4C" w:rsidP="009F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43F8" w14:textId="77777777" w:rsidR="00911B4C" w:rsidRDefault="00911B4C" w:rsidP="009F5087">
      <w:pPr>
        <w:spacing w:after="0" w:line="240" w:lineRule="auto"/>
      </w:pPr>
      <w:r>
        <w:separator/>
      </w:r>
    </w:p>
  </w:footnote>
  <w:footnote w:type="continuationSeparator" w:id="0">
    <w:p w14:paraId="6204AA98" w14:textId="77777777" w:rsidR="00911B4C" w:rsidRDefault="00911B4C" w:rsidP="009F5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C39D5"/>
    <w:multiLevelType w:val="hybridMultilevel"/>
    <w:tmpl w:val="D4D8F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A21C8"/>
    <w:multiLevelType w:val="hybridMultilevel"/>
    <w:tmpl w:val="A1B2C3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</w:abstractNum>
  <w:num w:numId="1" w16cid:durableId="263265222">
    <w:abstractNumId w:val="0"/>
  </w:num>
  <w:num w:numId="2" w16cid:durableId="26326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87"/>
    <w:rsid w:val="00024EF5"/>
    <w:rsid w:val="00052A2B"/>
    <w:rsid w:val="000610BF"/>
    <w:rsid w:val="00217198"/>
    <w:rsid w:val="00276E5B"/>
    <w:rsid w:val="00356168"/>
    <w:rsid w:val="00384BF9"/>
    <w:rsid w:val="003D7CD9"/>
    <w:rsid w:val="00404F42"/>
    <w:rsid w:val="004D7B8F"/>
    <w:rsid w:val="00536B82"/>
    <w:rsid w:val="005A069B"/>
    <w:rsid w:val="005E3DF2"/>
    <w:rsid w:val="00621012"/>
    <w:rsid w:val="006305F9"/>
    <w:rsid w:val="00634EEA"/>
    <w:rsid w:val="00636C0D"/>
    <w:rsid w:val="00675A48"/>
    <w:rsid w:val="00677316"/>
    <w:rsid w:val="00684236"/>
    <w:rsid w:val="006B42F2"/>
    <w:rsid w:val="006C099E"/>
    <w:rsid w:val="0078298C"/>
    <w:rsid w:val="008409F1"/>
    <w:rsid w:val="008A0CC0"/>
    <w:rsid w:val="008C5CC7"/>
    <w:rsid w:val="008D6F95"/>
    <w:rsid w:val="008E2FB4"/>
    <w:rsid w:val="00911B4C"/>
    <w:rsid w:val="0091746D"/>
    <w:rsid w:val="00921D80"/>
    <w:rsid w:val="00934D84"/>
    <w:rsid w:val="00936D5E"/>
    <w:rsid w:val="00985F32"/>
    <w:rsid w:val="009A3E40"/>
    <w:rsid w:val="009F5087"/>
    <w:rsid w:val="009F6AA3"/>
    <w:rsid w:val="00A8400C"/>
    <w:rsid w:val="00AC228B"/>
    <w:rsid w:val="00B10854"/>
    <w:rsid w:val="00B1690F"/>
    <w:rsid w:val="00B50B2C"/>
    <w:rsid w:val="00B80275"/>
    <w:rsid w:val="00BA5BAC"/>
    <w:rsid w:val="00BB054A"/>
    <w:rsid w:val="00BD7611"/>
    <w:rsid w:val="00C625D5"/>
    <w:rsid w:val="00CB307C"/>
    <w:rsid w:val="00CC3894"/>
    <w:rsid w:val="00CC6CB5"/>
    <w:rsid w:val="00CF2062"/>
    <w:rsid w:val="00CF78D7"/>
    <w:rsid w:val="00D40B2E"/>
    <w:rsid w:val="00EB7962"/>
    <w:rsid w:val="00EE40DB"/>
    <w:rsid w:val="00EE58BC"/>
    <w:rsid w:val="00EE5D03"/>
    <w:rsid w:val="00EF1614"/>
    <w:rsid w:val="00FB1189"/>
    <w:rsid w:val="00FC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0F85D"/>
  <w15:chartTrackingRefBased/>
  <w15:docId w15:val="{6E81D963-69EB-4B20-93D9-F5E89B88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087"/>
    <w:pPr>
      <w:ind w:left="720"/>
      <w:contextualSpacing/>
    </w:pPr>
  </w:style>
  <w:style w:type="table" w:styleId="TableGrid">
    <w:name w:val="Table Grid"/>
    <w:basedOn w:val="TableNormal"/>
    <w:uiPriority w:val="39"/>
    <w:rsid w:val="009F5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7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1B5F0-40A2-4DD4-B924-FBC535D55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Ding, Derek (Analytical)</dc:creator>
  <cp:keywords/>
  <dc:description/>
  <cp:lastModifiedBy>Ding, Derek (Analytical)</cp:lastModifiedBy>
  <cp:revision>17</cp:revision>
  <dcterms:created xsi:type="dcterms:W3CDTF">2024-03-29T18:58:00Z</dcterms:created>
  <dcterms:modified xsi:type="dcterms:W3CDTF">2026-06-23T00:38:00Z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2024-03-27T18:53:40Z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16dda976-2c71-4ad5-883f-a2b5c668f75a</vt:lpwstr>
  </property>
  <property fmtid="{D5CDD505-2E9C-101B-9397-08002B2CF9AE}" pid="8" name="MSIP_Label_831f0267-8575-4fc2-99cc-f6b7f9934be9_ContentBits">
    <vt:lpwstr>0</vt:lpwstr>
  </property>
</Properties>
</file>