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bookmarkStart w:id="0" w:name="_GoBack"/>
      <w:bookmarkEnd w:id="0"/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街区运动会益智类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6"/>
          <w:szCs w:val="36"/>
          <w:lang w:eastAsia="zh-CN"/>
        </w:rPr>
        <w:t>踢毽子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月下旬（待定）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五</w:t>
      </w:r>
      <w:r>
        <w:rPr>
          <w:rFonts w:hint="eastAsia" w:ascii="宋体" w:hAnsi="宋体" w:eastAsia="宋体" w:cs="宋体"/>
          <w:b/>
          <w:sz w:val="21"/>
          <w:szCs w:val="21"/>
        </w:rPr>
        <w:t>、竞赛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规则：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个人赛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比赛为一分钟踢毽子。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2、在指定的场地范围内踢，听裁判口令或哨声开始或结束。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3、比赛时采用双脚内、外侧或脚面踢毽子，比赛时间为一分钟，其间中断后还可继续踢，最后成绩为前后累计的总次数。　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textAlignment w:val="auto"/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val="en-US" w:eastAsia="zh-CN"/>
        </w:rPr>
        <w:t>？4、总数</w:t>
      </w:r>
      <w:r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eastAsia="zh-CN"/>
        </w:rPr>
        <w:t>如有相同者，名次并列。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PS：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如遇特殊情况需要换人，请赛前与相关工作人员联系，否则将视为弃权。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六、</w:t>
      </w:r>
      <w:r>
        <w:rPr>
          <w:rFonts w:hint="eastAsia" w:ascii="宋体" w:hAnsi="宋体" w:eastAsia="宋体" w:cs="宋体"/>
          <w:b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流程：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1135" cy="164909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七、参与方式：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八、计分及奖项设置：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榜，以个人成绩进行排名，每组前三名设置冠亚季军，同时设置创意奖项，比赛当天颁发奖章及证书，奖品则由工作人员上门进行赠与仪式。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1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九、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43951"/>
    <w:rsid w:val="42380D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PC41</dc:creator>
  <cp:lastModifiedBy>PC41</cp:lastModifiedBy>
  <dcterms:modified xsi:type="dcterms:W3CDTF">2017-02-28T05:46:37Z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