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P1-R12  자동수집장치 기재 점검</w:t>
      </w:r>
    </w:p>
    <w:p>
      <w:r>
        <w:rPr>
          <w:b/>
        </w:rPr>
        <w:t>쿠키 등 자동수집장치의 설치·운영과 거부 방법</w:t>
      </w:r>
    </w:p>
    <w:p>
      <w:pPr>
        <w:pStyle w:val="Subtitle"/>
      </w:pPr>
      <w:r>
        <w:t>2026년 10월 30일  |  구현안 v1.2  |  법령 기재사항 점검(문서 기반)</w:t>
      </w:r>
    </w:p>
    <w:p>
      <w:pPr>
        <w:pStyle w:val="Heading1"/>
      </w:pPr>
      <w:r>
        <w:t>1. 제안 개요</w:t>
      </w:r>
    </w:p>
    <w:p>
      <w:r>
        <w:t>현행 PoC1 개인정보 처리방침 점검 규칙에 P1-R12를 추가한다. 쿠키 등 자동수집장치를 사용하는 경우, 그 설치·운영 설명과 이용자의 거부 방법이 개인정보 처리방침에 기재되었는지를 점검한다. 자동수집장치의 적법성, 동의의 유효성, 추적 기술의 실제 동작을 판정하지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구분</w:t>
            </w:r>
          </w:p>
        </w:tc>
        <w:tc>
          <w:tcPr>
            <w:tcW w:type="dxa" w:w="6236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규칙 ID / 대상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P1-R12 / PoC1 개인정보 처리방침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법적 근거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개인정보 보호법 제30조 제1항 제7호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적용 조건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자동수집장치 사용이 확인된 문서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비적용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“자동수집장치를 사용하지 않습니다” 등 명시적 미사용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단위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문서 전체 기준 1회 판정 (처리행위별 반복 없음)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출력 상태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GREEN / YELLOW / RED / N/A</w:t>
            </w:r>
          </w:p>
        </w:tc>
      </w:tr>
    </w:tbl>
    <w:p>
      <w:pPr>
        <w:spacing w:after="20"/>
      </w:pPr>
    </w:p>
    <w:p>
      <w:pPr>
        <w:pStyle w:val="Heading1"/>
      </w:pPr>
      <w:r>
        <w:t>2. 입력 Fact와 온톨로지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9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Fact</w:t>
            </w:r>
          </w:p>
        </w:tc>
        <w:tc>
          <w:tcPr>
            <w:tcW w:type="dxa" w:w="3345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속성</w:t>
            </w:r>
          </w:p>
        </w:tc>
        <w:tc>
          <w:tcPr>
            <w:tcW w:type="dxa" w:w="3969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확인할 내용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</w:t>
            </w:r>
          </w:p>
        </w:tc>
        <w:tc>
          <w:tcPr>
            <w:tcW w:type="dxa" w:w="334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hasAutomaticCollectionDevice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자동수집장치 사용 여부 및 장치 유형(예: 쿠키); 미사용은 명시적 부재 값</w:t>
            </w:r>
          </w:p>
        </w:tc>
      </w:tr>
      <w:tr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F1-24</w:t>
            </w:r>
          </w:p>
        </w:tc>
        <w:tc>
          <w:tcPr>
            <w:tcW w:type="dxa" w:w="3345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hasAutomaticCollectionOperation</w:t>
            </w:r>
          </w:p>
        </w:tc>
        <w:tc>
          <w:tcPr>
            <w:tcW w:type="dxa" w:w="3969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장치 설치·운영의 구체적인 안내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F1-25</w:t>
            </w:r>
          </w:p>
        </w:tc>
        <w:tc>
          <w:tcPr>
            <w:tcW w:type="dxa" w:w="334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hasAutomaticCollectionOptOutMethod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이용자가 선택할 수 있는 거부 방법 및 경로</w:t>
            </w:r>
          </w:p>
        </w:tc>
      </w:tr>
    </w:tbl>
    <w:p>
      <w:pPr>
        <w:spacing w:after="20"/>
      </w:pPr>
    </w:p>
    <w:p>
      <w:r>
        <w:t>세 Fact는 PersonalInformationController에 매핑하며 activity_id 없이 문서 단위로 추출한다. Fact Schema는 fact-1.0 형식을 유지한다. 값이 명확하면 confirmed, 해석이 애매하면 unknown, 문서 검토 결과 해당 기재가 없으면 absent로 구분한다. Fact 자체가 전달되지 않은 경우를 absent로 임의 보정하지 않는다.</w:t>
      </w:r>
    </w:p>
    <w:p>
      <w:pPr>
        <w:pStyle w:val="Heading1"/>
      </w:pPr>
      <w:r>
        <w:t>3. 판정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139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조건</w:t>
            </w:r>
          </w:p>
        </w:tc>
        <w:tc>
          <w:tcPr>
            <w:tcW w:type="dxa" w:w="119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기대 판정</w:t>
            </w:r>
          </w:p>
        </w:tc>
        <w:tc>
          <w:tcPr>
            <w:tcW w:type="dxa" w:w="323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해석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F1-23=confirmed 사용, F1-24·25=confirmed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GREEN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설치·운영과 거부 방법을 모두 문서에 기재</w:t>
            </w:r>
          </w:p>
        </w:tc>
      </w:tr>
      <w:tr>
        <w:tc>
          <w:tcPr>
            <w:tcW w:type="dxa" w:w="4139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장치 사용 확인, 필수 항목 중 absent 존재</w:t>
            </w:r>
          </w:p>
        </w:tc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RED</w:t>
            </w:r>
          </w:p>
        </w:tc>
        <w:tc>
          <w:tcPr>
            <w:tcW w:type="dxa" w:w="323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기재 누락이 문서상 확인됨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장치 사용 확인, 일부 항목 unknown 또는 Fact 누락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YELLOW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추가 확인 필요; 누락과 불확실성을 구분</w:t>
            </w:r>
          </w:p>
        </w:tc>
      </w:tr>
      <w:tr>
        <w:tc>
          <w:tcPr>
            <w:tcW w:type="dxa" w:w="4139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F1-23=absent / unknown / Fact 누락</w:t>
            </w:r>
          </w:p>
        </w:tc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YELLOW</w:t>
            </w:r>
          </w:p>
        </w:tc>
        <w:tc>
          <w:tcPr>
            <w:tcW w:type="dxa" w:w="323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장치 사용 여부만으로 비적용 처리하지 않음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F1-23=confirmed “미사용”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N/A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사용하지 않는다는 문서상 명시적 근거가 있음</w:t>
            </w:r>
          </w:p>
        </w:tc>
      </w:tr>
    </w:tbl>
    <w:p>
      <w:pPr>
        <w:spacing w:after="20"/>
      </w:pPr>
    </w:p>
    <w:p>
      <w:r>
        <w:t>동시에 여러 신호가 나오면 RED를 우선하며, 명시적 미사용만 N/A로 인정한다. GREEN은 “필요한 표현을 문서에서 확인했다”는 의미이지 개인정보 보호법 준수 인증이 아니다.</w:t>
      </w:r>
    </w:p>
    <w:p>
      <w:pPr>
        <w:pStyle w:val="Heading1"/>
      </w:pPr>
      <w:r>
        <w:t>4. SC-P01 시연 사례</w:t>
      </w:r>
    </w:p>
    <w:p>
      <w:r>
        <w:t>SC-P01 제1조 “서비스 개선”의 수집 항목에 “IP 주소·접속일시·이용기록·기기정보·쿠키”가 있다. 따라서 F1-23은 confirmed(쿠키)이다. 그러나 처리방침에는 쿠키의 설치·운영 방식이나 거부 방법이 별도 기재되어 있지 않아 F1-24/25를 absent로 둔다. P1-R12의 gold 기대값은 RED다.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Fact</w:t>
            </w:r>
          </w:p>
        </w:tc>
        <w:tc>
          <w:tcPr>
            <w:tcW w:type="dxa" w:w="5953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예시 값</w:t>
            </w:r>
          </w:p>
        </w:tc>
        <w:tc>
          <w:tcPr>
            <w:tcW w:type="dxa" w:w="1304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상태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쿠키</w:t>
            </w:r>
          </w:p>
        </w:tc>
        <w:tc>
          <w:tcPr>
            <w:tcW w:type="dxa" w:w="1304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confirmed</w:t>
            </w:r>
          </w:p>
        </w:tc>
      </w:tr>
      <w:tr>
        <w:tc>
          <w:tcPr>
            <w:tcW w:type="dxa" w:w="1247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F1-24</w:t>
            </w:r>
          </w:p>
        </w:tc>
        <w:tc>
          <w:tcPr>
            <w:tcW w:type="dxa" w:w="5953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해당 설명을 확인하지 못함</w:t>
            </w:r>
          </w:p>
        </w:tc>
        <w:tc>
          <w:tcPr>
            <w:tcW w:type="dxa" w:w="1304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absent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거부 방법을 확인하지 못함</w:t>
            </w:r>
          </w:p>
        </w:tc>
        <w:tc>
          <w:tcPr>
            <w:tcW w:type="dxa" w:w="1304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absent</w:t>
            </w:r>
          </w:p>
        </w:tc>
      </w:tr>
    </w:tbl>
    <w:p>
      <w:pPr>
        <w:spacing w:after="20"/>
      </w:pPr>
    </w:p>
    <w:p>
      <w:pPr>
        <w:pStyle w:val="Heading1"/>
      </w:pPr>
      <w:r>
        <w:t>5. 추출·Rule Engine 구현 요건</w:t>
      </w:r>
    </w:p>
    <w:p>
      <w:pPr>
        <w:pStyle w:val="ListBullet"/>
      </w:pPr>
      <w:r>
        <w:t>PoC1 기존 권리/담당자 추출 Pass에 세 Fact를 함께 요청한다. LLM 호출을 따로 추가하지 않는다.</w:t>
      </w:r>
    </w:p>
    <w:p>
      <w:pPr>
        <w:pStyle w:val="ListBullet"/>
      </w:pPr>
      <w:r>
        <w:t>단순 “수집 항목: 쿠키”를 설치·운영의 구체적인 설명이나 거부 방법으로 간주하지 않는다.</w:t>
      </w:r>
    </w:p>
    <w:p>
      <w:pPr>
        <w:pStyle w:val="ListBullet"/>
      </w:pPr>
      <w:r>
        <w:t>브라우저 설정, 쿠키 차단 방법 등이 문서에 구체적으로 적힌 경우에만 F1-25를 confirmed로 낸다.</w:t>
      </w:r>
    </w:p>
    <w:p>
      <w:pPr>
        <w:pStyle w:val="ListBullet"/>
      </w:pPr>
      <w:r>
        <w:t>문서 전체를 확인한 뒤 항목이 없는 경우 absent로 유지하고, 관련 조항을 근거 인용한다.</w:t>
      </w:r>
    </w:p>
    <w:p>
      <w:pPr>
        <w:pStyle w:val="ListBullet"/>
      </w:pPr>
      <w:r>
        <w:t>온톨로지와 Mapping Registry·Fact validator·Rule profile·Frontend 규칙명에 동기화한다.</w:t>
      </w:r>
    </w:p>
    <w:p>
      <w:pPr>
        <w:pStyle w:val="Heading1"/>
      </w:pPr>
      <w:r>
        <w:t>6. 개발·검증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24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항목</w:t>
            </w:r>
          </w:p>
        </w:tc>
        <w:tc>
          <w:tcPr>
            <w:tcW w:type="dxa" w:w="6180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수용 기준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Fact 계약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F1-23/24/25가 document-scope로 검증 및 RDF 매핑됨</w:t>
            </w:r>
          </w:p>
        </w:tc>
      </w:tr>
      <w:tr>
        <w:tc>
          <w:tcPr>
            <w:tcW w:type="dxa" w:w="2324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규칙 프로필</w:t>
            </w:r>
          </w:p>
        </w:tc>
        <w:tc>
          <w:tcPr>
            <w:tcW w:type="dxa" w:w="6180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P1-R12의 required_fact_ids 및 법적 근거가 일치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단위 테스트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사용+완비 GREEN / 사용+누락 RED / 불확실 YELLOW / 명시적 미사용 N/A</w:t>
            </w:r>
          </w:p>
        </w:tc>
      </w:tr>
      <w:tr>
        <w:tc>
          <w:tcPr>
            <w:tcW w:type="dxa" w:w="2324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시나리오</w:t>
            </w:r>
          </w:p>
        </w:tc>
        <w:tc>
          <w:tcPr>
            <w:tcW w:type="dxa" w:w="6180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SC-P01 RED; 장치 언급 없는 held-out은 YELLOW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회귀 테스트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기존 P1-R01~R11 판정 유지, 기타 PoC 기능 영향 없음</w:t>
            </w:r>
          </w:p>
        </w:tc>
      </w:tr>
    </w:tbl>
    <w:p>
      <w:pPr>
        <w:spacing w:after="20"/>
      </w:pPr>
    </w:p>
    <w:p>
      <w:pPr>
        <w:pStyle w:val="Heading1"/>
      </w:pPr>
      <w:r>
        <w:t>7. 결정할 사항 및 한계</w:t>
      </w:r>
    </w:p>
    <w:p>
      <w:r>
        <w:t>“설치·운영”의 충분한 구체성, 쿠키 외 SDK·픽셀 등 장치의 포함 범위, 이용자 거부 방법의 적정성은 규칙 문구와 추출 프롬프트의 정교화를 통해 팀 검토가 필요하다. 법률상 기재 의무와 적용 예외에 관한 최종 해석은 법무·개인정보 담당자가 확인해야 한다.</w:t>
      </w:r>
    </w:p>
    <w:p>
      <w:r>
        <w:t>관련 코드: app/extractors/poc1.py, app/extractors/prompts.py, app/mapping/*, app/rules/engine.py, rules/p0_rules.json, tests/test_p1_r12_auto_collection.py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361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규칙 설계 제안서 · 2026.10.30 · PoC1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PIPA DPV COMPLIANCE  /  PoC1 RULE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b/>
      <w:color w:val="54616E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b w:val="0"/>
      <w:color w:val="54616E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75A9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