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P2-R10  피해 신고 접수 창구 점검</w:t>
      </w:r>
    </w:p>
    <w:p>
      <w:r>
        <w:rPr>
          <w:b/>
        </w:rPr>
        <w:t>유출등 통지문의 담당부서 및 실질 연락처 기재</w:t>
      </w:r>
    </w:p>
    <w:p>
      <w:pPr>
        <w:pStyle w:val="Subtitle"/>
      </w:pPr>
      <w:r>
        <w:t>2026년 10월 30일  |  구현안 v1.2  |  법령 기재사항 점검(문서 기반)</w:t>
      </w:r>
    </w:p>
    <w:p>
      <w:pPr>
        <w:pStyle w:val="Heading1"/>
      </w:pPr>
      <w:r>
        <w:t>1. 제안 개요</w:t>
      </w:r>
    </w:p>
    <w:p>
      <w:r>
        <w:t>유출등 통지문을 점검하는 PoC2에 P2-R10을 추가한다. 통지문에 피해 신고 등을 접수할 담당부서와 실질적인 연락처가 함께 기재되어 있는지 확인한다. 사고 후 대응조치의 존재(P2-R08)와 별도로, 정보주체에게 전달된 통지문 자체의 기재사항을 평가한다.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구분</w:t>
            </w:r>
          </w:p>
        </w:tc>
        <w:tc>
          <w:tcPr>
            <w:tcW w:type="dxa" w:w="6236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규칙 ID / 대상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P2-R10 / PoC2 유출등 통지문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법적 근거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개인정보 보호법 제34조 제1항 제5호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적용 조건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사고 기록과 연결된 유출등 통지문이 존재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비적용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통지문이 제공되지 않았다는 명시적 상태(그 자체의 법적 문제는 P2-R10 평가대상이 아님)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단위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단위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출력 상태</w:t>
            </w:r>
          </w:p>
        </w:tc>
        <w:tc>
          <w:tcPr>
            <w:tcW w:type="dxa" w:w="6236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GREEN / YELLOW / RED / N/A</w:t>
            </w:r>
          </w:p>
        </w:tc>
      </w:tr>
    </w:tbl>
    <w:p>
      <w:pPr>
        <w:spacing w:after="20"/>
      </w:pPr>
    </w:p>
    <w:p>
      <w:pPr>
        <w:pStyle w:val="Heading1"/>
      </w:pPr>
      <w:r>
        <w:t>2. 입력 Fact와 온톨로지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Fact</w:t>
            </w:r>
          </w:p>
        </w:tc>
        <w:tc>
          <w:tcPr>
            <w:tcW w:type="dxa" w:w="323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온톨로지 속성</w:t>
            </w:r>
          </w:p>
        </w:tc>
        <w:tc>
          <w:tcPr>
            <w:tcW w:type="dxa" w:w="4025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확인할 내용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F2-11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hasDamageReportDepartment</w:t>
            </w:r>
          </w:p>
        </w:tc>
        <w:tc>
          <w:tcPr>
            <w:tcW w:type="dxa" w:w="402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피해 신고 접수 담당부서나 담당 창구의 식별 가능한 이름</w:t>
            </w:r>
          </w:p>
        </w:tc>
      </w:tr>
      <w:tr>
        <w:tc>
          <w:tcPr>
            <w:tcW w:type="dxa" w:w="1247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F2-12</w:t>
            </w:r>
          </w:p>
        </w:tc>
        <w:tc>
          <w:tcPr>
            <w:tcW w:type="dxa" w:w="323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hasDamageReportContact</w:t>
            </w:r>
          </w:p>
        </w:tc>
        <w:tc>
          <w:tcPr>
            <w:tcW w:type="dxa" w:w="4025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전화번호·이메일 등 연락할 수 있는 구체 수단</w:t>
            </w:r>
          </w:p>
        </w:tc>
      </w:tr>
    </w:tbl>
    <w:p>
      <w:pPr>
        <w:spacing w:after="20"/>
      </w:pPr>
    </w:p>
    <w:p>
      <w:r>
        <w:t>두 Fact는 NotificationNotice에 연결된다. F2-03(hasNotificationNotice)과 별개의 Fact이며, 사고 기록에서 추출한 F2-10(대응조치)의 “피해구제 안내”를 연락처로 재사용해서는 안 된다. 값이 없는 이유를 absent / unknown / Fact 누락으로 구분한다.</w:t>
      </w:r>
    </w:p>
    <w:p>
      <w:pPr>
        <w:pStyle w:val="Heading1"/>
      </w:pPr>
      <w:r>
        <w:t>3. 판정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4139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조건</w:t>
            </w:r>
          </w:p>
        </w:tc>
        <w:tc>
          <w:tcPr>
            <w:tcW w:type="dxa" w:w="119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기대 판정</w:t>
            </w:r>
          </w:p>
        </w:tc>
        <w:tc>
          <w:tcPr>
            <w:tcW w:type="dxa" w:w="323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해석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존재 + F2-11/12 모두 confirmed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GREEN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부서와 실제 연락처가 확인됨</w:t>
            </w:r>
          </w:p>
        </w:tc>
      </w:tr>
      <w:tr>
        <w:tc>
          <w:tcPr>
            <w:tcW w:type="dxa" w:w="4139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존재 + F2-11/12 중 absent</w:t>
            </w:r>
          </w:p>
        </w:tc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RED</w:t>
            </w:r>
          </w:p>
        </w:tc>
        <w:tc>
          <w:tcPr>
            <w:tcW w:type="dxa" w:w="323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법정 기재사항 중 확인된 누락 존재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존재 + 일부 unknown 또는 Fact 누락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YELLOW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실질 담당부서·연락처 확인 필요</w:t>
            </w:r>
          </w:p>
        </w:tc>
      </w:tr>
      <w:tr>
        <w:tc>
          <w:tcPr>
            <w:tcW w:type="dxa" w:w="4139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부재가 명시됨</w:t>
            </w:r>
          </w:p>
        </w:tc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N/A</w:t>
            </w:r>
          </w:p>
        </w:tc>
        <w:tc>
          <w:tcPr>
            <w:tcW w:type="dxa" w:w="323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통지문 기재사항 점검 자체를 수행하지 않음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연결된 통지문 상태가 불명확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YELLOW</w:t>
            </w:r>
          </w:p>
        </w:tc>
        <w:tc>
          <w:tcPr>
            <w:tcW w:type="dxa" w:w="323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적용 여부 추가 확인 필요</w:t>
            </w:r>
          </w:p>
        </w:tc>
      </w:tr>
    </w:tbl>
    <w:p>
      <w:pPr>
        <w:spacing w:after="20"/>
      </w:pPr>
    </w:p>
    <w:p>
      <w:r>
        <w:t>일반적인 “담당부서 연락처로 문의”라는 문장만으로 구체 연락처가 있다고 간주하지 않는다. “접수 가능합니다”도 실제 담당부서·연락처를 입증하지 못한다. RED는 문서상 누락 탐지이며, 법적 위반의 확정 판정이 아니다.</w:t>
      </w:r>
    </w:p>
    <w:p>
      <w:pPr>
        <w:pStyle w:val="Heading1"/>
      </w:pPr>
      <w:r>
        <w:t>4. SC-P02 시연 사례</w:t>
      </w:r>
    </w:p>
    <w:p>
      <w:r>
        <w:t>SC-P02 통지문 제5항에는 “개인정보보호 담당부서 연락처를 통하여 문의하실 수 있으며 피해구제 절차를 안내해 드립니다.”라고 적혀 있다. 실제 부서 고유명, 전화번호, 이메일 주소가 보이지 않으므로, F2-11과 F2-12는 두 항목 모두 unknown으로 둔다. 이에 따라 P2-R10 gold 기대값은 YELLOW(확인 필요)이다.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9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Fact</w:t>
            </w:r>
          </w:p>
        </w:tc>
        <w:tc>
          <w:tcPr>
            <w:tcW w:type="dxa" w:w="6123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원문 근거와 해석</w:t>
            </w:r>
          </w:p>
        </w:tc>
        <w:tc>
          <w:tcPr>
            <w:tcW w:type="dxa" w:w="1191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상태</w:t>
            </w:r>
          </w:p>
        </w:tc>
      </w:tr>
      <w:tr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F2-11</w:t>
            </w:r>
          </w:p>
        </w:tc>
        <w:tc>
          <w:tcPr>
            <w:tcW w:type="dxa" w:w="6123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일반적인 “개인정보보호 담당부서”; 담당 창구 식별 불명확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unknown</w:t>
            </w:r>
          </w:p>
        </w:tc>
      </w:tr>
      <w:tr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F2-12</w:t>
            </w:r>
          </w:p>
        </w:tc>
        <w:tc>
          <w:tcPr>
            <w:tcW w:type="dxa" w:w="6123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“연락처”라는 단어만 있음; 실제 연락 수단 미기재</w:t>
            </w:r>
          </w:p>
        </w:tc>
        <w:tc>
          <w:tcPr>
            <w:tcW w:type="dxa" w:w="1191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unknown</w:t>
            </w:r>
          </w:p>
        </w:tc>
      </w:tr>
    </w:tbl>
    <w:p>
      <w:pPr>
        <w:spacing w:after="20"/>
      </w:pPr>
    </w:p>
    <w:p>
      <w:r>
        <w:t>참고: 담당부서 이름이 명확히 없음을 문서 전체 검토로 확정한 평가 정책에서는 absent(RED)로 분류할 수 있다. 현 PoC에서는 일반 표현의 해석 불확실성을 보수적으로 YELLOW로 기록하여 법적 누락의 자동 확정을 피한다.</w:t>
      </w:r>
    </w:p>
    <w:p>
      <w:pPr>
        <w:pStyle w:val="Heading1"/>
      </w:pPr>
      <w:r>
        <w:t>5. 추출·Rule Engine 구현 요건</w:t>
      </w:r>
    </w:p>
    <w:p>
      <w:pPr>
        <w:pStyle w:val="ListBullet"/>
      </w:pPr>
      <w:r>
        <w:t>PoC2의 기존 통지문 추출 Pass에 F2-11/F2-12를 함께 요청한다. 사고 기록용 Pass에는 추가하지 않는다.</w:t>
      </w:r>
    </w:p>
    <w:p>
      <w:pPr>
        <w:pStyle w:val="ListBullet"/>
      </w:pPr>
      <w:r>
        <w:t>F2-10 remedy_procedure(피해구제 조치)와 F2-11/F2-12(통지문 연락 정보)를 별도 속성으로 관리한다.</w:t>
      </w:r>
    </w:p>
    <w:p>
      <w:pPr>
        <w:pStyle w:val="ListBullet"/>
      </w:pPr>
      <w:r>
        <w:t>전화번호 또는 이메일 형식을 임의 보완하거나 사고 기록/처리방침의 연락처를 가져오지 않는다.</w:t>
      </w:r>
    </w:p>
    <w:p>
      <w:pPr>
        <w:pStyle w:val="ListBullet"/>
      </w:pPr>
      <w:r>
        <w:t>통지문이 없으면 derived absent Fact와 NotificationNotice confirmed_false metadata를 함께 전달하여 N/A를 구현한다.</w:t>
      </w:r>
    </w:p>
    <w:p>
      <w:pPr>
        <w:pStyle w:val="ListBullet"/>
      </w:pPr>
      <w:r>
        <w:t>통지문 존재하되 연락처가 없는 경우 absent, “연락처로 문의” 등의 모호한 표현은 unknown으로 처리한다.</w:t>
      </w:r>
    </w:p>
    <w:p>
      <w:pPr>
        <w:pStyle w:val="Heading1"/>
      </w:pPr>
      <w:r>
        <w:t>6. 개발·검증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항목</w:t>
            </w:r>
          </w:p>
        </w:tc>
        <w:tc>
          <w:tcPr>
            <w:tcW w:type="dxa" w:w="6180"/>
            <w:shd w:fill="D9E8F5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b/>
                <w:color w:val="173253"/>
                <w:sz w:val="16"/>
              </w:rPr>
              <w:t>수용 기준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Fact 계약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F2-11/F2-12: NotificationNotice, source_type=notification_notice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규칙 프로필</w:t>
            </w:r>
          </w:p>
        </w:tc>
        <w:tc>
          <w:tcPr>
            <w:tcW w:type="dxa" w:w="6180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P2-R10 required_fact_ids 및 제34조 제1항 제5호 명시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단위 테스트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부서+연락처 GREEN / 누락 RED / 모호 YELLOW / 통지문 없음 N/A</w:t>
            </w:r>
          </w:p>
        </w:tc>
      </w:tr>
      <w:tr>
        <w:tc>
          <w:tcPr>
            <w:tcW w:type="dxa" w:w="2268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시나리오</w:t>
            </w:r>
          </w:p>
        </w:tc>
        <w:tc>
          <w:tcPr>
            <w:tcW w:type="dxa" w:w="6180"/>
            <w:vAlign w:val="center"/>
            <w:shd w:fill="F7FAFD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SC-P02 YELLOW, 통지문 미제공 변형 N/A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회귀 테스트</w:t>
            </w:r>
          </w:p>
        </w:tc>
        <w:tc>
          <w:tcPr>
            <w:tcW w:type="dxa" w:w="6180"/>
            <w:vAlign w:val="center"/>
          </w:tcPr>
          <w:p>
            <w:pPr>
              <w:spacing w:after="40" w:before="40"/>
            </w:pPr>
            <w:r>
              <w:rPr>
                <w:rFonts w:ascii="Noto Sans CJK KR" w:hAnsi="Noto Sans CJK KR" w:eastAsia="Noto Sans CJK KR"/>
                <w:sz w:val="16"/>
              </w:rPr>
              <w:t>기존 P2-R01~R09 판정 유지 및 F2-10과 정보 혼합 방지</w:t>
            </w:r>
          </w:p>
        </w:tc>
      </w:tr>
    </w:tbl>
    <w:p>
      <w:pPr>
        <w:spacing w:after="20"/>
      </w:pPr>
    </w:p>
    <w:p>
      <w:pPr>
        <w:pStyle w:val="Heading1"/>
      </w:pPr>
      <w:r>
        <w:t>7. 결정할 사항 및 한계</w:t>
      </w:r>
    </w:p>
    <w:p>
      <w:r>
        <w:t>담당부서의 식별 가능성 판단(“개인정보보호 담당부서”를 특정 담당부서로 볼 것인지)과 연락처 수단의 최소 요건은 팀/법무 검토 대상으로 남긴다. 실제 접수 가능 여부, 연락처 유효성, 피해구제의 실효성은 이 규칙이 판단하지 않는다.</w:t>
      </w:r>
    </w:p>
    <w:p>
      <w:r>
        <w:t>관련 코드: app/extractors/poc2.py, app/extractors/prompts_poc2.py, app/mapping/*, app/rules/engine.py, rules/p0_rules.json, tests/test_p2_r10_damage_contact.py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361" w:bottom="96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규칙 설계 제안서 · 2026.10.30 · PoC2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PIPA DPV COMPLIANCE  /  PoC2 RULE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b/>
      <w:color w:val="54616E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/>
      <w:b w:val="0"/>
      <w:color w:val="54616E"/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75A9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