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PoC1 신규 규칙 설명서</w:t>
      </w:r>
    </w:p>
    <w:p>
      <w:pPr>
        <w:spacing w:after="360"/>
        <w:jc w:val="center"/>
      </w:pPr>
      <w:r>
        <w:rPr>
          <w:color w:val="404040"/>
          <w:sz w:val="24"/>
          <w:szCs w:val="24"/>
        </w:rPr>
        <w:t xml:space="preserve">P1-R09 국외 이전 기재 · P1-R10 개인정보 보호책임자·연락처 기재 · P1-R11 처리하는 개인정보 항목 기재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항목</w:t>
            </w:r>
          </w:p>
        </w:tc>
        <w:tc>
          <w:tcPr>
            <w:tcW w:type="dxa" w:w="6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내용</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대상</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PoC1 개인정보 처리방침 준수점검</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버전</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Rule 1.1 / Ontology 1.1 / Fact Schema fact-1.0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작성일</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2026-10-29</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변경 규모</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PoC1 규칙 7개 → 10개, Fact 10개 추가 (F1-13~F1-22)</w:t>
            </w:r>
          </w:p>
        </w:tc>
      </w:tr>
    </w:tbl>
    <w:p>
      <w:pPr>
        <w:spacing w:after="120"/>
      </w:pPr>
    </w:p>
    <w:p>
      <w:pPr>
        <w:pStyle w:val="Heading1"/>
      </w:pPr>
      <w:r>
        <w:t xml:space="preserve">1. 개요</w:t>
      </w:r>
    </w:p>
    <w:p>
      <w:pPr>
        <w:spacing w:after="120" w:line="300"/>
      </w:pPr>
      <w:r>
        <w:t xml:space="preserve">개인정보 처리방침의 필수 기재사항 중 기존 P0 규칙이 다루지 않던 세 가지를 점검하는 규칙을 추가했다.</w:t>
      </w:r>
    </w:p>
    <w:p>
      <w:pPr>
        <w:pStyle w:val="ListParagraph"/>
        <w:numPr>
          <w:ilvl w:val="0"/>
          <w:numId w:val="2"/>
        </w:numPr>
        <w:spacing w:after="80" w:line="300"/>
      </w:pPr>
      <w:r>
        <w:t xml:space="preserve">P1-R09 국외 이전 기재: 처리방침이 국외 이전에 관해 법이 정한 사항을 모두 적었는지 본다.</w:t>
      </w:r>
    </w:p>
    <w:p>
      <w:pPr>
        <w:pStyle w:val="ListParagraph"/>
        <w:numPr>
          <w:ilvl w:val="0"/>
          <w:numId w:val="2"/>
        </w:numPr>
        <w:spacing w:after="80" w:line="300"/>
      </w:pPr>
      <w:r>
        <w:t xml:space="preserve">P1-R10 개인정보 보호책임자·연락처 기재: 처리방침이 보호책임자(또는 담당 부서)와 연락처를 적었는지 본다.</w:t>
      </w:r>
    </w:p>
    <w:p>
      <w:pPr>
        <w:pStyle w:val="ListParagraph"/>
        <w:numPr>
          <w:ilvl w:val="0"/>
          <w:numId w:val="2"/>
        </w:numPr>
        <w:spacing w:after="80" w:line="300"/>
      </w:pPr>
      <w:r>
        <w:t xml:space="preserve">P1-R11 처리하는 개인정보 항목 기재: 처리방침이 수집·이용 목적마다 처리하는 개인정보 항목을 적었는지 본다.</w:t>
      </w:r>
    </w:p>
    <w:p>
      <w:pPr>
        <w:spacing w:after="120" w:line="300"/>
      </w:pPr>
      <w:r>
        <w:t xml:space="preserve">세 규칙 모두 기재 여부만 판단한다. 국외 이전의 적법성(동의, 인증 등 요건 충족), 보호책임자 지정의 적정성, 수집 항목이 목적에 비해 과도한지(최소 수집)는 판단하지 않는다. GREEN은 법적 준수 인증이 아니고, RED는 법 위반의 확정이 아니다.</w:t>
      </w:r>
    </w:p>
    <w:p>
      <w:pPr>
        <w:pStyle w:val="Heading1"/>
      </w:pPr>
      <w:r>
        <w:t xml:space="preserve">2. 공통 판정 기준</w:t>
      </w:r>
    </w:p>
    <w:p>
      <w:pPr>
        <w:spacing w:after="120" w:line="300"/>
      </w:pPr>
      <w:r>
        <w:t xml:space="preserve">세 규칙은 필수 항목 또는 처리행위를 하나씩 따로 본다. 여러 항목의 상태가 섞이면 RED &gt; YELLOW &gt; GREEN 순으로 대표 상태를 정한다.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상태</w:t>
            </w:r>
          </w:p>
        </w:tc>
        <w:tc>
          <w:tcPr>
            <w:tcW w:type="dxa" w:w="7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의미</w:t>
            </w:r>
          </w:p>
        </w:tc>
      </w:tr>
      <w:tr>
        <w:tc>
          <w:tcPr>
            <w:tcW w:type="dxa" w:w="15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pPr>
              <w:spacing w:after="0" w:line="276"/>
            </w:pPr>
            <w:r>
              <w:rPr>
                <w:b w:val="false"/>
                <w:bCs w:val="false"/>
                <w:sz w:val="19"/>
                <w:szCs w:val="19"/>
              </w:rPr>
              <w:t xml:space="preserve">RED</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법적으로 필수인 항목이 문서 전체에서 명확하게 누락됨 (Fact 상태 absent)</w:t>
            </w:r>
          </w:p>
        </w:tc>
      </w:tr>
      <w:tr>
        <w:tc>
          <w:tcPr>
            <w:tcW w:type="dxa" w:w="1500"/>
            <w:tcBorders>
              <w:top w:val="single" w:color="BFBFBF" w:sz="4"/>
              <w:left w:val="single" w:color="BFBFBF" w:sz="4"/>
              <w:bottom w:val="single" w:color="BFBFBF" w:sz="4"/>
              <w:right w:val="single" w:color="BFBFBF" w:sz="4"/>
            </w:tcBorders>
            <w:shd w:fill="FFF3CD" w:color="auto" w:val="clear"/>
            <w:tcMar>
              <w:top w:type="dxa" w:w="60"/>
              <w:left w:type="dxa" w:w="100"/>
              <w:bottom w:type="dxa" w:w="60"/>
              <w:right w:type="dxa" w:w="100"/>
            </w:tcMar>
          </w:tcPr>
          <w:p>
            <w:pPr>
              <w:spacing w:after="0" w:line="276"/>
            </w:pPr>
            <w:r>
              <w:rPr>
                <w:b w:val="false"/>
                <w:bCs w:val="false"/>
                <w:sz w:val="19"/>
                <w:szCs w:val="19"/>
              </w:rPr>
              <w:t xml:space="preserve">YELLOW</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일부만 기재되었거나, 내용이 모호하거나(Fact 상태 unknown), 추출되지 않아 추가 확인이 필요함</w:t>
            </w:r>
          </w:p>
        </w:tc>
      </w:tr>
      <w:tr>
        <w:tc>
          <w:tcPr>
            <w:tcW w:type="dxa" w:w="1500"/>
            <w:tcBorders>
              <w:top w:val="single" w:color="BFBFBF" w:sz="4"/>
              <w:left w:val="single" w:color="BFBFBF" w:sz="4"/>
              <w:bottom w:val="single" w:color="BFBFBF" w:sz="4"/>
              <w:right w:val="single" w:color="BFBFBF" w:sz="4"/>
            </w:tcBorders>
            <w:shd w:fill="D4EDDA" w:color="auto" w:val="clear"/>
            <w:tcMar>
              <w:top w:type="dxa" w:w="60"/>
              <w:left w:type="dxa" w:w="100"/>
              <w:bottom w:type="dxa" w:w="60"/>
              <w:right w:type="dxa" w:w="100"/>
            </w:tcMar>
          </w:tcPr>
          <w:p>
            <w:pPr>
              <w:spacing w:after="0" w:line="276"/>
            </w:pPr>
            <w:r>
              <w:rPr>
                <w:b w:val="false"/>
                <w:bCs w:val="false"/>
                <w:sz w:val="19"/>
                <w:szCs w:val="19"/>
              </w:rPr>
              <w:t xml:space="preserve">GREEN</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필수 기재사항이 모두 확인됨</w:t>
            </w:r>
          </w:p>
        </w:tc>
      </w:tr>
      <w:tr>
        <w:tc>
          <w:tcPr>
            <w:tcW w:type="dxa" w:w="1500"/>
            <w:tcBorders>
              <w:top w:val="single" w:color="BFBFBF" w:sz="4"/>
              <w:left w:val="single" w:color="BFBFBF" w:sz="4"/>
              <w:bottom w:val="single" w:color="BFBFBF" w:sz="4"/>
              <w:right w:val="single" w:color="BFBFBF" w:sz="4"/>
            </w:tcBorders>
            <w:shd w:fill="E2E3E5" w:color="auto" w:val="clear"/>
            <w:tcMar>
              <w:top w:type="dxa" w:w="60"/>
              <w:left w:type="dxa" w:w="100"/>
              <w:bottom w:type="dxa" w:w="60"/>
              <w:right w:type="dxa" w:w="100"/>
            </w:tcMar>
          </w:tcPr>
          <w:p>
            <w:pPr>
              <w:spacing w:after="0" w:line="276"/>
            </w:pPr>
            <w:r>
              <w:rPr>
                <w:b w:val="false"/>
                <w:bCs w:val="false"/>
                <w:sz w:val="19"/>
                <w:szCs w:val="19"/>
              </w:rPr>
              <w:t xml:space="preserve">N/A</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해당 의무 자체가 적용되지 않음 (P1-R09에서 국외 이전을 하지 않는다고 명시한 경우. P1-R10·P1-R11에는 N/A가 없다)</w:t>
            </w:r>
          </w:p>
        </w:tc>
      </w:tr>
    </w:tbl>
    <w:p>
      <w:pPr>
        <w:spacing w:after="120"/>
      </w:pPr>
    </w:p>
    <w:p>
      <w:pPr>
        <w:spacing w:after="120" w:line="300"/>
      </w:pPr>
      <w:r>
        <w:t xml:space="preserve">“추출되지 않음”과 “기재 없음”은 다르다. Fact가 아예 전달되지 않으면 YELLOW이고, 문서를 확인한 결과 적혀 있지 않다고 판단된 경우(absent)에만 RED다. 언급이 없는 것도 “하지 않는다”는 선언이 아니므로 N/A가 되지 않는다.</w:t>
      </w:r>
    </w:p>
    <w:p>
      <w:pPr>
        <w:pStyle w:val="Heading1"/>
      </w:pPr>
      <w:r>
        <w:t xml:space="preserve">3. P1-R09 국외 이전 기재</w:t>
      </w:r>
    </w:p>
    <w:p>
      <w:pPr>
        <w:pStyle w:val="Heading2"/>
      </w:pPr>
      <w:r>
        <w:t xml:space="preserve">3.1 법적 근거와 적용 조건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구분</w:t>
            </w:r>
          </w:p>
        </w:tc>
        <w:tc>
          <w:tcPr>
            <w:tcW w:type="dxa" w:w="6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내용</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법적 근거</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개인정보 보호법 제28조의8 제2항 (국외 이전 시 알려야 할 사항)</w:t>
            </w:r>
          </w:p>
          <w:p>
            <w:pPr>
              <w:spacing w:after="0" w:line="276"/>
            </w:pPr>
            <w:r>
              <w:rPr>
                <w:b w:val="false"/>
                <w:bCs w:val="false"/>
                <w:sz w:val="19"/>
                <w:szCs w:val="19"/>
              </w:rPr>
              <w:t xml:space="preserve">개인정보 보호법 제28조의8 제1항 제3호 가목 (처리방침 공개를 통한 이전)</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적용 조건</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국외 이전(CrossBorderTransfer) 처리행위가 있으면 적용</w:t>
            </w:r>
          </w:p>
          <w:p>
            <w:pPr>
              <w:spacing w:after="0" w:line="276"/>
            </w:pPr>
            <w:r>
              <w:rPr>
                <w:b w:val="false"/>
                <w:bCs w:val="false"/>
                <w:sz w:val="19"/>
                <w:szCs w:val="19"/>
              </w:rPr>
              <w:t xml:space="preserve">“국외로 이전하지 않습니다”처럼 부재를 명시하면 N/A</w:t>
            </w:r>
          </w:p>
          <w:p>
            <w:pPr>
              <w:spacing w:after="0" w:line="276"/>
            </w:pPr>
            <w:r>
              <w:rPr>
                <w:b w:val="false"/>
                <w:bCs w:val="false"/>
                <w:sz w:val="19"/>
                <w:szCs w:val="19"/>
              </w:rPr>
              <w:t xml:space="preserve">국외 이전에 대한 언급이 아예 없으면 YELLOW (확인 필요)</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평가 단위</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국외 이전 처리행위마다 따로 평가한 뒤 대표 상태를 낸다</w:t>
            </w:r>
          </w:p>
        </w:tc>
      </w:tr>
    </w:tbl>
    <w:p>
      <w:pPr>
        <w:spacing w:after="120"/>
      </w:pPr>
    </w:p>
    <w:p>
      <w:pPr>
        <w:pStyle w:val="Heading2"/>
      </w:pPr>
      <w:r>
        <w:t xml:space="preserve">3.2 점검 항목</w:t>
      </w:r>
    </w:p>
    <w:p>
      <w:pPr>
        <w:spacing w:after="120" w:line="300"/>
      </w:pPr>
      <w:r>
        <w:t xml:space="preserve">제28조의8 제2항 각 호를 7개 항목으로 나누어 확인한다.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2600"/>
        <w:gridCol w:w="2926"/>
      </w:tblGrid>
      <w:tr>
        <w:trPr>
          <w:tblHeader/>
        </w:trPr>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점검 항목</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Fact</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온톨로지</w:t>
            </w:r>
          </w:p>
        </w:tc>
        <w:tc>
          <w:tcPr>
            <w:tcW w:type="dxa" w:w="29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법 조항</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이전 대상 국가</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F1-13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hasDestinationCountry</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제2호 (국가)</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이전 개인정보 항목</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F1-14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hasPersonalInformation</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제1호</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이전받는 자의 이용 목적</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F1-15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hasPurpose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제4호 (이용 목적)</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이전받는 자 성명·명칭</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F1-16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hasTransferRecipient → hasName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제3호</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이전받는 자 연락처</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F1-17</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OverseasRecipient.hasContact</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제3호</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이전 시기 및 방법</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F1-18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hasTransferTimingAndMethod</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제2호 (시기·방법)</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거부 방법·절차·효과</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F1-19</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hasTransferRefusalProcedure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제5호</w:t>
            </w:r>
          </w:p>
        </w:tc>
      </w:tr>
    </w:tbl>
    <w:p>
      <w:pPr>
        <w:spacing w:after="120"/>
      </w:pPr>
    </w:p>
    <w:p>
      <w:pPr>
        <w:spacing w:after="120" w:line="300"/>
      </w:pPr>
      <w:r>
        <w:t xml:space="preserve">제4호 후단의 보유·이용 기간은 이 규칙에서 다시 보지 않는다. 국외 이전 처리행위의 보유 기간은 기존 P1-R02가 이미 판정하므로 중복 집계를 피했다.</w:t>
      </w:r>
    </w:p>
    <w:p>
      <w:pPr>
        <w:pStyle w:val="Heading2"/>
      </w:pPr>
      <w:r>
        <w:t xml:space="preserve">3.3 판정 예시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문서</w:t>
            </w:r>
          </w:p>
        </w:tc>
        <w:tc>
          <w:tcPr>
            <w:tcW w:type="dxa" w:w="4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기재 상태</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결과</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SC-P01 (기준 문서)</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국가·항목·목적은 있으나 이전받는 자, 연락처, 시기·방법, 거부 방법이 없음</w:t>
            </w:r>
          </w:p>
        </w:tc>
        <w:tc>
          <w:tcPr>
            <w:tcW w:type="dxa" w:w="17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pPr>
              <w:spacing w:after="0" w:line="276"/>
            </w:pPr>
            <w:r>
              <w:rPr>
                <w:b w:val="false"/>
                <w:bCs w:val="false"/>
                <w:sz w:val="19"/>
                <w:szCs w:val="19"/>
              </w:rPr>
              <w:t xml:space="preserve">RED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변형 v7</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SC-P01에 빠진 4개 항목을 모두 채움</w:t>
            </w:r>
          </w:p>
        </w:tc>
        <w:tc>
          <w:tcPr>
            <w:tcW w:type="dxa" w:w="1700"/>
            <w:tcBorders>
              <w:top w:val="single" w:color="BFBFBF" w:sz="4"/>
              <w:left w:val="single" w:color="BFBFBF" w:sz="4"/>
              <w:bottom w:val="single" w:color="BFBFBF" w:sz="4"/>
              <w:right w:val="single" w:color="BFBFBF" w:sz="4"/>
            </w:tcBorders>
            <w:shd w:fill="D4EDDA" w:color="auto" w:val="clear"/>
            <w:tcMar>
              <w:top w:type="dxa" w:w="60"/>
              <w:left w:type="dxa" w:w="100"/>
              <w:bottom w:type="dxa" w:w="60"/>
              <w:right w:type="dxa" w:w="100"/>
            </w:tcMar>
          </w:tcPr>
          <w:p>
            <w:pPr>
              <w:spacing w:after="0" w:line="276"/>
            </w:pPr>
            <w:r>
              <w:rPr>
                <w:b w:val="false"/>
                <w:bCs w:val="false"/>
                <w:sz w:val="19"/>
                <w:szCs w:val="19"/>
              </w:rPr>
              <w:t xml:space="preserve">GREEN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변형 v9</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“회사는 이용자의 개인정보를 국외로 이전하지 않습니다.”</w:t>
            </w:r>
          </w:p>
        </w:tc>
        <w:tc>
          <w:tcPr>
            <w:tcW w:type="dxa" w:w="1700"/>
            <w:tcBorders>
              <w:top w:val="single" w:color="BFBFBF" w:sz="4"/>
              <w:left w:val="single" w:color="BFBFBF" w:sz="4"/>
              <w:bottom w:val="single" w:color="BFBFBF" w:sz="4"/>
              <w:right w:val="single" w:color="BFBFBF" w:sz="4"/>
            </w:tcBorders>
            <w:shd w:fill="E2E3E5" w:color="auto" w:val="clear"/>
            <w:tcMar>
              <w:top w:type="dxa" w:w="60"/>
              <w:left w:type="dxa" w:w="100"/>
              <w:bottom w:type="dxa" w:w="60"/>
              <w:right w:type="dxa" w:w="100"/>
            </w:tcMar>
          </w:tcPr>
          <w:p>
            <w:pPr>
              <w:spacing w:after="0" w:line="276"/>
            </w:pPr>
            <w:r>
              <w:rPr>
                <w:b w:val="false"/>
                <w:bCs w:val="false"/>
                <w:sz w:val="19"/>
                <w:szCs w:val="19"/>
              </w:rPr>
              <w:t xml:space="preserve">N/A</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held-out h2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“싱가포르에 있는 클라우드 서버로” 이전. 서버는 이전받는 자가 아니므로 명칭 없음, 방법만 있고 시기 없음</w:t>
            </w:r>
          </w:p>
        </w:tc>
        <w:tc>
          <w:tcPr>
            <w:tcW w:type="dxa" w:w="17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pPr>
              <w:spacing w:after="0" w:line="276"/>
            </w:pPr>
            <w:r>
              <w:rPr>
                <w:b w:val="false"/>
                <w:bCs w:val="false"/>
                <w:sz w:val="19"/>
                <w:szCs w:val="19"/>
              </w:rPr>
              <w:t xml:space="preserve">RED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held-out h1·h3·h4</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국외 이전 언급 자체가 없음</w:t>
            </w:r>
          </w:p>
        </w:tc>
        <w:tc>
          <w:tcPr>
            <w:tcW w:type="dxa" w:w="1700"/>
            <w:tcBorders>
              <w:top w:val="single" w:color="BFBFBF" w:sz="4"/>
              <w:left w:val="single" w:color="BFBFBF" w:sz="4"/>
              <w:bottom w:val="single" w:color="BFBFBF" w:sz="4"/>
              <w:right w:val="single" w:color="BFBFBF" w:sz="4"/>
            </w:tcBorders>
            <w:shd w:fill="FFF3CD" w:color="auto" w:val="clear"/>
            <w:tcMar>
              <w:top w:type="dxa" w:w="60"/>
              <w:left w:type="dxa" w:w="100"/>
              <w:bottom w:type="dxa" w:w="60"/>
              <w:right w:type="dxa" w:w="100"/>
            </w:tcMar>
          </w:tcPr>
          <w:p>
            <w:pPr>
              <w:spacing w:after="0" w:line="276"/>
            </w:pPr>
            <w:r>
              <w:rPr>
                <w:b w:val="false"/>
                <w:bCs w:val="false"/>
                <w:sz w:val="19"/>
                <w:szCs w:val="19"/>
              </w:rPr>
              <w:t xml:space="preserve">YELLOW</w:t>
            </w:r>
          </w:p>
        </w:tc>
      </w:tr>
    </w:tbl>
    <w:p>
      <w:pPr>
        <w:spacing w:after="120"/>
      </w:pPr>
    </w:p>
    <w:p>
      <w:pPr>
        <w:pStyle w:val="Heading2"/>
      </w:pPr>
      <w:r>
        <w:t xml:space="preserve">3.4 추출 시 주의 규칙</w:t>
      </w:r>
    </w:p>
    <w:p>
      <w:pPr>
        <w:pStyle w:val="ListParagraph"/>
        <w:numPr>
          <w:ilvl w:val="0"/>
          <w:numId w:val="2"/>
        </w:numPr>
        <w:spacing w:after="80" w:line="300"/>
      </w:pPr>
      <w:r>
        <w:t xml:space="preserve">이전받는 자는 국외 이전 기재 안에서 이전받는 자로 적힌 명칭만 쓴다. 위탁 조의 수탁자나 제3자 제공 조의 제공받는 자를 옮겨 오지 않는다.</w:t>
      </w:r>
    </w:p>
    <w:p>
      <w:pPr>
        <w:pStyle w:val="ListParagraph"/>
        <w:numPr>
          <w:ilvl w:val="0"/>
          <w:numId w:val="2"/>
        </w:numPr>
        <w:spacing w:after="80" w:line="300"/>
      </w:pPr>
      <w:r>
        <w:t xml:space="preserve">“클라우드 서버”, “해외 사업자”처럼 누구인지 특정하지 못하는 말은 명칭이 아니다.</w:t>
      </w:r>
    </w:p>
    <w:p>
      <w:pPr>
        <w:pStyle w:val="ListParagraph"/>
        <w:numPr>
          <w:ilvl w:val="0"/>
          <w:numId w:val="2"/>
        </w:numPr>
        <w:spacing w:after="80" w:line="300"/>
      </w:pPr>
      <w:r>
        <w:t xml:space="preserve">시기와 방법 중 하나만 적혀 있으면 unknown(YELLOW 요인)으로 본다.</w:t>
      </w:r>
    </w:p>
    <w:p>
      <w:pPr>
        <w:pStyle w:val="ListParagraph"/>
        <w:numPr>
          <w:ilvl w:val="0"/>
          <w:numId w:val="2"/>
        </w:numPr>
        <w:spacing w:after="80" w:line="300"/>
      </w:pPr>
      <w:r>
        <w:t xml:space="preserve">적히지 않은 항목도 생략하지 않고 absent로 내며, 국외 이전 조의 제목이나 문장을 근거로 인용한다.</w:t>
      </w:r>
    </w:p>
    <w:p>
      <w:pPr>
        <w:pStyle w:val="Heading1"/>
      </w:pPr>
      <w:r>
        <w:t xml:space="preserve">4. P1-R10 개인정보 보호책임자·연락처 기재</w:t>
      </w:r>
    </w:p>
    <w:p>
      <w:pPr>
        <w:pStyle w:val="Heading2"/>
      </w:pPr>
      <w:r>
        <w:t xml:space="preserve">4.1 법적 근거와 적용 조건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구분</w:t>
            </w:r>
          </w:p>
        </w:tc>
        <w:tc>
          <w:tcPr>
            <w:tcW w:type="dxa" w:w="6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내용</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법적 근거</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개인정보 보호법 제30조 제1항 제6호 (처리방침 기재사항: 보호책임자의 성명 또는 업무 담당 부서의 명칭과 연락처)</w:t>
            </w:r>
          </w:p>
          <w:p>
            <w:pPr>
              <w:spacing w:after="0" w:line="276"/>
            </w:pPr>
            <w:r>
              <w:rPr>
                <w:b w:val="false"/>
                <w:bCs w:val="false"/>
                <w:sz w:val="19"/>
                <w:szCs w:val="19"/>
              </w:rPr>
              <w:t xml:space="preserve">개인정보 보호법 제31조 (개인정보 보호책임자의 지정)</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적용 조건</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항상 적용 (모든 처리방침의 필수 기재사항). N/A가 없다</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평가 단위</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문서 단위 (처리행위에 속하지 않음)</w:t>
            </w:r>
          </w:p>
        </w:tc>
      </w:tr>
    </w:tbl>
    <w:p>
      <w:pPr>
        <w:spacing w:after="120"/>
      </w:pPr>
    </w:p>
    <w:p>
      <w:pPr>
        <w:pStyle w:val="Heading2"/>
      </w:pPr>
      <w:r>
        <w:t xml:space="preserve">4.2 점검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2600"/>
        <w:gridCol w:w="2426"/>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점검 항목</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Fact</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온톨로지</w:t>
            </w:r>
          </w:p>
        </w:tc>
        <w:tc>
          <w:tcPr>
            <w:tcW w:type="dxa" w:w="2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충족 조건</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보호책임자 성명 또는 담당 부서</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F1-20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hasPrivacyOfficer → hasPersonName / hasDepartmentName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성명과 부서 명칭 중 하나 이상</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연락처</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F1-21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PrivacyOfficer.hasContact</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전화번호, 이메일 등 하나 이상</w:t>
            </w:r>
          </w:p>
        </w:tc>
      </w:tr>
    </w:tbl>
    <w:p>
      <w:pPr>
        <w:spacing w:after="120"/>
      </w:pPr>
    </w:p>
    <w:p>
      <w:pPr>
        <w:pStyle w:val="Heading2"/>
      </w:pPr>
      <w:r>
        <w:t xml:space="preserve">4.3 판정 예시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문서</w:t>
            </w:r>
          </w:p>
        </w:tc>
        <w:tc>
          <w:tcPr>
            <w:tcW w:type="dxa" w:w="4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기재 상태</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결과</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SC-P01 (기준 문서)</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“보호책임자를 지정하고 있습니다”까지만 있고 성명·부서·연락처가 없음</w:t>
            </w:r>
          </w:p>
        </w:tc>
        <w:tc>
          <w:tcPr>
            <w:tcW w:type="dxa" w:w="17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pPr>
              <w:spacing w:after="0" w:line="276"/>
            </w:pPr>
            <w:r>
              <w:rPr>
                <w:b w:val="false"/>
                <w:bCs w:val="false"/>
                <w:sz w:val="19"/>
                <w:szCs w:val="19"/>
              </w:rPr>
              <w:t xml:space="preserve">RED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변형 v8 / held-out h5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성명, 소속 부서, 전화번호와 이메일을 모두 기재</w:t>
            </w:r>
          </w:p>
        </w:tc>
        <w:tc>
          <w:tcPr>
            <w:tcW w:type="dxa" w:w="1700"/>
            <w:tcBorders>
              <w:top w:val="single" w:color="BFBFBF" w:sz="4"/>
              <w:left w:val="single" w:color="BFBFBF" w:sz="4"/>
              <w:bottom w:val="single" w:color="BFBFBF" w:sz="4"/>
              <w:right w:val="single" w:color="BFBFBF" w:sz="4"/>
            </w:tcBorders>
            <w:shd w:fill="D4EDDA" w:color="auto" w:val="clear"/>
            <w:tcMar>
              <w:top w:type="dxa" w:w="60"/>
              <w:left w:type="dxa" w:w="100"/>
              <w:bottom w:type="dxa" w:w="60"/>
              <w:right w:type="dxa" w:w="100"/>
            </w:tcMar>
          </w:tcPr>
          <w:p>
            <w:pPr>
              <w:spacing w:after="0" w:line="276"/>
            </w:pPr>
            <w:r>
              <w:rPr>
                <w:b w:val="false"/>
                <w:bCs w:val="false"/>
                <w:sz w:val="19"/>
                <w:szCs w:val="19"/>
              </w:rPr>
              <w:t xml:space="preserve">GREEN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held-out h1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“개인정보 보호책임자: 개인정보보호팀장” (직함만), 연락처 없음</w:t>
            </w:r>
          </w:p>
        </w:tc>
        <w:tc>
          <w:tcPr>
            <w:tcW w:type="dxa" w:w="17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pPr>
              <w:spacing w:after="0" w:line="276"/>
            </w:pPr>
            <w:r>
              <w:rPr>
                <w:b w:val="false"/>
                <w:bCs w:val="false"/>
                <w:sz w:val="19"/>
                <w:szCs w:val="19"/>
              </w:rPr>
              <w:t xml:space="preserve">RED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(예시) 직함만 있고 연락처는 있음</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성명·부서를 특정할 수 없음 (unknown)</w:t>
            </w:r>
          </w:p>
        </w:tc>
        <w:tc>
          <w:tcPr>
            <w:tcW w:type="dxa" w:w="1700"/>
            <w:tcBorders>
              <w:top w:val="single" w:color="BFBFBF" w:sz="4"/>
              <w:left w:val="single" w:color="BFBFBF" w:sz="4"/>
              <w:bottom w:val="single" w:color="BFBFBF" w:sz="4"/>
              <w:right w:val="single" w:color="BFBFBF" w:sz="4"/>
            </w:tcBorders>
            <w:shd w:fill="FFF3CD" w:color="auto" w:val="clear"/>
            <w:tcMar>
              <w:top w:type="dxa" w:w="60"/>
              <w:left w:type="dxa" w:w="100"/>
              <w:bottom w:type="dxa" w:w="60"/>
              <w:right w:type="dxa" w:w="100"/>
            </w:tcMar>
          </w:tcPr>
          <w:p>
            <w:pPr>
              <w:spacing w:after="0" w:line="276"/>
            </w:pPr>
            <w:r>
              <w:rPr>
                <w:b w:val="false"/>
                <w:bCs w:val="false"/>
                <w:sz w:val="19"/>
                <w:szCs w:val="19"/>
              </w:rPr>
              <w:t xml:space="preserve">YELLOW</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held-out h2·h3·h4</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보호책임자 조항 자체가 없음</w:t>
            </w:r>
          </w:p>
        </w:tc>
        <w:tc>
          <w:tcPr>
            <w:tcW w:type="dxa" w:w="17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pPr>
              <w:spacing w:after="0" w:line="276"/>
            </w:pPr>
            <w:r>
              <w:rPr>
                <w:b w:val="false"/>
                <w:bCs w:val="false"/>
                <w:sz w:val="19"/>
                <w:szCs w:val="19"/>
              </w:rPr>
              <w:t xml:space="preserve">RED</w:t>
            </w:r>
          </w:p>
        </w:tc>
      </w:tr>
    </w:tbl>
    <w:p>
      <w:pPr>
        <w:spacing w:after="120"/>
      </w:pPr>
    </w:p>
    <w:p>
      <w:pPr>
        <w:pStyle w:val="Heading2"/>
      </w:pPr>
      <w:r>
        <w:t xml:space="preserve">4.4 추출 시 주의 규칙</w:t>
      </w:r>
    </w:p>
    <w:p>
      <w:pPr>
        <w:pStyle w:val="ListParagraph"/>
        <w:numPr>
          <w:ilvl w:val="0"/>
          <w:numId w:val="2"/>
        </w:numPr>
        <w:spacing w:after="80" w:line="300"/>
      </w:pPr>
      <w:r>
        <w:t xml:space="preserve">F1-20과 F1-21은 문서마다 반드시 하나씩 출력한다. 적혀 있지 않으면 absent로 내야 RED가 된다. 아예 출력하지 않으면 “추출 안 됨”으로 보고 YELLOW가 된다.</w:t>
      </w:r>
    </w:p>
    <w:p>
      <w:pPr>
        <w:pStyle w:val="ListParagraph"/>
        <w:numPr>
          <w:ilvl w:val="0"/>
          <w:numId w:val="2"/>
        </w:numPr>
        <w:spacing w:after="80" w:line="300"/>
      </w:pPr>
      <w:r>
        <w:t xml:space="preserve">“팀장”, “CPO” 같은 직함만 있거나 “추후 지정”처럼 자리만 있으면 unknown이다.</w:t>
      </w:r>
    </w:p>
    <w:p>
      <w:pPr>
        <w:pStyle w:val="ListParagraph"/>
        <w:numPr>
          <w:ilvl w:val="0"/>
          <w:numId w:val="2"/>
        </w:numPr>
        <w:spacing w:after="80" w:line="300"/>
      </w:pPr>
      <w:r>
        <w:t xml:space="preserve">보호책임자 기재와 연결되지 않은 고객센터 연락처는 가져오지 않는다.</w:t>
      </w:r>
    </w:p>
    <w:p>
      <w:pPr>
        <w:pStyle w:val="ListParagraph"/>
        <w:numPr>
          <w:ilvl w:val="0"/>
          <w:numId w:val="2"/>
        </w:numPr>
        <w:spacing w:after="80" w:line="300"/>
      </w:pPr>
      <w:r>
        <w:t xml:space="preserve">보호책임자 조항이 아예 없으면 문서 제목을 “확인한 범위”의 근거로 인용한다.</w:t>
      </w:r>
    </w:p>
    <w:p>
      <w:pPr>
        <w:pStyle w:val="Heading1"/>
      </w:pPr>
      <w:r>
        <w:t xml:space="preserve">5. P1-R11 처리하는 개인정보 항목 기재</w:t>
      </w:r>
    </w:p>
    <w:p>
      <w:pPr>
        <w:pStyle w:val="Heading2"/>
      </w:pPr>
      <w:r>
        <w:t xml:space="preserve">5.1 법적 근거와 적용 조건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구분</w:t>
            </w:r>
          </w:p>
        </w:tc>
        <w:tc>
          <w:tcPr>
            <w:tcW w:type="dxa" w:w="6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내용</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법적 근거</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개인정보 보호법 제30조 제1항 (처리방침 기재사항)</w:t>
            </w:r>
          </w:p>
          <w:p>
            <w:pPr>
              <w:spacing w:after="0" w:line="276"/>
            </w:pPr>
            <w:r>
              <w:rPr>
                <w:b w:val="false"/>
                <w:bCs w:val="false"/>
                <w:sz w:val="19"/>
                <w:szCs w:val="19"/>
              </w:rPr>
              <w:t xml:space="preserve">개인정보 보호법 시행령 제31조 제1항 제1호 (처리하는 개인정보의 항목)</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적용 조건</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항상 적용. N/A가 없다</w:t>
            </w:r>
          </w:p>
          <w:p>
            <w:pPr>
              <w:spacing w:after="0" w:line="276"/>
            </w:pPr>
            <w:r>
              <w:rPr>
                <w:b w:val="false"/>
                <w:bCs w:val="false"/>
                <w:sz w:val="19"/>
                <w:szCs w:val="19"/>
              </w:rPr>
              <w:t xml:space="preserve">수집·이용 처리행위가 하나도 확인되지 않으면 문서 단위 RED (P1-R01과 같은 방식)</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평가 단위</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수집·이용 처리행위(처리 목적)마다 따로 평가한 뒤 대표 상태를 낸다</w:t>
            </w:r>
          </w:p>
        </w:tc>
      </w:tr>
    </w:tbl>
    <w:p>
      <w:pPr>
        <w:spacing w:after="120"/>
      </w:pPr>
    </w:p>
    <w:p>
      <w:pPr>
        <w:pStyle w:val="Heading2"/>
      </w:pPr>
      <w:r>
        <w:t xml:space="preserve">5.2 점검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2800"/>
        <w:gridCol w:w="2226"/>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점검 항목</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Fact</w:t>
            </w:r>
          </w:p>
        </w:tc>
        <w:tc>
          <w:tcPr>
            <w:tcW w:type="dxa" w:w="2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온톨로지</w:t>
            </w:r>
          </w:p>
        </w:tc>
        <w:tc>
          <w:tcPr>
            <w:tcW w:type="dxa" w:w="2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충족 조건</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처리하는 개인정보 항목</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F1-22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CollectionAndUse.hasPersonalInformation → hasItemName</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처리행위마다 구체 항목 하나 이상</w:t>
            </w:r>
          </w:p>
        </w:tc>
      </w:tr>
    </w:tbl>
    <w:p>
      <w:pPr>
        <w:spacing w:after="120"/>
      </w:pPr>
    </w:p>
    <w:p>
      <w:pPr>
        <w:spacing w:after="120" w:line="300"/>
      </w:pPr>
      <w:r>
        <w:t xml:space="preserve">온톨로지에 이미 있는 용어만 사용했으므로 이 규칙을 위해 온톨로지를 바꾸지 않았다.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4126"/>
        <w:gridCol w:w="1500"/>
      </w:tblGrid>
      <w:tr>
        <w:trPr>
          <w:tblHeader/>
        </w:trPr>
        <w:tc>
          <w:tcPr>
            <w:tcW w:type="dxa" w:w="3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기재 예</w:t>
            </w:r>
          </w:p>
        </w:tc>
        <w:tc>
          <w:tcPr>
            <w:tcW w:type="dxa" w:w="4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판단</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결과</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“이름, 이메일 주소, 휴대전화번호”</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구체 항목이 있음</w:t>
            </w:r>
          </w:p>
        </w:tc>
        <w:tc>
          <w:tcPr>
            <w:tcW w:type="dxa" w:w="1500"/>
            <w:tcBorders>
              <w:top w:val="single" w:color="BFBFBF" w:sz="4"/>
              <w:left w:val="single" w:color="BFBFBF" w:sz="4"/>
              <w:bottom w:val="single" w:color="BFBFBF" w:sz="4"/>
              <w:right w:val="single" w:color="BFBFBF" w:sz="4"/>
            </w:tcBorders>
            <w:shd w:fill="D4EDDA" w:color="auto" w:val="clear"/>
            <w:tcMar>
              <w:top w:type="dxa" w:w="60"/>
              <w:left w:type="dxa" w:w="100"/>
              <w:bottom w:type="dxa" w:w="60"/>
              <w:right w:type="dxa" w:w="100"/>
            </w:tcMar>
          </w:tcPr>
          <w:p>
            <w:pPr>
              <w:spacing w:after="0" w:line="276"/>
            </w:pPr>
            <w:r>
              <w:rPr>
                <w:b w:val="false"/>
                <w:bCs w:val="false"/>
                <w:sz w:val="19"/>
                <w:szCs w:val="19"/>
              </w:rPr>
              <w:t xml:space="preserve">GREEN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“이름, 연락처 등”</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구체 항목이 있으므로 “등”이 붙어도 인정</w:t>
            </w:r>
          </w:p>
        </w:tc>
        <w:tc>
          <w:tcPr>
            <w:tcW w:type="dxa" w:w="1500"/>
            <w:tcBorders>
              <w:top w:val="single" w:color="BFBFBF" w:sz="4"/>
              <w:left w:val="single" w:color="BFBFBF" w:sz="4"/>
              <w:bottom w:val="single" w:color="BFBFBF" w:sz="4"/>
              <w:right w:val="single" w:color="BFBFBF" w:sz="4"/>
            </w:tcBorders>
            <w:shd w:fill="D4EDDA" w:color="auto" w:val="clear"/>
            <w:tcMar>
              <w:top w:type="dxa" w:w="60"/>
              <w:left w:type="dxa" w:w="100"/>
              <w:bottom w:type="dxa" w:w="60"/>
              <w:right w:type="dxa" w:w="100"/>
            </w:tcMar>
          </w:tcPr>
          <w:p>
            <w:pPr>
              <w:spacing w:after="0" w:line="276"/>
            </w:pPr>
            <w:r>
              <w:rPr>
                <w:b w:val="false"/>
                <w:bCs w:val="false"/>
                <w:sz w:val="19"/>
                <w:szCs w:val="19"/>
              </w:rPr>
              <w:t xml:space="preserve">GREEN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“상담 처리에 필요한 정보”</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항목을 하나도 특정하지 않은 포괄 표현 (unknown)</w:t>
            </w:r>
          </w:p>
        </w:tc>
        <w:tc>
          <w:tcPr>
            <w:tcW w:type="dxa" w:w="1500"/>
            <w:tcBorders>
              <w:top w:val="single" w:color="BFBFBF" w:sz="4"/>
              <w:left w:val="single" w:color="BFBFBF" w:sz="4"/>
              <w:bottom w:val="single" w:color="BFBFBF" w:sz="4"/>
              <w:right w:val="single" w:color="BFBFBF" w:sz="4"/>
            </w:tcBorders>
            <w:shd w:fill="FFF3CD" w:color="auto" w:val="clear"/>
            <w:tcMar>
              <w:top w:type="dxa" w:w="60"/>
              <w:left w:type="dxa" w:w="100"/>
              <w:bottom w:type="dxa" w:w="60"/>
              <w:right w:type="dxa" w:w="100"/>
            </w:tcMar>
          </w:tcPr>
          <w:p>
            <w:pPr>
              <w:spacing w:after="0" w:line="276"/>
            </w:pPr>
            <w:r>
              <w:rPr>
                <w:b w:val="false"/>
                <w:bCs w:val="false"/>
                <w:sz w:val="19"/>
                <w:szCs w:val="19"/>
              </w:rPr>
              <w:t xml:space="preserve">YELLOW</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목적만 있고 항목 기재가 없음</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항목 누락 (absent)</w:t>
            </w:r>
          </w:p>
        </w:tc>
        <w:tc>
          <w:tcPr>
            <w:tcW w:type="dxa" w:w="15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pPr>
              <w:spacing w:after="0" w:line="276"/>
            </w:pPr>
            <w:r>
              <w:rPr>
                <w:b w:val="false"/>
                <w:bCs w:val="false"/>
                <w:sz w:val="19"/>
                <w:szCs w:val="19"/>
              </w:rPr>
              <w:t xml:space="preserve">RED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F1-22 Fact가 전달되지 않음</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추출 안 됨</w:t>
            </w:r>
          </w:p>
        </w:tc>
        <w:tc>
          <w:tcPr>
            <w:tcW w:type="dxa" w:w="1500"/>
            <w:tcBorders>
              <w:top w:val="single" w:color="BFBFBF" w:sz="4"/>
              <w:left w:val="single" w:color="BFBFBF" w:sz="4"/>
              <w:bottom w:val="single" w:color="BFBFBF" w:sz="4"/>
              <w:right w:val="single" w:color="BFBFBF" w:sz="4"/>
            </w:tcBorders>
            <w:shd w:fill="FFF3CD" w:color="auto" w:val="clear"/>
            <w:tcMar>
              <w:top w:type="dxa" w:w="60"/>
              <w:left w:type="dxa" w:w="100"/>
              <w:bottom w:type="dxa" w:w="60"/>
              <w:right w:type="dxa" w:w="100"/>
            </w:tcMar>
          </w:tcPr>
          <w:p>
            <w:pPr>
              <w:spacing w:after="0" w:line="276"/>
            </w:pPr>
            <w:r>
              <w:rPr>
                <w:b w:val="false"/>
                <w:bCs w:val="false"/>
                <w:sz w:val="19"/>
                <w:szCs w:val="19"/>
              </w:rPr>
              <w:t xml:space="preserve">YELLOW</w:t>
            </w:r>
          </w:p>
        </w:tc>
      </w:tr>
    </w:tbl>
    <w:p>
      <w:pPr>
        <w:spacing w:after="120"/>
      </w:pPr>
    </w:p>
    <w:p>
      <w:pPr>
        <w:pStyle w:val="Heading2"/>
      </w:pPr>
      <w:r>
        <w:t xml:space="preserve">5.3 판정 예시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문서</w:t>
            </w:r>
          </w:p>
        </w:tc>
        <w:tc>
          <w:tcPr>
            <w:tcW w:type="dxa" w:w="4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기재 상태</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결과</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SC-P01 (기준 문서)</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수집·이용 목적 5개 모두 “수집 항목:”이 기재됨</w:t>
            </w:r>
          </w:p>
        </w:tc>
        <w:tc>
          <w:tcPr>
            <w:tcW w:type="dxa" w:w="1700"/>
            <w:tcBorders>
              <w:top w:val="single" w:color="BFBFBF" w:sz="4"/>
              <w:left w:val="single" w:color="BFBFBF" w:sz="4"/>
              <w:bottom w:val="single" w:color="BFBFBF" w:sz="4"/>
              <w:right w:val="single" w:color="BFBFBF" w:sz="4"/>
            </w:tcBorders>
            <w:shd w:fill="D4EDDA" w:color="auto" w:val="clear"/>
            <w:tcMar>
              <w:top w:type="dxa" w:w="60"/>
              <w:left w:type="dxa" w:w="100"/>
              <w:bottom w:type="dxa" w:w="60"/>
              <w:right w:type="dxa" w:w="100"/>
            </w:tcMar>
          </w:tcPr>
          <w:p>
            <w:pPr>
              <w:spacing w:after="0" w:line="276"/>
            </w:pPr>
            <w:r>
              <w:rPr>
                <w:b w:val="false"/>
                <w:bCs w:val="false"/>
                <w:sz w:val="19"/>
                <w:szCs w:val="19"/>
              </w:rPr>
              <w:t xml:space="preserve">GREEN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변형 v10</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“5. 고객 상담”의 수집 항목 줄을 삭제</w:t>
            </w:r>
          </w:p>
        </w:tc>
        <w:tc>
          <w:tcPr>
            <w:tcW w:type="dxa" w:w="17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pPr>
              <w:spacing w:after="0" w:line="276"/>
            </w:pPr>
            <w:r>
              <w:rPr>
                <w:b w:val="false"/>
                <w:bCs w:val="false"/>
                <w:sz w:val="19"/>
                <w:szCs w:val="19"/>
              </w:rPr>
              <w:t xml:space="preserve">RED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변형 v11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고객 상담 항목을 “상담 처리에 필요한 정보”로 변경</w:t>
            </w:r>
          </w:p>
        </w:tc>
        <w:tc>
          <w:tcPr>
            <w:tcW w:type="dxa" w:w="1700"/>
            <w:tcBorders>
              <w:top w:val="single" w:color="BFBFBF" w:sz="4"/>
              <w:left w:val="single" w:color="BFBFBF" w:sz="4"/>
              <w:bottom w:val="single" w:color="BFBFBF" w:sz="4"/>
              <w:right w:val="single" w:color="BFBFBF" w:sz="4"/>
            </w:tcBorders>
            <w:shd w:fill="FFF3CD" w:color="auto" w:val="clear"/>
            <w:tcMar>
              <w:top w:type="dxa" w:w="60"/>
              <w:left w:type="dxa" w:w="100"/>
              <w:bottom w:type="dxa" w:w="60"/>
              <w:right w:type="dxa" w:w="100"/>
            </w:tcMar>
          </w:tcPr>
          <w:p>
            <w:pPr>
              <w:spacing w:after="0" w:line="276"/>
            </w:pPr>
            <w:r>
              <w:rPr>
                <w:b w:val="false"/>
                <w:bCs w:val="false"/>
                <w:sz w:val="19"/>
                <w:szCs w:val="19"/>
              </w:rPr>
              <w:t xml:space="preserve">YELLOW</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held-out h1~h5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모든 수집·이용 목적에 항목이 기재됨</w:t>
            </w:r>
          </w:p>
        </w:tc>
        <w:tc>
          <w:tcPr>
            <w:tcW w:type="dxa" w:w="1700"/>
            <w:tcBorders>
              <w:top w:val="single" w:color="BFBFBF" w:sz="4"/>
              <w:left w:val="single" w:color="BFBFBF" w:sz="4"/>
              <w:bottom w:val="single" w:color="BFBFBF" w:sz="4"/>
              <w:right w:val="single" w:color="BFBFBF" w:sz="4"/>
            </w:tcBorders>
            <w:shd w:fill="D4EDDA" w:color="auto" w:val="clear"/>
            <w:tcMar>
              <w:top w:type="dxa" w:w="60"/>
              <w:left w:type="dxa" w:w="100"/>
              <w:bottom w:type="dxa" w:w="60"/>
              <w:right w:type="dxa" w:w="100"/>
            </w:tcMar>
          </w:tcPr>
          <w:p>
            <w:pPr>
              <w:spacing w:after="0" w:line="276"/>
            </w:pPr>
            <w:r>
              <w:rPr>
                <w:b w:val="false"/>
                <w:bCs w:val="false"/>
                <w:sz w:val="19"/>
                <w:szCs w:val="19"/>
              </w:rPr>
              <w:t xml:space="preserve">GREEN</w:t>
            </w:r>
          </w:p>
        </w:tc>
      </w:tr>
    </w:tbl>
    <w:p>
      <w:pPr>
        <w:spacing w:after="120"/>
      </w:pPr>
    </w:p>
    <w:p>
      <w:pPr>
        <w:pStyle w:val="Heading2"/>
      </w:pPr>
      <w:r>
        <w:t xml:space="preserve">5.4 추출 시 주의 규칙</w:t>
      </w:r>
    </w:p>
    <w:p>
      <w:pPr>
        <w:pStyle w:val="ListParagraph"/>
        <w:numPr>
          <w:ilvl w:val="0"/>
          <w:numId w:val="2"/>
        </w:numPr>
        <w:spacing w:after="80" w:line="300"/>
      </w:pPr>
      <w:r>
        <w:t xml:space="preserve">항목은 처리행위 유형별로 나눈다. 수집·이용 항목은 F1-22, 제3자 제공 항목은 F1-06, 국외 이전 항목은 F1-14로 내고, 다른 목적의 항목을 옮겨 오지 않는다.</w:t>
      </w:r>
    </w:p>
    <w:p>
      <w:pPr>
        <w:pStyle w:val="ListParagraph"/>
        <w:numPr>
          <w:ilvl w:val="0"/>
          <w:numId w:val="2"/>
        </w:numPr>
        <w:spacing w:after="80" w:line="300"/>
      </w:pPr>
      <w:r>
        <w:t xml:space="preserve">필수·선택 구분은 판단하지 않는다. “(선택)” 표시는 지우고 항목명만 남긴다.</w:t>
      </w:r>
    </w:p>
    <w:p>
      <w:pPr>
        <w:pStyle w:val="ListParagraph"/>
        <w:numPr>
          <w:ilvl w:val="0"/>
          <w:numId w:val="2"/>
        </w:numPr>
        <w:spacing w:after="80" w:line="300"/>
      </w:pPr>
      <w:r>
        <w:t xml:space="preserve">항목 나누기: 쉼표로 나열한 줄은 쉼표로만 나눈다(“주문자·수령인 이름”은 한 항목). 가운뎃점으로만 나열한 줄은 가운뎃점으로 나눈다.</w:t>
      </w:r>
    </w:p>
    <w:p>
      <w:pPr>
        <w:pStyle w:val="ListParagraph"/>
        <w:numPr>
          <w:ilvl w:val="0"/>
          <w:numId w:val="2"/>
        </w:numPr>
        <w:spacing w:after="80" w:line="300"/>
      </w:pPr>
      <w:r>
        <w:t xml:space="preserve">항목이 적혀 있지 않으면 absent로 내고, 해당 목적의 제목을 근거로 인용한다.</w:t>
      </w:r>
    </w:p>
    <w:p>
      <w:pPr>
        <w:pStyle w:val="ListParagraph"/>
        <w:numPr>
          <w:ilvl w:val="0"/>
          <w:numId w:val="2"/>
        </w:numPr>
        <w:spacing w:after="80" w:line="300"/>
      </w:pPr>
      <w:r>
        <w:t xml:space="preserve">기존 추출 지침은 “수집 항목은 추출하지 않는다”였으나 이번에 바뀌었다. 실제 LLM 추출 결과는 아직 검증하지 않았다.</w:t>
      </w:r>
    </w:p>
    <w:p>
      <w:pPr>
        <w:pStyle w:val="Heading1"/>
      </w:pPr>
      <w:r>
        <w:t xml:space="preserve">6. 개인정보 마스킹</w:t>
      </w:r>
    </w:p>
    <w:p>
      <w:pPr>
        <w:spacing w:after="120" w:line="300"/>
      </w:pPr>
      <w:r>
        <w:t xml:space="preserve">보호책임자 성명과 연락처는 실제 개인정보이므로 API 응답과 화면에서 가린다. 판정에는 원문을 그대로 쓰고, 가리는 것은 API 밖으로 나가는 문장뿐이다. 법령에는 마스킹 자릿수가 정해져 있지 않으며(안전성 확보조치 기준 제12조는 출력 최소화 원칙만 둔다), 아래는 실무 관행과 팀 결정에 따른 것이다.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대상</w:t>
            </w:r>
          </w:p>
        </w:tc>
        <w:tc>
          <w:tcPr>
            <w:tcW w:type="dxa" w:w="34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원문</w:t>
            </w:r>
          </w:p>
        </w:tc>
        <w:tc>
          <w:tcPr>
            <w:tcW w:type="dxa" w:w="34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출력</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성명</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홍길동 / 남궁민수</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홍*동 / 남**수</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전화번호</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010-1234-5678</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010-****-5678</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이메일 (@ 앞 4자 이상)</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privacy@example.com</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pri****@example.com</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이메일 (@ 앞 3자 이하)</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dpo@example.com</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d**@example.com</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주민등록번호</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900101-1234567</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900101-1******</w:t>
            </w:r>
          </w:p>
        </w:tc>
      </w:tr>
    </w:tbl>
    <w:p>
      <w:pPr>
        <w:spacing w:after="120"/>
      </w:pPr>
    </w:p>
    <w:p>
      <w:pPr>
        <w:spacing w:after="120" w:line="300"/>
      </w:pPr>
      <w:r>
        <w:t xml:space="preserve">회사·기관 명칭(이전받는 자 명칭 등)은 개인정보가 아니므로 가리지 않는다. 성명은 근거(evidence)의 값뿐 아니라 판정 사유 문장 등 결과 안의 모든 위치에서 가린다.</w:t>
      </w:r>
    </w:p>
    <w:p>
      <w:pPr>
        <w:pStyle w:val="Heading1"/>
      </w:pPr>
      <w:r>
        <w:t xml:space="preserve">7. 구현 변경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구분</w:t>
            </w:r>
          </w:p>
        </w:tc>
        <w:tc>
          <w:tcPr>
            <w:tcW w:type="dxa" w:w="6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내용</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온톨로지 v1.1</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클래스 OverseasRecipient, PrivacyOfficer</w:t>
            </w:r>
          </w:p>
          <w:p>
            <w:pPr>
              <w:spacing w:after="0" w:line="276"/>
            </w:pPr>
            <w:r>
              <w:rPr>
                <w:b w:val="false"/>
                <w:bCs w:val="false"/>
                <w:sz w:val="19"/>
                <w:szCs w:val="19"/>
              </w:rPr>
              <w:t xml:space="preserve">관계 hasTransferRecipient, hasPrivacyOfficer</w:t>
            </w:r>
          </w:p>
          <w:p>
            <w:pPr>
              <w:spacing w:after="0" w:line="276"/>
            </w:pPr>
            <w:r>
              <w:rPr>
                <w:b w:val="false"/>
                <w:bCs w:val="false"/>
                <w:sz w:val="19"/>
                <w:szCs w:val="19"/>
              </w:rPr>
              <w:t xml:space="preserve">속성 hasContact, hasPersonName, hasDepartmentName, hasTransferTimingAndMethod, hasTransferRefusalProcedure</w:t>
            </w:r>
          </w:p>
          <w:p>
            <w:pPr>
              <w:spacing w:after="0" w:line="276"/>
            </w:pPr>
            <w:r>
              <w:rPr>
                <w:b w:val="false"/>
                <w:bCs w:val="false"/>
                <w:sz w:val="19"/>
                <w:szCs w:val="19"/>
              </w:rPr>
              <w:t xml:space="preserve">(파일명은 경로 호환을 위해 PIPA_Ontology_v1.0.ttl 유지)</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Fact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F1-13~F1-19 국외 이전 (처리행위 단위), F1-20~F1-21 보호책임자 (문서 단위), F1-22 수집·이용 항목 (처리행위 단위)</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추출기</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국외 이전 항목은 처리행위별 추출 단계에, 보호책임자는 권리 추출 단계에 추가해 LLM 호출 수는 늘지 않음</w:t>
            </w:r>
          </w:p>
          <w:p>
            <w:pPr>
              <w:spacing w:after="0" w:line="276"/>
            </w:pPr>
            <w:r>
              <w:rPr>
                <w:b w:val="false"/>
                <w:bCs w:val="false"/>
                <w:sz w:val="19"/>
                <w:szCs w:val="19"/>
              </w:rPr>
              <w:t xml:space="preserve">“국외로 이전하지 않습니다”를 부재 선언으로 인식</w:t>
            </w:r>
          </w:p>
          <w:p>
            <w:pPr>
              <w:spacing w:after="0" w:line="276"/>
            </w:pPr>
            <w:r>
              <w:rPr>
                <w:b w:val="false"/>
                <w:bCs w:val="false"/>
                <w:sz w:val="19"/>
                <w:szCs w:val="19"/>
              </w:rPr>
              <w:t xml:space="preserve">수집·이용 항목(F1-22)을 처리행위별 추출 단계에 추가</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API</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응답의 판정 사유와 근거 문장에 마스킹 적용</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화면</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규칙명(P1-R09~P1-R11), Fact명, 누락 항목(국외 이전 기재사항 · …, 보호책임자 기재사항 · …) 한글 표시</w:t>
            </w:r>
          </w:p>
        </w:tc>
      </w:tr>
    </w:tbl>
    <w:p>
      <w:pPr>
        <w:spacing w:after="120"/>
      </w:pPr>
    </w:p>
    <w:p>
      <w:pPr>
        <w:pStyle w:val="Heading1"/>
      </w:pPr>
      <w:r>
        <w:t xml:space="preserve">8. 검증 결과</w:t>
      </w:r>
    </w:p>
    <w:p>
      <w:pPr>
        <w:spacing w:after="120" w:line="300"/>
      </w:pPr>
      <w:r>
        <w:t xml:space="preserve">LLM을 호출하지 않는 자동 테스트 677건이 모두 통과했다. 정답지 기준으로 아래 문서에서 세 규칙이 기대 상태를 재현한다.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626"/>
      </w:tblGrid>
      <w:tr>
        <w:trPr>
          <w:tblHeader/>
        </w:trPr>
        <w:tc>
          <w:tcPr>
            <w:tcW w:type="dxa" w:w="2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평가 문서</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P1-R09</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P1-R10</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P1-R11</w:t>
            </w:r>
          </w:p>
        </w:tc>
        <w:tc>
          <w:tcPr>
            <w:tcW w:type="dxa" w:w="2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76"/>
            </w:pPr>
            <w:r>
              <w:rPr>
                <w:b/>
                <w:bCs/>
                <w:sz w:val="19"/>
                <w:szCs w:val="19"/>
              </w:rPr>
              <w:t xml:space="preserve">비고</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SC-P01 기준 문서</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GREEN</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Protégé TTL 판정도 동일</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변형 v1~v6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GREEN</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기존 규칙만 바뀌는지 확인</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변형 v7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GREEN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GREEN</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국외 이전 완전 기재</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변형 v8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GREEN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GREEN</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보호책임자 완전 기재</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변형 v9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N/A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GREEN</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국외 이전 부재 선언</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변형 v10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RED</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수집 항목 줄 삭제</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변형 v11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YELLOW</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수집 항목 포괄 표현</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held-out h1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YELLOW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GREEN</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직함만 기재</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held-out h2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GREEN</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이전받는 자 불특정</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held-out h3·h4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YELLOW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GREEN</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국외 이전·보호책임자 언급 없음</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held-out h5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GREEN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GREEN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GREEN</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9"/>
                <w:szCs w:val="19"/>
              </w:rPr>
              <w:t xml:space="preserve">모두 기재 (합성 문서)</w:t>
            </w:r>
          </w:p>
        </w:tc>
      </w:tr>
    </w:tbl>
    <w:p>
      <w:pPr>
        <w:spacing w:after="120"/>
      </w:pPr>
    </w:p>
    <w:p>
      <w:pPr>
        <w:spacing w:after="120" w:line="300"/>
      </w:pPr>
      <w:r>
        <w:t xml:space="preserve">평가 문서의 성명과 연락처(홍길동, example.com, 02-0000-0000 등)는 모두 합성 값이다.</w:t>
      </w:r>
    </w:p>
    <w:p>
      <w:pPr>
        <w:pStyle w:val="Heading1"/>
      </w:pPr>
      <w:r>
        <w:t xml:space="preserve">9. 남은 확인 사항</w:t>
      </w:r>
    </w:p>
    <w:p>
      <w:pPr>
        <w:pStyle w:val="ListParagraph"/>
        <w:numPr>
          <w:ilvl w:val="0"/>
          <w:numId w:val="2"/>
        </w:numPr>
        <w:spacing w:after="80" w:line="300"/>
      </w:pPr>
      <w:r>
        <w:t xml:space="preserve">실제 LLM 추출 검증: SC-P01과 held-out 문서에 대한 실제 추출 실행은 비용이 들어 아직 수행하지 않았다. 특히 P1-R11은 추출 지침이 반대로 바뀌었으므로 우선 확인이 필요하다.</w:t>
      </w:r>
    </w:p>
    <w:p>
      <w:pPr>
        <w:pStyle w:val="ListParagraph"/>
        <w:numPr>
          <w:ilvl w:val="0"/>
          <w:numId w:val="2"/>
        </w:numPr>
        <w:spacing w:after="80" w:line="300"/>
      </w:pPr>
      <w:r>
        <w:t xml:space="preserve">h1 판단: “개인정보보호팀장”을 직함만 적은 것으로 보았다. 부서 명칭(개인정보보호팀)으로 해석하면 F1-20은 확인됨이 되지만, 연락처가 없어 결과는 RED로 같다.</w:t>
      </w:r>
    </w:p>
    <w:p>
      <w:pPr>
        <w:pStyle w:val="ListParagraph"/>
        <w:numPr>
          <w:ilvl w:val="0"/>
          <w:numId w:val="2"/>
        </w:numPr>
        <w:spacing w:after="80" w:line="300"/>
      </w:pPr>
      <w:r>
        <w:t xml:space="preserve">법 조문 원문 대조: 제28조의8 제2항 각 호의 구분은 공개 자료로 확인했으며, 최종 문서화 전에 법제처 원문과 대조가 필요하다. P1-R11의 근거인 시행령 제31조 제1항 제1호도 법 제30조 제1항의 어느 호에서 위임되는지 확정하지 못해 호 번호 없이 적었다.</w:t>
      </w:r>
    </w:p>
    <w:p>
      <w:pPr>
        <w:pStyle w:val="ListParagraph"/>
        <w:numPr>
          <w:ilvl w:val="0"/>
          <w:numId w:val="2"/>
        </w:numPr>
        <w:spacing w:after="80" w:line="300"/>
      </w:pPr>
      <w:r>
        <w:t xml:space="preserve">문서 갱신: Fact Dictionary, README, CLAUDE.md의 규칙·Fact 개수와 화면의 규칙 수 표기는 이후 일괄 갱신 예정이다.</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맑은 고딕" w:cs="맑은 고딕" w:eastAsia="맑은 고딕" w:hAnsi="맑은 고딕"/>
      <w:b/>
      <w:bCs/>
      <w:color w:val="1F3864"/>
      <w:sz w:val="30"/>
      <w:szCs w:val="30"/>
    </w:rPr>
  </w:style>
  <w:style w:type="paragraph" w:styleId="Heading2">
    <w:name w:val="Heading 2"/>
    <w:basedOn w:val="Normal"/>
    <w:next w:val="Normal"/>
    <w:qFormat/>
    <w:pPr>
      <w:spacing w:after="120" w:before="240"/>
      <w:outlineLvl w:val="1"/>
    </w:pPr>
    <w:rPr>
      <w:rFonts w:ascii="맑은 고딕" w:cs="맑은 고딕" w:eastAsia="맑은 고딕" w:hAnsi="맑은 고딕"/>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PoC1 신규 규칙 설명서</dc:title>
  <dc:creator>PIPA Compliance</dc:creator>
  <cp:lastModifiedBy>Un-named</cp:lastModifiedBy>
  <cp:revision>1</cp:revision>
  <dcterms:created xsi:type="dcterms:W3CDTF">2026-10-29T04:40:52.499Z</dcterms:created>
  <dcterms:modified xsi:type="dcterms:W3CDTF">2026-10-29T04:40:52.501Z</dcterms:modified>
</cp:coreProperties>
</file>

<file path=docProps/custom.xml><?xml version="1.0" encoding="utf-8"?>
<Properties xmlns="http://schemas.openxmlformats.org/officeDocument/2006/custom-properties" xmlns:vt="http://schemas.openxmlformats.org/officeDocument/2006/docPropsVTypes"/>
</file>