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ЧИСТАЯ КОЖА — гайд по пяти слайдам презентации владельцам</w:t>
      </w:r>
    </w:p>
    <w:p>
      <w:pPr>
        <w:spacing w:after="240"/>
        <w:jc w:val="center"/>
      </w:pPr>
      <w:r>
        <w:rPr>
          <w:i/>
          <w:iCs/>
        </w:rPr>
        <w:t xml:space="preserve">Каждый слайд: рекомендованный заголовок, главный тезис (одной фразой на слайд), тезисы-буллеты, цифры с точным источником, визуал, заметки спикера. Материал для сжатия — полный документ «ЧК_архетипы_развития».</w:t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1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Три пути к сделке: 3–5 млрд ₽ при рентабельности &gt;25%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у ЧК есть три реалистичных архетипа развития; они отличаются тем, ЧТО несут в сделку — воспроизводимость (A), выручку и маржу (B) или дифференциацию и мультипликатор (C).</w:t>
      </w:r>
    </w:p>
    <w:p>
      <w:pPr>
        <w:spacing w:after="120"/>
      </w:pPr>
      <w:r>
        <w:rPr>
          <w:b/>
          <w:bCs/>
        </w:rPr>
        <w:t xml:space="preserve">Структура слайда — три карточки в ряд: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A. As-is+ (усиленная дерматология). </w:t>
      </w:r>
      <w:r>
        <w:t xml:space="preserve">«Тиражируемая экспертная дерматология: маршруты, повторное наблюдение, типовая точка + хаб». Подпись-факт: аналоги — 17 дерм-юрлиц с рент. &gt;25%, медиана 43 млн ₽ / 32,6%. Ярлык: НИЗКИЙ CAPEX · МЕДЛЕННЫЙ МАСШТАБ.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B. Clinical Skin Health (медицинская косметология). </w:t>
      </w:r>
      <w:r>
        <w:t xml:space="preserve">«Экономика косметологии на дерматологическом доверии: программы акне, рубцов, пигментации». Подпись-факт: флагманы 156–284 млн ₽ с ОДНОЙ точки при 29–32%. Ярлык: ВЫСОКИЙ ЧЕК · ДОКАЗАННАЯ ЭКОНОМИКА.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C. Превентивная дерматоонкология. </w:t>
      </w:r>
      <w:r>
        <w:t xml:space="preserve">«Проверка кожи как продукт: скрининг → дерматоскопия → биопсия → гистология → наблюдение». Подпись-факт: ниша в 14 городах СВОБОДНА; весь диагностический контур у ЧК уже в прайсе. Ярлык: ДИФФЕРЕНЦИАЦИЯ · НУЖЕН ПИЛОТ.</w:t>
      </w:r>
    </w:p>
    <w:p>
      <w:pPr>
        <w:spacing w:after="120"/>
      </w:pPr>
      <w:r>
        <w:t xml:space="preserve">Низ слайда (общая планка): «Цель сделки: выручка 3–5 млрд ₽, рентабельность &gt;25%. Ни одно дерм-юрлицо в 14 городах не превышает 853 млн ₽ — цель достижима только сетью» (источник: раздел 3 полного документа).</w:t>
      </w:r>
    </w:p>
    <w:p>
      <w:pPr>
        <w:spacing w:after="120"/>
      </w:pPr>
      <w:r>
        <w:rPr>
          <w:b/>
          <w:bCs/>
        </w:rPr>
        <w:t xml:space="preserve">Заметки спикера: </w:t>
      </w:r>
      <w:r>
        <w:rPr>
          <w:b w:val="false"/>
          <w:bCs w:val="false"/>
        </w:rPr>
        <w:t xml:space="preserve">подчеркнуть, что архетипы не взаимоисключающие; вопрос владельцам — какой слой ведёт. Все цифры — фактическая отчётность 2025 г. (ГИР БО + выгрузка), когорта из 69 юрлиц с рент. &gt;25% по 14 городам.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2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Архетип A. As-is+ — стандартизированная экспертная дерматология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фундамент любого сценария — дёшево тиражируется и полностью опирается на текущий прайс ЧК, но в одиночку до 3–5 млрд не доводит.</w:t>
      </w:r>
    </w:p>
    <w:p>
      <w:pPr>
        <w:spacing w:after="120"/>
      </w:pPr>
      <w:r>
        <w:rPr>
          <w:b/>
          <w:bCs/>
        </w:rPr>
        <w:t xml:space="preserve">Блок «Суть» (3 буллета):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6–8 стандартных маршрутов лечения (акне, атопия, псориаз, микозы, ногти, кожа головы, детская дерматология) вместо разрозненных консультаций.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Два формата: типовая точка (массовый поток) + экспертный хаб (сложные случаи, хирургия, фототерапия).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 повторным спросом: check-up, программы ведения хронических пациентов, CRM-напоминания.</w:t>
      </w:r>
    </w:p>
    <w:p>
      <w:pPr>
        <w:spacing w:after="120"/>
      </w:pPr>
      <w:r>
        <w:rPr>
          <w:b/>
          <w:bCs/>
        </w:rPr>
        <w:t xml:space="preserve">Блок «Показатели аналогов» (когорта &gt;25%, дерм-универсум, 17 юрлиц):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Медиана выручки 43,3 млн ₽ · медиана рентабельности 32,6% · медиана чека 5 500 ₽ · выручка на точку 32,9 млн 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Живучесть: ВИСЛА (Краснодар) — 20 лет, дерматология + удаления, 29% рентабельности. Потолок: А2МЕД (Самара) — 853 млн ₽, 13 точек, но маржа 11% и 97% прайса — лаборатория.</w:t>
      </w:r>
    </w:p>
    <w:p>
      <w:pPr>
        <w:spacing w:after="120"/>
      </w:pPr>
      <w:r>
        <w:t xml:space="preserve">Блок «Что добавить в прайс»: патч-тесты/аллергодиагностика, фототерапия (хаб), дерм-check-up-пакеты, программы-абонементы, телеконтроль. Плюсы/минусы — по разделу 5.4 (минимальный CAPEX и риск ↔ низкий чек, 65–108 точек до цели).</w:t>
      </w:r>
    </w:p>
    <w:p>
      <w:pPr>
        <w:spacing w:after="120"/>
      </w:pPr>
      <w:r>
        <w:rPr>
          <w:b/>
          <w:bCs/>
        </w:rPr>
        <w:t xml:space="preserve">Заметки спикера: </w:t>
      </w:r>
      <w:r>
        <w:rPr>
          <w:b w:val="false"/>
          <w:bCs w:val="false"/>
        </w:rPr>
        <w:t xml:space="preserve">честно проговорить: «чистых» больших и прибыльных дерматологий в 14 городах нет — масштаб приходит с лабораторией (маржа падает) или с косметологией (архетип B).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3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Архетип B. Clinical Skin Health — медицинская косметология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единственный архетип с доказанной большой экономикой: до 284 млн ₽ с одной точки при 32% — берём экономику эстетики, сохраняя медицинский бренд.</w:t>
      </w:r>
    </w:p>
    <w:p>
      <w:pPr>
        <w:spacing w:after="120"/>
      </w:pPr>
      <w:r>
        <w:rPr>
          <w:b/>
          <w:bCs/>
        </w:rPr>
        <w:t xml:space="preserve">Блок «Суть» (3 буллета):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Клиническое лечение акне, постакне, рубцов, пигментации, сосудов — поверх него врачебная косметология и аппаратные методы по показаниям.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Носитель чека — программы-курсы 3–6 мес. с фотофиксацией результата, а не разовые процедуры.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Дерматология = источник доверия и показаний; правило совместной работы дерматолог ↔ косметолог.</w:t>
      </w:r>
    </w:p>
    <w:p>
      <w:pPr>
        <w:spacing w:after="120"/>
      </w:pPr>
      <w:r>
        <w:rPr>
          <w:b/>
          <w:bCs/>
        </w:rPr>
        <w:t xml:space="preserve">Блок «Показатели аналогов»: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Флагманы: Косметологическая клиника (Тюмень) — 283,9 млн ₽, одна точка, 32,4%, чек 9 500 ₽; Ю Клиник (Волгоград) — 155,7 млн ₽, 29,2%; сеть КиЗ ЦЭМ (Красноярск) — 8 точек, 41,1%.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Медиана чека косметолого-дерматологического контура в когорте: 8 275 ₽ (против 5 500 ₽ у чистой дерматологии).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Предупреждение: медианная рентабельность ВСЕЙ группы М3 — 7,8% (прибыльны 2 из 11) — модель работает только с жёсткой операционной дисциплиной.</w:t>
      </w:r>
    </w:p>
    <w:p>
      <w:pPr>
        <w:spacing w:after="120"/>
      </w:pPr>
      <w:r>
        <w:t xml:space="preserve">Блок «Что добавить в прайс»: инъекционная косметология по показаниям, IPL/RF/лазерные шлифовки, PRP, пилинги, программы «акне→ремиссия→постакне», «рубцы», «пигментация», космецевтика в протоколе. Плюсы/минусы — раздел 6.4 (чек и LTV ↔ CAPEX на аппараты, дефицит косметологов, риск размывания бренда).</w:t>
      </w:r>
    </w:p>
    <w:p>
      <w:pPr>
        <w:spacing w:after="120"/>
      </w:pPr>
      <w:r>
        <w:rPr>
          <w:b/>
          <w:bCs/>
        </w:rPr>
        <w:t xml:space="preserve">Заметки спикера: </w:t>
      </w:r>
      <w:r>
        <w:rPr>
          <w:b w:val="false"/>
          <w:bCs w:val="false"/>
        </w:rPr>
        <w:t xml:space="preserve">9 из 16 прибыльных компаний М-среза — чистая эстетика; мы не идём в чистую эстетику (нет дифференциации, 45 конкурентов в срезе), а забираем её экономику через медицинскую модель.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4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Архетип C. Превентивная дерматоонкология — вертикальная интеграция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единственная незанятая ниша: полный контур «скрининг → гистология → наблюдение» не собрал никто в 14 городах, а у ЧК он уже в прайсе — это история про мультипликатор сделки.</w:t>
      </w:r>
    </w:p>
    <w:p>
      <w:pPr>
        <w:spacing w:after="120"/>
      </w:pPr>
      <w:r>
        <w:rPr>
          <w:b/>
          <w:bCs/>
        </w:rPr>
        <w:t xml:space="preserve">Блок «Суть» (вертикаль, рисовать как воронку/конвейер):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Skin-check «Паспорт кожи» (пакеты 2–3 уровней, семейные и годовые) → цифровая дерматоскопия и картирование → риск-стратификация → биопсия → гистология/ИГХ (SLA по срокам) → день-хирургия в хабе → регистр наблюдения, second opinion.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Каналы масштаба: ДМС, работодатели (корпоративные скрининги), партнёрства с онкоцентрами.</w:t>
      </w:r>
    </w:p>
    <w:p>
      <w:pPr>
        <w:spacing w:after="120"/>
      </w:pPr>
      <w:r>
        <w:rPr>
          <w:b/>
          <w:bCs/>
        </w:rPr>
        <w:t xml:space="preserve">Блок «Показатели» (честный):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Чистых прецедентов сети &gt;25% НЕТ: Клиника ДОК (Воронеж, единственная М1 ур. 3) — 27 млн ₽ при 6,2%.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Спрос растёт: «Родинка Поликлиника» (Краснодар) — выручка ×2,5 за год до 35 млн ₽ (отчётность аномальна — только как индикатор спроса).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УНО-контур сочетается с прибыльностью: 18 юрлиц когорты с удалениями в комбинации — медиана рентабельности 35,5% (выше медианы когорты); доля УНО в прайсах успешных — 4–9%.</w:t>
      </w:r>
    </w:p>
    <w:p>
      <w:pPr>
        <w:spacing w:after="120"/>
      </w:pPr>
      <w:r>
        <w:t xml:space="preserve">Блок «Что добавить»: цифровая дерматоскопия класса FotoFinder + база изображений, брендированный skin-check, онко-консилиум/second opinion, день-хирургия, ДМС-продукты. Плюсы/минусы — раздел 7.4 (дифференциация, B2B, регулярный спрос ↔ недоказанная экономика, гистологическая логистика, репутационные риски).</w:t>
      </w:r>
    </w:p>
    <w:p>
      <w:pPr>
        <w:spacing w:after="120"/>
      </w:pPr>
      <w:r>
        <w:rPr>
          <w:b/>
          <w:bCs/>
        </w:rPr>
        <w:t xml:space="preserve">Заметки спикера: </w:t>
      </w:r>
      <w:r>
        <w:rPr>
          <w:b w:val="false"/>
          <w:bCs w:val="false"/>
        </w:rPr>
        <w:t xml:space="preserve">позиционировать как вертикаль хабов поверх A/B, не как единственное ядро; обязателен пилот в 1–2 городах с измерением конверсий скрининг→диагностика→лечение (коэффициентов в данных нет — честно сказать).</w:t>
      </w:r>
    </w:p>
    <w:p>
      <w:r>
        <w:br w:type="page"/>
      </w:r>
    </w:p>
    <w:p>
      <w:pPr>
        <w:spacing w:after="20"/>
      </w:pPr>
      <w:r>
        <w:rPr>
          <w:b/>
          <w:bCs/>
          <w:color w:val="2E5AAC"/>
          <w:sz w:val="22"/>
          <w:szCs w:val="22"/>
        </w:rPr>
        <w:t xml:space="preserve">СЛАЙД 5</w:t>
      </w:r>
    </w:p>
    <w:p>
      <w:pPr>
        <w:spacing w:after="120"/>
      </w:pPr>
      <w:r>
        <w:rPr>
          <w:b/>
          <w:bCs/>
          <w:sz w:val="30"/>
          <w:szCs w:val="30"/>
        </w:rPr>
        <w:t xml:space="preserve">Сравнение архетипов и рекомендация</w:t>
      </w:r>
    </w:p>
    <w:p>
      <w:pPr>
        <w:spacing w:after="120"/>
      </w:pPr>
      <w:r>
        <w:rPr>
          <w:b/>
          <w:bCs/>
        </w:rPr>
        <w:t xml:space="preserve">Главный тезис: </w:t>
      </w:r>
      <w:r>
        <w:rPr>
          <w:b w:val="false"/>
          <w:bCs w:val="false"/>
        </w:rPr>
        <w:t xml:space="preserve">слоёная модель: A — фундамент каждой точки, B — двигатель выручки и маржи, C — знамя бренда и мультипликатор сделки.</w:t>
      </w:r>
    </w:p>
    <w:p>
      <w:pPr>
        <w:spacing w:after="120"/>
      </w:pPr>
      <w:r>
        <w:rPr>
          <w:b/>
          <w:bCs/>
        </w:rPr>
        <w:t xml:space="preserve">Таблица слайда (строки — предложение аналитиков; все цифры готовы в разделе 8 полного документа):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750"/>
        <w:gridCol w:w="1810"/>
        <w:gridCol w:w="2000"/>
      </w:tblGrid>
      <w:tr>
        <w:tc>
          <w:tcPr>
            <w:tcW w:type="dxa" w:w="2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Столбец таблицы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A. As-is+</w:t>
            </w:r>
          </w:p>
        </w:tc>
        <w:tc>
          <w:tcPr>
            <w:tcW w:type="dxa" w:w="175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B. CSH</w:t>
            </w:r>
          </w:p>
        </w:tc>
        <w:tc>
          <w:tcPr>
            <w:tcW w:type="dxa" w:w="181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C. Прев. онкология</w:t>
            </w:r>
          </w:p>
        </w:tc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Комментарий для дизайна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Аналогов с рент. &gt;25% в 14 городах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 (2 чистых М3 + 9 М7-соседей)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18 (по УНО-proxy); чистых — 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Сноска про proxy обязательна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Медиана выручки юрлица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43,3 млн ₽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46,5 млн ₽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44,2 млн 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Подпись: флагманы B — до 284 млн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Медиана рентабельности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32,6%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32,4%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35,5%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Зелёным всё &gt;25%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Медиана чека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5 500 ₽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8 275 ₽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5 488 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 выделить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Выручка на точку (мед./макс.)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33 / 284 млн ₽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33 / 284 млн ₽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41 / 308 млн 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Точек до 3–5 млрд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65–108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20–33 (флагманы)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вертикаль поверх A/B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Иллюстративная арифметика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Прецедент прибыльной сети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малый (ВИСЛА, 3 т.)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ДА (КиЗ ЦЭМ 8 т. @41%)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нет — ниша свободна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CAPEX ₽/м²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н/д — собрать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н/д — собрать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н/д — собрать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План сбора: раздел 9, 1–2 недели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Опора на прайс ЧК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полная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частичная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полная (диагностика)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Главный риск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не доехать до масштаба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размыть бренд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недоказанная экономика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Что даёт сделке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воспроизводимость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выручка и маржа</w:t>
            </w:r>
          </w:p>
        </w:tc>
        <w:tc>
          <w:tcPr>
            <w:tcW w:type="dxa" w:w="18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дифференциация, мультипликатор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Итоговая строка — жирным</w:t>
            </w:r>
          </w:p>
        </w:tc>
      </w:tr>
    </w:tbl>
    <w:p>
      <w:pPr>
        <w:spacing w:after="120"/>
      </w:pPr>
      <w:r>
        <w:t xml:space="preserve">Дополнительные столбцы-кандидаты (если владельцы захотят расширить): возраст юрлиц-аналогов (7–11 лет до зрелости), доля клиник с программами удержания (посчитаем из листов 6/6.1), кадровая доступность, срок до плато точки (собрать в интервью с аналогами), EBITDA после нормализации (раздел 9).</w:t>
      </w:r>
    </w:p>
    <w:p>
      <w:pPr>
        <w:spacing w:after="120"/>
      </w:pPr>
      <w:r>
        <w:rPr>
          <w:b/>
          <w:bCs/>
        </w:rPr>
        <w:t xml:space="preserve">Заметки спикера: </w:t>
      </w:r>
      <w:r>
        <w:rPr>
          <w:b w:val="false"/>
          <w:bCs w:val="false"/>
        </w:rPr>
        <w:t xml:space="preserve">закрыть вопросом к владельцам: какой слой ведёт в позиционировании и куда идёт первый CAPEX; и озвучить 5 открытых вопросов из раздела 10.2 полного документа (главный — 25% это рентабельность продаж или EBITDA).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E5AAC"/>
      <w:sz w:val="25"/>
      <w:szCs w:val="25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2026-09-25T01:06:36.650Z</dcterms:created>
  <dcterms:modified xsi:type="dcterms:W3CDTF">2026-09-25T01:06:36.650Z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