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44"/>
          <w:szCs w:val="44"/>
        </w:rPr>
        <w:t xml:space="preserve">ЧИСТАЯ КОЖА</w:t>
      </w:r>
    </w:p>
    <w:p>
      <w:pPr>
        <w:spacing w:after="40"/>
        <w:jc w:val="center"/>
      </w:pPr>
      <w:r>
        <w:rPr>
          <w:b/>
          <w:bCs/>
          <w:sz w:val="30"/>
          <w:szCs w:val="30"/>
        </w:rPr>
        <w:t xml:space="preserve">Три модели создания стоимости: операционная эффективность, косметологическая воронка, онко-экспертиза</w:t>
      </w:r>
    </w:p>
    <w:p>
      <w:pPr>
        <w:spacing w:after="40"/>
        <w:jc w:val="center"/>
      </w:pPr>
      <w:r>
        <w:rPr>
          <w:i/>
          <w:iCs/>
        </w:rPr>
        <w:t xml:space="preserve">Инвестиционный нарратив для владельцев · редакция 2</w:t>
      </w:r>
    </w:p>
    <w:p>
      <w:pPr>
        <w:spacing w:after="300"/>
        <w:jc w:val="center"/>
      </w:pPr>
      <w:r>
        <w:rPr>
          <w:i/>
          <w:iCs/>
        </w:rPr>
        <w:t xml:space="preserve">25.09.2026 · рабочая группа: партнёр по стратегии, команда консультантов, эксперты-практики медицинского бизнеса (CEO, владельцы, инвесторы)</w:t>
      </w:r>
    </w:p>
    <w:p>
      <w:pPr>
        <w:pStyle w:val="Heading1"/>
        <w:spacing w:after="160" w:before="320"/>
      </w:pPr>
      <w:r>
        <w:t xml:space="preserve">1. Резюме для владельцев</w:t>
      </w:r>
    </w:p>
    <w:p>
      <w:pPr>
        <w:spacing w:after="120"/>
      </w:pPr>
      <w:r>
        <w:t xml:space="preserve">Цель — продать сеть стратегическому покупателю. Для этого нужен актив с выручкой 3–5 млрд ₽, рентабельностью выше 25% и, что не менее важно, с историей, которую покупатель сможет пересказать своему инвестиционному комитету. Мы предлагаем рассматривать три модели не как три альтернативы, а как лестницу создания стоимости — каждая следующая ступень стоит на предыдущей: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Модель 1 — As-is: операционная эффективность. </w:t>
      </w:r>
      <w:r>
        <w:t xml:space="preserve">Ничего не добавляем — заставляем текущую клинику зарабатывать больше с каждого пациента. Сегодня врачи «отпускают» пациента, как только проблема решена; правильно выстроенный клинический маршрут (диагностика → лечение → контроль → наблюдение) конвертирует тот же поток в кратно больший LTV. Инвестиции близки к нулю, эффект — качество прибыли и повторяемость, которые покупатель оценивает мультипликатором.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Модель 2 — Косметология: расширение воронки. </w:t>
      </w:r>
      <w:r>
        <w:t xml:space="preserve">Добавляем регулярный, привычочный спрос. Сегодня к нам приходят только те, у кого уже болит, — эпизодически. Косметология приводит здоровых людей на процедуры раз в 1–3 месяца; каждая такая встреча — точка входа в более дорогие и маржинальные дерматологические маршруты (проверка кожи, трихология, лечение). Это машина retention и кратного роста LTV; экономика подтверждена рынком: до 284 млн ₽ с одной точки при 32% рентабельности.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Модель 3 — Онко-экспертиза: дорогая вертикаль. </w:t>
      </w:r>
      <w:r>
        <w:t xml:space="preserve">Строим полноценную дерматоонкологию — от скрининга до хирургии и пожизненного наблюдения. Говорим прямо: это высокий CAPEX (аппаратура картирования, операционная, патоморфология) и дорогие дефицитные врачи. Ни один игрок в 14 городах-миллионниках этого не собрал — покупателю продаётся уникальность актива, но входить можно только пилотом.</w:t>
      </w:r>
    </w:p>
    <w:p>
      <w:pPr>
        <w:spacing w:after="120"/>
      </w:pPr>
      <w:r>
        <w:t xml:space="preserve">Рекомендация рабочей группы: последовательность 1 → 2 → 3. Модель 1 — обязательная программа каждой точки с первого дня; модель 2 — двигатель выручки расширенных точек; модель 3 — хабы в 1–2 городах после пилота. Ключевые цифры — в сравнительной таблице (раздел 6).</w:t>
      </w:r>
    </w:p>
    <w:p>
      <w:pPr>
        <w:pStyle w:val="Heading1"/>
        <w:spacing w:after="160" w:before="320"/>
      </w:pPr>
      <w:r>
        <w:t xml:space="preserve">2. Факт-база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14 городов-миллионников; прайсы 766 клиник (386 903 позиции); финансовая отчётность 358 юрлиц за 2025 год (выгрузка + ГИР БО).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Расчётная когорта (требование владельцев): рентабельность продаж выше 25% — 69 юрлиц после исключения двух аномалий отчётности, подтверждённых по первоисточнику.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Референсы модели 3 — melanomaunit.moscow и euroonco.ru, разобраны 25.09.2026 (раздел 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Ограничения: юрлицо ≠ бренд; рентабельность продаж ≠ EBITDA; CAPEX ₽/м² в данных отсутствует и требует отдельного сбора — мы его не оцениваем «на глаз».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3. Модель 1 — As-is: операционная эффективность</w:t>
      </w:r>
    </w:p>
    <w:p>
      <w:pPr>
        <w:pStyle w:val="Heading2"/>
        <w:spacing w:after="130" w:before="260"/>
      </w:pPr>
      <w:r>
        <w:t xml:space="preserve">3.1. Диагноз</w:t>
      </w:r>
    </w:p>
    <w:p>
      <w:pPr>
        <w:spacing w:after="120"/>
      </w:pPr>
      <w:r>
        <w:t xml:space="preserve">Проблема не в прайсе — в маршруте. Врачи «Чистой кожи» решают проблему пациента за минимальное число визитов и отпускают его. Пациенту удобно; для бизнеса это несобранная выручка и несозданная стоимость. Клинически полный цикл — диагностика → лечение → контрольный визит → наблюдение при хроническом или рецидивирующем состоянии — сегодня не воспроизводится: он зависит от конкретного врача, а не от системы. В терминах инвестора: компания продаёт эпизоды, а должна продавать маршруты.</w:t>
      </w:r>
    </w:p>
    <w:p>
      <w:pPr>
        <w:pStyle w:val="Heading2"/>
        <w:spacing w:after="130" w:before="260"/>
      </w:pPr>
      <w:r>
        <w:t xml:space="preserve">3.2. Экономическая логика</w:t>
      </w:r>
    </w:p>
    <w:p>
      <w:pPr>
        <w:spacing w:after="120"/>
      </w:pPr>
      <w:r>
        <w:t xml:space="preserve">Выручка точки = поток × конверсия в полный маршрут × повторные визиты × чек. Модель 1 не трогает поток и почти не трогает чек — она работает с двумя средними множителями, которые сегодня фактически не управляются. Это рост LTV при CAPEX, близком к нулю, и одновременно — превращение выручки из разовой в повторяющуюся, что напрямую влияет на оценку бизнеса при продаже.</w:t>
      </w:r>
    </w:p>
    <w:p>
      <w:pPr>
        <w:pStyle w:val="Heading2"/>
        <w:spacing w:after="130" w:before="260"/>
      </w:pPr>
      <w:r>
        <w:t xml:space="preserve">3.3. Почему это пространство свободно — данные рынка</w:t>
      </w:r>
    </w:p>
    <w:p>
      <w:pPr>
        <w:spacing w:after="120"/>
      </w:pPr>
      <w:r>
        <w:t xml:space="preserve">Мы проверили прайсы всех 766 клиник выборки на продукты удержания: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800"/>
        <w:gridCol w:w="2360"/>
      </w:tblGrid>
      <w:tr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Продукт удержания</w:t>
            </w:r>
          </w:p>
        </w:tc>
        <w:tc>
          <w:tcPr>
            <w:tcW w:type="dxa" w:w="28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Доля клиник рынка</w:t>
            </w:r>
          </w:p>
        </w:tc>
        <w:tc>
          <w:tcPr>
            <w:tcW w:type="dxa" w:w="236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Медиана цены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Годовое ведение / прикрепление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9,4%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35 400 ₽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Курс процедур (2 и более)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8,1%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15 688 ₽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Абонемент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6,1%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6 600 ₽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Подписка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0% — ни одной клиники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Пакет / комплексная программа (разовые)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40,7%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8 220 ₽</w:t>
            </w:r>
          </w:p>
        </w:tc>
      </w:tr>
      <w:t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Чек-ап (разовый)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44,4%</w:t>
            </w:r>
          </w:p>
        </w:tc>
        <w:tc>
          <w:tcPr>
            <w:tcW w:type="dxa" w:w="2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3 200 ₽</w:t>
            </w:r>
          </w:p>
        </w:tc>
      </w:tr>
    </w:tbl>
    <w:p>
      <w:pPr>
        <w:spacing w:after="120"/>
      </w:pPr>
      <w:r>
        <w:t xml:space="preserve">Разовые продукты (чек-апы, пакеты) рынок делать умеет. Системное удержание — годовое ведение, подписку, управляемые повторные визиты — не построил почти никто. Тот, кто первым сделает это стандартом сети, получает преимущество, которое не копируется покупкой оборудования.</w:t>
      </w:r>
    </w:p>
    <w:p>
      <w:pPr>
        <w:pStyle w:val="Heading2"/>
        <w:spacing w:after="130" w:before="260"/>
      </w:pPr>
      <w:r>
        <w:t xml:space="preserve">3.4. Программа работ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696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Стандарт маршрута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Протоколы полного цикла по 6–8 частым состояниям (акне, дерматиты, псориаз, микозы, ногти, кожа головы, детская дерматология): что назначается, когда контрольный визит, когда пациент переходит в годовое наблюдение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Продукты удержания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Годовое ведение хронических пациентов, курсы, семейные программы — упакованные и проданные на первом визите, а не «по возможности»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KPI врачей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Доля пациентов с назначенным контрольным визитом, возврат в 90 дней, полнота маршрута — вместо и рядом с «выручкой за смену». Этический контур обязателен: назначения только по клиническим показаниям, регулярный аудит карт — иначе программа разрушит доверие, на котором стоит бренд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CRM-контур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Напоминания, маркеры хронических пациентов, задачи на повторный контакт — механика, а не лозунг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Измерение</w:t>
            </w:r>
          </w:p>
        </w:tc>
        <w:tc>
          <w:tcPr>
            <w:tcW w:type="dxa" w:w="69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LTV, retention, конверсия в полный маршрут по каждой точке и каждому врачу — панель владельцев</w:t>
            </w:r>
          </w:p>
        </w:tc>
      </w:tr>
    </w:tbl>
    <w:p>
      <w:pPr>
        <w:pStyle w:val="Heading2"/>
        <w:spacing w:after="130" w:before="260"/>
      </w:pPr>
      <w:r>
        <w:t xml:space="preserve">3.5. Инвестиционный вердикт</w:t>
      </w:r>
    </w:p>
    <w:p>
      <w:pPr>
        <w:spacing w:after="120"/>
      </w:pPr>
      <w:r>
        <w:t xml:space="preserve">Плюсы: CAPEX ≈ 0; быстрый эффект на маржу; создаёт воспроизводимость — главное, что стратег покупает у сети. Бенчмарк прибыльности дерм-аналогов достижим: 17 юрлиц с дерматологией в составе зарабатывают медианные 32,6% рентабельности. Ограничение: модель не расширяет воронку — потолок точки задан входящим потоком; сама по себе к 3–5 млрд не ведёт. Это фундамент, а не рост.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Модель 2 — Косметология: расширение воронки и машина LTV</w:t>
      </w:r>
    </w:p>
    <w:p>
      <w:pPr>
        <w:pStyle w:val="Heading2"/>
        <w:spacing w:after="130" w:before="260"/>
      </w:pPr>
      <w:r>
        <w:t xml:space="preserve">4.1. Логика модели</w:t>
      </w:r>
    </w:p>
    <w:p>
      <w:pPr>
        <w:spacing w:after="120"/>
      </w:pPr>
      <w:r>
        <w:t xml:space="preserve">Сегодня клиника живёт на спросе «у меня возникла проблема»: пациент приходит, когда заболело, и уходит, когда прошло. Это эпизодический, не управляемый нами спрос. Косметология меняет структуру спроса: регулярные процедуры (уходовые, аппаратные, инъекционные) создают привычку посещения — раз в 1–3 месяца, по расписанию, годами.</w:t>
      </w:r>
    </w:p>
    <w:p>
      <w:pPr>
        <w:spacing w:after="120"/>
      </w:pPr>
      <w:r>
        <w:t xml:space="preserve">Дальше работает воронка: каждый регулярный визит — управляемая точка контакта врача со здоровым в остальном человеком. С неё пациент переводится на дерматологические маршруты — осмотр кожи и проверка родинок, трихологическая диагностика, лечение выявленных состояний — то есть на более дорогие и более маржинальные эпизоды, до которых без косметологии он бы просто не дошёл. Косметология здесь — не «салон при клинике», а канал привлечения и удержания для медицинского ядра.</w:t>
      </w:r>
    </w:p>
    <w:p>
      <w:pPr>
        <w:pStyle w:val="Heading2"/>
        <w:spacing w:after="130" w:before="260"/>
      </w:pPr>
      <w:r>
        <w:t xml:space="preserve">4.2. Что это даёт в цифрах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200"/>
        <w:gridCol w:w="2460"/>
      </w:tblGrid>
      <w:tr>
        <w:tc>
          <w:tcPr>
            <w:tcW w:type="dxa" w:w="27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Показатель</w:t>
            </w:r>
          </w:p>
        </w:tc>
        <w:tc>
          <w:tcPr>
            <w:tcW w:type="dxa" w:w="42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Значение</w:t>
            </w:r>
          </w:p>
        </w:tc>
        <w:tc>
          <w:tcPr>
            <w:tcW w:type="dxa" w:w="246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Источник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Чек косметолого-дерматологического контура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8 275 ₽ против 5 500 ₽ у чистой дерматологии (+50%)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медианы когорты &gt;25%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Доказанный потолок точки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283,9 млн ₽ выручки с ОДНОЙ точки при 32,4% («Косметологическая клиника», Тюмень, 35 лет)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лист 8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Прецеденты флагманов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Ю Клиник (Волгоград) — 155,7 млн ₽, 29,2%; Эликс (Новосибирск) — 78,7 млн ₽, 42,2%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лист 8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Прецедент прибыльной СЕТИ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КиЗ ЦЭМ (Красноярск) — 8 точек, 41,1%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лист 8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Предупреждение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Медиана рентабельности ВСЕХ клиник Clinical-Skin-Health-профиля — 7,8%: прибыльны 2 из 11. Модель работает только с операционной дисциплиной модели 1</w:t>
            </w:r>
          </w:p>
        </w:tc>
        <w:tc>
          <w:tcPr>
            <w:tcW w:type="dxa" w:w="2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разметка М-групп</w:t>
            </w:r>
          </w:p>
        </w:tc>
      </w:tr>
    </w:tbl>
    <w:p>
      <w:pPr>
        <w:pStyle w:val="Heading2"/>
        <w:spacing w:after="130" w:before="260"/>
      </w:pPr>
      <w:r>
        <w:t xml:space="preserve">4.3. Программа работ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Врачебная косметология по клиническим показаниям: инъекционные и аппаратные методы, программы-курсы 3–6 месяцев с фотофиксацией результата — носитель чека и повторности.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Протокол кросс-маршрута: каждому косметологическому пациенту — скрининговый осмотр кожи и родинок с установленной регулярностью; трихологическая диагностика при показаниях. Это и есть механизм «затягивания» на дерматологические CJ — встроенный, измеримый, этичный (по показаниям).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Инфраструктура удержания из модели 1 (CRM, KPI, продукты) — обязательное условие: без неё косметология останется набором разовых процедур с рентабельностью 7,8%, как у большинства рынка.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CAPEX-дисциплина: аппаратный парк под программы, а не под моду; поэтапная закупка под подтверждённый спрос.</w:t>
      </w:r>
    </w:p>
    <w:p>
      <w:pPr>
        <w:pStyle w:val="Heading2"/>
        <w:spacing w:after="130" w:before="260"/>
      </w:pPr>
      <w:r>
        <w:t xml:space="preserve">4.4. Инвестиционный вердикт</w:t>
      </w:r>
    </w:p>
    <w:p>
      <w:pPr>
        <w:spacing w:after="120"/>
      </w:pPr>
      <w:r>
        <w:t xml:space="preserve">Единственная модель с доказанной рынком большой экономикой на точку. Риски управляемы, но реальны: капзатраты на оборудование, дефицит врачей-косметологов, конкуренция с 45+ эстетическими игроками в каждом городе, риск размывания медицинского бренда. Ответ на все четыре — то же: косметология существует внутри медицинской модели, а не вместо неё.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Модель 3 — Онко-экспертиза: дорогая вертикаль дерматоонкологии</w:t>
      </w:r>
    </w:p>
    <w:p>
      <w:pPr>
        <w:pStyle w:val="Heading2"/>
        <w:spacing w:after="130" w:before="260"/>
      </w:pPr>
      <w:r>
        <w:t xml:space="preserve">5.1. Честный ценник — сначала о затратах</w:t>
      </w:r>
    </w:p>
    <w:p>
      <w:pPr>
        <w:spacing w:after="120"/>
      </w:pPr>
      <w:r>
        <w:t xml:space="preserve">Эта модель — про существенное наращивание онкологической экспертизы, и мы обязаны сказать владельцам прямо: это дорого.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Высокий CAPEX: </w:t>
      </w:r>
      <w:r>
        <w:t xml:space="preserve">цифровое картирование кожи класса FotoFinder (полнотельная фотофиксация с сопоставлением динамики), операционная/дневной стационар для иссечений и реконструкций, патоморфологический контур (собственная лаборатория гистологии/ИГХ или жёсткий SLA с внешней), ИТ-хранилище изображений и регистр пациентов.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Дорогие и дефицитные люди: </w:t>
      </w:r>
      <w:r>
        <w:t xml:space="preserve">онкодерматологи, хирурги-онкологи, патоморфологи — самые дорогие специальности контура; отдельные компетенции (микрографическая хирургия Mohs, сентинель-биопсия сторожевого лимфоузла) в стране исчисляются единицами специалистов. Команда хаба — это персональные контракты, а не найм с рынка.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Длинный цикл: </w:t>
      </w:r>
      <w:r>
        <w:t xml:space="preserve">выручка скринингового контура растёт с накоплением базы наблюдаемых пациентов; окупаемость измеряется годами, а не кварталами.</w:t>
      </w:r>
    </w:p>
    <w:p>
      <w:pPr>
        <w:pStyle w:val="Heading2"/>
        <w:spacing w:after="130" w:before="260"/>
      </w:pPr>
      <w:r>
        <w:t xml:space="preserve">5.2. Модель клиентского пути — из разбора референсов</w:t>
      </w:r>
    </w:p>
    <w:p>
      <w:pPr>
        <w:spacing w:after="120"/>
      </w:pPr>
      <w:r>
        <w:t xml:space="preserve">Мы разобрали два действующих референса: специализированный центр «Меланома Юнит» (melanomaunit.moscow) и онкологический центр «Евроонко» (euroonco.ru); оба — Москва, доступ 25.09.2026. Из их продуктовой архитектуры складывается семь разделов клиентского пути, которые и означают «специализироваться на дерматоонкологии»: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460"/>
      </w:tblGrid>
      <w:tr>
        <w:tc>
          <w:tcPr>
            <w:tcW w:type="dxa" w:w="2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Раздел CJ</w:t>
            </w:r>
          </w:p>
        </w:tc>
        <w:tc>
          <w:tcPr>
            <w:tcW w:type="dxa" w:w="646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Что это в продукте (дословные элементы референсов)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1. Вовлечение и самооценка риска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Онлайн-«калькулятор риска меланомы» (Меланома Юнит), просветительский контент («родинка или рак?», фототипы, наследственность), корпоративные каналы. Задача — привести здорового человека, а не ждать больного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2. Скрининг как продукт с фиксированной ценой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Публичные ценовые якоря рынка: скрининг кожи на FotoFinder — 22 100 ₽, базовый онко check-up — 78 000 ₽ (прайс Евроонко). Пакет, а не «приём + посмотрим»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3. Экспертная диагностика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Дерматоскопия → полнотельное картирование (FotoFinder Bodystudio ATBM: фотографирует и картирует все родинки, при повторном визите сравнивает снимки и ловит минимальные изменения) → диагностическая биопсия → гистология/ИГХ → генетика опухоли (мутации BRAF, c-KIT, NRAS — определяют выбор терапии)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4. Верификация и план лечения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«Пересмотр стёкол» — гистологическое второе мнение (стёкла и блоки — «документ пациента», Евроонко), онкологический консилиум, международное второе мнение. Продаваемая услуга и одновременно контроль качества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5. Лечение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Широкое иссечение с реконструктивной пластикой, микрографическая хирургия Mohs для базалиом (Меланома Юнит), сентинель-биопсия сторожевого лимфоузла, дневной стационар; лекарственная терапия (иммунотерапия; таргетная — при мутации BRAF) — собственная лицензия либо партнёрский маршрут в онкоцентр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6. Пожизненное наблюдение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Регистр пациентов, диспансерные интервалы по стадии, динамическое сравнение картирований. Это recurring-выручка модели и её главный клиентский смысл: «мы следим, чтобы не вернулось»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7. Экспертиза как актив</w:t>
            </w:r>
          </w:p>
        </w:tc>
        <w:tc>
          <w:tcPr>
            <w:tcW w:type="dxa" w:w="64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Обучение врачей (семинары по дерматоскопии и патологии меланоцитарной системы — Меланома Юнит), телемедицина и second opinion, именной бренд экспертов, ДМС- и B2B-каналы</w:t>
            </w:r>
          </w:p>
        </w:tc>
      </w:tr>
    </w:tbl>
    <w:p>
      <w:pPr>
        <w:pStyle w:val="Heading2"/>
        <w:spacing w:after="130" w:before="260"/>
      </w:pPr>
      <w:r>
        <w:t xml:space="preserve">5.3. Отрезвляющие наблюдения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Даже профильный «Меланома Юнит» держит рядом пластическую хирургию, флебологию и гинекологию — по витрине видно, что чистая дерматоонкология в частном сегменте на старте сама себя не кормит и субсидируется смежными направлениями.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«Евроонко» монетизирует полный онко-цикл со стационаром, химио- и лучевой терапией — это другой класс бизнеса и другой порядок инвестиций; копировать его целиком не предлагается.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В наших 14 городах ни один игрок с рентабельностью выше 25% полного контура не собрал — ниша свободна, но и финансовых прецедентов нет: экономику доказывает только пилот. Косвенные сигналы положительные: 18 юрлиц когорты с удалениями новообразований в составе — медианная рентабельность 35,5%; специализированная «Родинка Поликлиника» (Краснодар) удвоила выручку за год.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Фора «Чистой кожи»: диагностическая вертикаль — дерматоскопия, картирование, биопсии, гистология, ИГХ, онко-консультации — уже в текущем прайсе. Достраиваются продукт (скрининг с фикс-прайсом), хирургический этап хаба и регистр наблюдения.</w:t>
      </w:r>
    </w:p>
    <w:p>
      <w:pPr>
        <w:pStyle w:val="Heading2"/>
        <w:spacing w:after="130" w:before="260"/>
      </w:pPr>
      <w:r>
        <w:t xml:space="preserve">5.4. Инвестиционный вердикт</w:t>
      </w:r>
    </w:p>
    <w:p>
      <w:pPr>
        <w:spacing w:after="120"/>
      </w:pPr>
      <w:r>
        <w:t xml:space="preserve">Покупателю продаётся не текущий P&amp;L этой вертикали, а уникальность: «единственная сеть превентивной дерматоонкологии в стране» — история, повышающая мультипликатор всей сделки. Входить — только поэтапно: пилот-хаб в 1–2 городах, измеренные конверсии скрининг → диагностика → лечение → наблюдение, и лишь затем тираж. Финансировать из прибыли моделей 1–2, не из их бюджета развития.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6. Сравнение моделей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80"/>
        <w:gridCol w:w="2490"/>
        <w:gridCol w:w="2490"/>
      </w:tblGrid>
      <w:tr>
        <w:tc>
          <w:tcPr>
            <w:tcW w:type="dxa" w:w="190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248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М1 · Операционная эффективность</w:t>
            </w:r>
          </w:p>
        </w:tc>
        <w:tc>
          <w:tcPr>
            <w:tcW w:type="dxa" w:w="249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М2 · Косметологическая воронка</w:t>
            </w:r>
          </w:p>
        </w:tc>
        <w:tc>
          <w:tcPr>
            <w:tcW w:type="dxa" w:w="2490"/>
            <w:shd w:fill="DCE6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 xml:space="preserve">М3 · Онко-экспертиза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Суть для инвестора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Больше денег с текущего потока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Больше потока и частоты, переток в маржинальные маршруты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Уникальность актива, премия к мультипликатору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CAPEX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Минимальный (CRM, обучение)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Средний/высокий (аппаратный парк)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Высокий (картирование, операционная, патоморфология)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Люди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Те же врачи, новые KPI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Врачи-косметологи (дефицит)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Онко-команда (остродефицитна и дорога)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Срок до эффекта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Кварталы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1–2 года на точку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Годы; сначала пилот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Влияние на LTV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Прямое: маршруты и удержание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Кратное: частота × кросс-переток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Пожизненное наблюдение — recurring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Доказанность рынком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Дерм-аналоги: 32,6% медиана; продукты удержания у &lt;10% рынка — пространство свободно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До 284 млн ₽/точка @ 32%; сеть 8 точек @ 41%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Прецедентов &gt;25% нет; ниша свободна, нужен пилот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Главный риск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Саботаж привычек, этика назначений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Размывание бренда, CAPEX-дисциплина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Экономика не доказана; кадры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Вклад в цель 3–5 млрд</w:t>
            </w:r>
          </w:p>
        </w:tc>
        <w:tc>
          <w:tcPr>
            <w:tcW w:type="dxa" w:w="24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Качество прибыли каждой точки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Основной объём выручки (20–33 флагмана)</w:t>
            </w:r>
          </w:p>
        </w:tc>
        <w:tc>
          <w:tcPr>
            <w:tcW w:type="dxa" w:w="249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/>
            </w:pPr>
            <w:r>
              <w:rPr>
                <w:b w:val="false"/>
                <w:bCs w:val="false"/>
                <w:sz w:val="19"/>
                <w:szCs w:val="19"/>
              </w:rPr>
              <w:t xml:space="preserve">Премия к оценке; хабы 1–2 городов</w:t>
            </w:r>
          </w:p>
        </w:tc>
      </w:tr>
    </w:tbl>
    <w:p>
      <w:pPr>
        <w:spacing w:after="120"/>
      </w:pPr>
      <w:r>
        <w:t xml:space="preserve">CAPEX в ₽/м² по форматам — вне текущих данных; сбор по поставщикам и действующим проектам займёт 1–2 недели и должен предшествовать финмодели.</w:t>
      </w:r>
    </w:p>
    <w:p>
      <w:pPr>
        <w:pStyle w:val="Heading1"/>
        <w:spacing w:after="160" w:before="320"/>
      </w:pPr>
      <w:r>
        <w:t xml:space="preserve">7. Дорожная карта проверки (до финального решения)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Пилот модели 1 на действующих точках ЧК: 2 месяца, метрики «доля пациентов с контрольным визитом» и «возврат в 90 дней» до/после.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Сбор CAPEX ₽/м² по трём форматам (типовая точка / точка с косметологией / онко-хаб) — опрос поставщиков и действующих клиник.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Юнит-экономика скрининга кожи: цена, себестоимость, конверсия в диагностику — на данных пилота; ценовой якорь рынка есть (22 100 ₽).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EBITDA-нормализация 5–7 ключевых аналогов для инвестиционной версии сравнения.</w:t>
      </w:r>
    </w:p>
    <w:p>
      <w:pPr>
        <w:pStyle w:val="Heading1"/>
        <w:spacing w:after="160" w:before="320"/>
      </w:pPr>
      <w:r>
        <w:t xml:space="preserve">8. Открытые вопросы владельцам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25% в цели — рентабельность продаж или EBITDA?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Подтверждаете ли последовательность 1 → 2 → 3 и финансирование модели 3 из прибыли моделей 1–2?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Лимит CAPEX первого этапа и целевой формат точки (площадь, состав) — для сбора смет.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Онко-вертикаль — под брендом «Чистая кожа» или отдельным суббрендом хаба?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i/>
          <w:iCs/>
          <w:sz w:val="18"/>
          <w:szCs w:val="18"/>
        </w:rPr>
        <w:t xml:space="preserve">Источники: книга ЧК_олигопрофильные_анализ_2026-09-24.xlsx (листы 6, 6.1, 8, 9); data/osint.db (ГИР БО, лицензии); прайсы 766 клиник (data/price_v2.db); melanomaunit.moscow и euroonco.ru — разбор 25.09.2026. Диагноз клиентского пути «Чистой кожи» — формулировка владельцев (сентябрь 2026).</w:t>
      </w:r>
    </w:p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b/>
      <w:bCs/>
      <w:color w:val="2E5AAC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2026-09-25T10:26:26.790Z</dcterms:created>
  <dcterms:modified xsi:type="dcterms:W3CDTF">2026-09-25T10:26:26.800Z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