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Invoice / Інвойс </w:t>
      </w:r>
      <w:r>
        <w:rPr>
          <w:rFonts w:eastAsia="Arial Unicode MS" w:cs="Arial Unicode MS" w:ascii="Arial Unicode MS" w:hAnsi="Arial Unicode MS"/>
          <w:sz w:val="20"/>
          <w:szCs w:val="20"/>
        </w:rPr>
        <w:t>№&lt;</w:t>
      </w:r>
      <w:r>
        <w:rPr>
          <w:rFonts w:eastAsia="Arial Unicode MS" w:cs="Arial Unicode MS" w:ascii="Arial Unicode MS" w:hAnsi="Arial Unicode MS"/>
          <w:sz w:val="20"/>
          <w:szCs w:val="20"/>
        </w:rPr>
        <w:t>number&gt;</w:t>
      </w:r>
    </w:p>
    <w:p>
      <w:pPr>
        <w:pStyle w:val="Normal1"/>
        <w:jc w:val="center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tbl>
      <w:tblPr>
        <w:tblStyle w:val="Table1"/>
        <w:tblW w:w="9720" w:type="dxa"/>
        <w:jc w:val="left"/>
        <w:tblInd w:w="-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733"/>
        <w:gridCol w:w="4986"/>
      </w:tblGrid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Date of invoice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:&lt;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date&gt;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«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ukr_month&gt;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» </w:t>
            </w:r>
            <w:r>
              <w:rPr>
                <w:rFonts w:eastAsia="Arial Narrow" w:cs="Arial Narrow" w:ascii="Arial Narrow" w:hAnsi="Arial Narrow"/>
                <w:i/>
                <w:sz w:val="20"/>
                <w:szCs w:val="20"/>
                <w:highlight w:val="white"/>
              </w:rPr>
              <w:t>&lt;</w:t>
            </w:r>
            <w:r>
              <w:rPr>
                <w:rFonts w:eastAsia="Arial Narrow" w:cs="Arial Narrow" w:ascii="Arial Narrow" w:hAnsi="Arial Narrow"/>
                <w:i/>
                <w:sz w:val="20"/>
                <w:szCs w:val="20"/>
                <w:highlight w:val="white"/>
              </w:rPr>
              <w:t>year&gt;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Дата інвойсу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: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eng_month&gt;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date&gt;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year&gt;</w:t>
            </w:r>
          </w:p>
        </w:tc>
      </w:tr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Supplier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 Individual Entrepreneur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,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address: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Fake, Fake, Fake, 50, 133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14"/>
                <w:szCs w:val="14"/>
              </w:rPr>
            </w:pPr>
            <w:r>
              <w:rPr/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Виконавець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:  ФОП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Фейк Фейк Фейківна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, що проживає за адресою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Фейк, Фейк, Фейк, 50, 133</w:t>
            </w:r>
          </w:p>
        </w:tc>
      </w:tr>
      <w:tr>
        <w:trPr>
          <w:trHeight w:val="613" w:hRule="atLeast"/>
        </w:trPr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Customer/Payer </w:t>
            </w: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: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Fake address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Замовник/Платник </w:t>
            </w: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 xml:space="preserve">: 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52" w:before="0" w:after="0"/>
              <w:ind w:left="0" w:right="0" w:hanging="0"/>
              <w:jc w:val="left"/>
              <w:rPr>
                <w:rFonts w:ascii="Arial Narrow" w:hAnsi="Arial Narrow" w:eastAsia="Arial Narrow" w:cs="Arial Narro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  <w:t>Fake address</w:t>
            </w:r>
          </w:p>
        </w:tc>
      </w:tr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Subject matter: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Software Development 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Предмет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: Розробка програмного забезпечення</w:t>
            </w:r>
          </w:p>
        </w:tc>
      </w:tr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Currency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: USD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Валюта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: Долар США</w:t>
            </w:r>
          </w:p>
        </w:tc>
      </w:tr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Terms of payments and acceptation: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Postpayment of 100% upon the services delivery. The services being rendered at the location of the Customer.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b/>
                <w:b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 xml:space="preserve">Умови оплати та передачі: 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100% післяплата за фактом виконання послуг. Послуги надаються за місцем реєстрації Замовника.</w:t>
            </w:r>
          </w:p>
        </w:tc>
      </w:tr>
      <w:tr>
        <w:trPr/>
        <w:tc>
          <w:tcPr>
            <w:tcW w:w="4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highlight w:val="white"/>
              </w:rPr>
              <w:t>Payer</w:t>
            </w: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Bank information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: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Beneficiary: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 Org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Account No. : 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0000000000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Beneficiary’s bank: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SWIFT code: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0000000000000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Supplier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eastAsia="Arial Narrow" w:cs="Arial Narrow" w:ascii="Arial Narrow" w:hAnsi="Arial Narrow"/>
                <w:b/>
                <w:sz w:val="20"/>
                <w:szCs w:val="20"/>
              </w:rPr>
              <w:t>Bank information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: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Beneficiary:  PE 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 Fake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Beneficiary’s bank: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SWIFT code: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0000000000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2"/>
                <w:szCs w:val="22"/>
              </w:rPr>
            </w:pPr>
            <w:r>
              <w:rPr>
                <w:rFonts w:eastAsia="Arial Narrow" w:cs="Arial Narrow" w:ascii="Arial Narrow" w:hAnsi="Arial Narrow"/>
                <w:b/>
                <w:sz w:val="20"/>
                <w:szCs w:val="20"/>
                <w:u w:val="single"/>
              </w:rPr>
              <w:t xml:space="preserve">Intermediary: 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Bank</w:t>
            </w:r>
            <w:r>
              <w:rPr>
                <w:rFonts w:eastAsia="Arial Narrow" w:cs="Arial Narrow" w:ascii="Arial Narrow" w:hAnsi="Arial Narrow"/>
                <w:sz w:val="22"/>
                <w:szCs w:val="22"/>
              </w:rPr>
              <w:t>: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Fake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Account No.: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000000000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 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i/>
                <w:i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 xml:space="preserve">SWIFT code: </w:t>
            </w:r>
            <w:r>
              <w:rPr>
                <w:rFonts w:eastAsia="Arial Narrow" w:cs="Arial Narrow" w:ascii="Arial Narrow" w:hAnsi="Arial Narrow"/>
                <w:sz w:val="20"/>
                <w:szCs w:val="20"/>
              </w:rPr>
              <w:t>0000000000000</w:t>
            </w:r>
          </w:p>
        </w:tc>
      </w:tr>
    </w:tbl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tbl>
      <w:tblPr>
        <w:tblStyle w:val="Table2"/>
        <w:tblW w:w="9718" w:type="dxa"/>
        <w:jc w:val="left"/>
        <w:tblInd w:w="-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8"/>
        <w:gridCol w:w="3357"/>
        <w:gridCol w:w="1917"/>
        <w:gridCol w:w="2286"/>
        <w:gridCol w:w="1690"/>
      </w:tblGrid>
      <w:tr>
        <w:trPr/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Unicode MS" w:cs="Arial Unicode MS" w:ascii="Arial Unicode MS" w:hAnsi="Arial Unicode MS"/>
                <w:sz w:val="20"/>
                <w:szCs w:val="20"/>
              </w:rPr>
              <w:t>№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Description/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Опис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Quantity(hours)/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Кількість(годин)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Price,USD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Ціна, Долар США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Amount, USD /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</w:rPr>
              <w:t>Загальна вартість, Долар США</w:t>
            </w:r>
          </w:p>
        </w:tc>
      </w:tr>
      <w:tr>
        <w:trPr>
          <w:trHeight w:val="165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Software Development /Розробка програмного забезпечення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quantity&gt;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price&gt;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&lt;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amount&gt;</w:t>
            </w:r>
          </w:p>
        </w:tc>
      </w:tr>
      <w:tr>
        <w:trPr>
          <w:trHeight w:val="165" w:hRule="atLeast"/>
        </w:trPr>
        <w:tc>
          <w:tcPr>
            <w:tcW w:w="4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3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Software Development /Розробка програмного забезпечення</w:t>
            </w:r>
          </w:p>
        </w:tc>
        <w:tc>
          <w:tcPr>
            <w:tcW w:w="19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quantity&gt;</w:t>
            </w:r>
          </w:p>
        </w:tc>
        <w:tc>
          <w:tcPr>
            <w:tcW w:w="2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price&gt;</w:t>
            </w:r>
          </w:p>
        </w:tc>
        <w:tc>
          <w:tcPr>
            <w:tcW w:w="1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en-US"/>
              </w:rPr>
              <w:t>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en-US"/>
              </w:rPr>
              <w:t>amount&gt;</w:t>
            </w:r>
          </w:p>
        </w:tc>
      </w:tr>
      <w:tr>
        <w:trPr>
          <w:trHeight w:val="262" w:hRule="atLeast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Total/Усього: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&lt;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total&gt;</w:t>
            </w:r>
          </w:p>
        </w:tc>
      </w:tr>
      <w:tr>
        <w:trPr/>
        <w:tc>
          <w:tcPr>
            <w:tcW w:w="80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Total to pay/               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eng_total&gt;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United States dollars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 xml:space="preserve">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>cents&gt;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  <w:lang w:val="uk-UA"/>
              </w:rPr>
              <w:t xml:space="preserve"> 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cents</w:t>
            </w:r>
          </w:p>
          <w:p>
            <w:pPr>
              <w:pStyle w:val="Normal1"/>
              <w:widowControl w:val="false"/>
              <w:spacing w:lineRule="auto" w:line="252"/>
              <w:rPr>
                <w:rFonts w:ascii="Arial Narrow" w:hAnsi="Arial Narrow" w:eastAsia="Arial Narrow" w:cs="Arial Narrow"/>
                <w:sz w:val="20"/>
                <w:szCs w:val="20"/>
                <w:highlight w:val="white"/>
              </w:rPr>
            </w:pP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Усього до сплати:     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ukr_total&gt;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долари США &lt;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>cents&gt;</w:t>
            </w:r>
            <w:r>
              <w:rPr>
                <w:rFonts w:eastAsia="Arial Narrow" w:cs="Arial Narrow" w:ascii="Arial Narrow" w:hAnsi="Arial Narrow"/>
                <w:sz w:val="20"/>
                <w:szCs w:val="20"/>
                <w:highlight w:val="white"/>
              </w:rPr>
              <w:t xml:space="preserve"> центів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2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&lt;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total&gt;</w:t>
            </w:r>
          </w:p>
        </w:tc>
      </w:tr>
    </w:tbl>
    <w:p>
      <w:pPr>
        <w:pStyle w:val="Normal1"/>
        <w:rPr>
          <w:rFonts w:ascii="Arial Narrow" w:hAnsi="Arial Narrow" w:eastAsia="Arial Narrow" w:cs="Arial Narrow"/>
          <w:b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All charges of correspondent banks are at the Supplier’s expenses./ Усі комісії банків-кореспондентів сплачує виконавець.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Payment hereof at the same time is the evidence of the work performance and  the service delivery, acceptation thereof and the confirmation of final mutual installments between Parties. /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Оплата згідно цього Інвойсу одночасно є свідченням виконання робіт, надання послуг, їх прийняття, а також підтвердженням кінцевих розрахунків між Сторонами.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The Parties shall not be liable for non-performance or improper performance of the obligations under the agreement during the termof insuperable force circumstances. / Сторони звільняються від відповідальності за невиконання чи неналежне виконання зобов’язань за договором на час дії форс-мажорних обставин.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Payment according hereto shall be also the confirmation that Parties have no claims to each other and have no intention to submit any claims. / Оплата згідно цього Інвойсу є підтвердженням того, що Сторони не мають взаємних претензій та не мають наміру направляти рекламації. 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Any disputes arising out of the agreement between the Parties shall be settled by the competent court at the location of a defendant. / Всі спори, що виникнуть між Сторонами по  угоді будуть розглядатись компетентним судом за місцезнаходження відповідача.</w:t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>Supplier/Виконавець:</w:t>
        <w:tab/>
        <w:t>_______________________</w:t>
        <w:tab/>
        <w:t>(</w:t>
      </w:r>
      <w:r>
        <w:rPr>
          <w:rFonts w:eastAsia="Arial Narrow" w:cs="Arial Narrow" w:ascii="Arial Narrow" w:hAnsi="Arial Narrow"/>
          <w:sz w:val="20"/>
          <w:szCs w:val="20"/>
        </w:rPr>
        <w:t>Fake Fake</w:t>
      </w:r>
      <w:r>
        <w:rPr>
          <w:rFonts w:eastAsia="Arial Narrow" w:cs="Arial Narrow" w:ascii="Arial Narrow" w:hAnsi="Arial Narrow"/>
          <w:sz w:val="20"/>
          <w:szCs w:val="20"/>
        </w:rPr>
        <w:t xml:space="preserve"> / </w:t>
      </w:r>
      <w:r>
        <w:rPr>
          <w:rFonts w:eastAsia="Arial Narrow" w:cs="Arial Narrow" w:ascii="Arial Narrow" w:hAnsi="Arial Narrow"/>
          <w:sz w:val="20"/>
          <w:szCs w:val="20"/>
        </w:rPr>
        <w:t>Фейк Ф.Ф</w:t>
      </w:r>
      <w:r>
        <w:rPr>
          <w:rFonts w:eastAsia="Arial Narrow" w:cs="Arial Narrow" w:ascii="Arial Narrow" w:hAnsi="Arial Narrow"/>
          <w:sz w:val="20"/>
          <w:szCs w:val="20"/>
        </w:rPr>
        <w:t>)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1</Pages>
  <Words>383</Words>
  <Characters>2440</Characters>
  <CharactersWithSpaces>2794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2024-08-03T12:16:59Z</dcterms:created>
  <dc:creator/>
  <dc:description/>
  <dc:language>en-US</dc:language>
  <cp:lastModifiedBy/>
  <dcterms:modified xsi:type="dcterms:W3CDTF">2024-11-30T13:22:45Z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