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bottom w:color="4f81bd" w:space="5" w:sz="8" w:val="single"/>
        </w:pBdr>
        <w:rPr/>
      </w:pPr>
      <w:r w:rsidDel="00000000" w:rsidR="00000000" w:rsidRPr="00000000">
        <w:rPr>
          <w:sz w:val="44"/>
          <w:szCs w:val="44"/>
          <w:rtl w:val="0"/>
        </w:rPr>
        <w:t xml:space="preserve">5.NBT.B.6: 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Divide Whole Numbers with 4 Digit Dividends and 2 Digit Divisors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Target Grade Level: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5th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Common Core Domain: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Numbers and Operations Base Ten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Common Core Cluster: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Perform Operations with Multi-Digit Numbers and with Decimals to Hundredths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Standard (with text below): 5.NBT.B.6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rFonts w:ascii="Calibri" w:cs="Calibri" w:eastAsia="Calibri" w:hAnsi="Calibri"/>
          <w:color w:val="0563c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0563c1"/>
          <w:sz w:val="20"/>
          <w:szCs w:val="20"/>
          <w:highlight w:val="white"/>
          <w:u w:val="single"/>
          <w:rtl w:val="0"/>
        </w:rPr>
        <w:t xml:space="preserve">Find whole-number quotients of </w:t>
      </w:r>
      <w:bookmarkStart w:colFirst="0" w:colLast="0" w:name="bookmark=id.gjdgxs" w:id="0"/>
      <w:bookmarkEnd w:id="0"/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highlight w:val="white"/>
            <w:u w:val="single"/>
            <w:rtl w:val="0"/>
          </w:rPr>
          <w:t xml:space="preserve">whole numbers</w:t>
        </w:r>
      </w:hyperlink>
      <w:r w:rsidDel="00000000" w:rsidR="00000000" w:rsidRPr="00000000">
        <w:rPr>
          <w:rFonts w:ascii="Calibri" w:cs="Calibri" w:eastAsia="Calibri" w:hAnsi="Calibri"/>
          <w:color w:val="0563c1"/>
          <w:sz w:val="20"/>
          <w:szCs w:val="20"/>
          <w:highlight w:val="white"/>
          <w:u w:val="single"/>
          <w:rtl w:val="0"/>
        </w:rPr>
        <w:t xml:space="preserve"> with up to four-digit dividends and two-digit divisors, using strategies based on place value, the </w:t>
      </w:r>
      <w:bookmarkStart w:colFirst="0" w:colLast="0" w:name="bookmark=id.30j0zll" w:id="1"/>
      <w:bookmarkEnd w:id="1"/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highlight w:val="white"/>
            <w:u w:val="single"/>
            <w:rtl w:val="0"/>
          </w:rPr>
          <w:t xml:space="preserve">properties of operations</w:t>
        </w:r>
      </w:hyperlink>
      <w:r w:rsidDel="00000000" w:rsidR="00000000" w:rsidRPr="00000000">
        <w:rPr>
          <w:rFonts w:ascii="Calibri" w:cs="Calibri" w:eastAsia="Calibri" w:hAnsi="Calibri"/>
          <w:color w:val="0563c1"/>
          <w:sz w:val="20"/>
          <w:szCs w:val="20"/>
          <w:highlight w:val="white"/>
          <w:u w:val="single"/>
          <w:rtl w:val="0"/>
        </w:rPr>
        <w:t xml:space="preserve">, and/or the relationship between multiplication and division. Illustrate and explain the calculation by using equations, rectangular arrays, and/or area models.</w:t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12" w:val="singl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MAIN CONCEPTS </w:t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1" w:sz="12" w:val="single"/>
        </w:pBd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Solve whole number division problems with whole-number quotients with up to four-digits and two-digit divisors, using strategies based on place value.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Solve whole number division problems with whole-number quotients with up to four-digits and two-digit divisors, using strategies based on the properties of operations.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Solve whole number division problems with whole-number quotients with up to four-digits and two-digit divisors, using strategies based on the relationship between multiplication and division.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Clarifications, limits, emphases, and other information intended to ensure       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appropriate variety in tasks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involve 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hole numbers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 or 4-digit dividends and one- or two-digit divisors with whole number quotients.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Illustrate and explain calculations using equations, rectangular arrays, and or area models.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 the use of the standard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About the Math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Area Model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628900" cy="2238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Dividing using the distributive property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466975" cy="1847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Relationship to Mathematical Practices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CCSS.MP7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Look for and make use of structure</w:t>
      </w:r>
    </w:p>
    <w:p w:rsidR="00000000" w:rsidDel="00000000" w:rsidP="00000000" w:rsidRDefault="00000000" w:rsidRPr="00000000" w14:paraId="0000002F">
      <w:pPr>
        <w:pageBreakBefore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Resources:</w:t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IXL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see main concepts and hover over each to see example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heading=h.db8v5cmxgycc" w:id="3"/>
      <w:bookmarkEnd w:id="3"/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https://tasks.illustrativemathematics.org/content-standards/5/NBT/B/6?gclid=Cj0KCQiA4aacBhCUARIsAI55maHMmxkSwh2SK9XcHVlhGnRzwP50L-ZFylDwPbdR90CblXCrKQnJ4i4aApssEALw_wcB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https://kera.pbslearningmedia.org/resource/2829430e-d445-4048-be89-7a785d6d0cf4/number-and-operations-in-base-10-grade-5-5nbtb6-5nbtb7/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widowControl w:val="0"/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544A4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50B20"/>
    <w:pPr>
      <w:keepNext w:val="1"/>
      <w:keepLines w:val="1"/>
      <w:widowControl w:val="0"/>
      <w:autoSpaceDE w:val="0"/>
      <w:autoSpaceDN w:val="0"/>
      <w:adjustRightInd w:val="0"/>
      <w:spacing w:before="480"/>
      <w:outlineLvl w:val="0"/>
    </w:pPr>
    <w:rPr>
      <w:rFonts w:asciiTheme="minorHAnsi" w:cstheme="majorBidi" w:eastAsiaTheme="majorEastAsia" w:hAnsiTheme="min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50B20"/>
    <w:pPr>
      <w:keepNext w:val="1"/>
      <w:keepLines w:val="1"/>
      <w:widowControl w:val="0"/>
      <w:autoSpaceDE w:val="0"/>
      <w:autoSpaceDN w:val="0"/>
      <w:adjustRightInd w:val="0"/>
      <w:spacing w:before="200"/>
      <w:outlineLvl w:val="1"/>
    </w:pPr>
    <w:rPr>
      <w:rFonts w:asciiTheme="minorHAnsi" w:cstheme="majorBidi" w:eastAsiaTheme="majorEastAsia" w:hAnsiTheme="min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A26F6"/>
    <w:pPr>
      <w:keepNext w:val="1"/>
      <w:keepLines w:val="1"/>
      <w:widowControl w:val="0"/>
      <w:autoSpaceDE w:val="0"/>
      <w:autoSpaceDN w:val="0"/>
      <w:adjustRightInd w:val="0"/>
      <w:outlineLvl w:val="2"/>
    </w:pPr>
    <w:rPr>
      <w:rFonts w:asciiTheme="minorHAnsi" w:cstheme="majorBidi" w:eastAsiaTheme="majorEastAsia" w:hAnsiTheme="minorHAnsi"/>
      <w:b w:val="1"/>
      <w:bCs w:val="1"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E33432"/>
    <w:pPr>
      <w:keepNext w:val="1"/>
      <w:keepLines w:val="1"/>
      <w:widowControl w:val="0"/>
      <w:autoSpaceDE w:val="0"/>
      <w:autoSpaceDN w:val="0"/>
      <w:adjustRightInd w:val="0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CA26F6"/>
    <w:rPr>
      <w:rFonts w:ascii="Calibri" w:hAnsi="Calibri" w:cstheme="majorBidi" w:eastAsiaTheme="majorEastAsia"/>
      <w:b w:val="1"/>
      <w:bCs w:val="1"/>
      <w:color w:val="4f81bd" w:themeColor="accent1"/>
    </w:rPr>
  </w:style>
  <w:style w:type="paragraph" w:styleId="ListParagraph">
    <w:name w:val="List Paragraph"/>
    <w:basedOn w:val="Normal"/>
    <w:uiPriority w:val="34"/>
    <w:qFormat w:val="1"/>
    <w:rsid w:val="00F23DFE"/>
    <w:pPr>
      <w:widowControl w:val="0"/>
      <w:autoSpaceDE w:val="0"/>
      <w:autoSpaceDN w:val="0"/>
      <w:adjustRightInd w:val="0"/>
      <w:ind w:left="720"/>
      <w:contextualSpacing w:val="1"/>
    </w:pPr>
    <w:rPr>
      <w:rFonts w:asciiTheme="minorHAnsi" w:hAnsiTheme="minorHAnsi"/>
    </w:rPr>
  </w:style>
  <w:style w:type="character" w:styleId="Heading2Char" w:customStyle="1">
    <w:name w:val="Heading 2 Char"/>
    <w:basedOn w:val="DefaultParagraphFont"/>
    <w:link w:val="Heading2"/>
    <w:uiPriority w:val="9"/>
    <w:rsid w:val="00D50B20"/>
    <w:rPr>
      <w:rFonts w:cstheme="majorBidi" w:eastAsiaTheme="majorEastAsia"/>
      <w:b w:val="1"/>
      <w:bCs w:val="1"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D50B20"/>
    <w:rPr>
      <w:rFonts w:cstheme="majorBidi" w:eastAsiaTheme="majorEastAsia"/>
      <w:b w:val="1"/>
      <w:bCs w:val="1"/>
      <w:color w:val="365f91" w:themeColor="accent1" w:themeShade="0000BF"/>
      <w:sz w:val="28"/>
      <w:szCs w:val="28"/>
    </w:rPr>
  </w:style>
  <w:style w:type="paragraph" w:styleId="NoSpacing">
    <w:name w:val="No Spacing"/>
    <w:aliases w:val="TEXT"/>
    <w:uiPriority w:val="1"/>
    <w:qFormat w:val="1"/>
    <w:rsid w:val="00E65C59"/>
    <w:pPr>
      <w:spacing w:after="0" w:line="240" w:lineRule="auto"/>
    </w:pPr>
    <w:rPr>
      <w:rFonts w:eastAsiaTheme="minorEastAsia"/>
      <w:color w:val="0070c0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81C11"/>
    <w:pPr>
      <w:widowControl w:val="0"/>
      <w:pBdr>
        <w:bottom w:color="4f81bd" w:space="4" w:sz="8" w:themeColor="accent1" w:val="single"/>
      </w:pBdr>
      <w:autoSpaceDE w:val="0"/>
      <w:autoSpaceDN w:val="0"/>
      <w:adjustRightInd w:val="0"/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81C1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 w:val="1"/>
    <w:rsid w:val="000B4354"/>
    <w:rPr>
      <w:color w:val="0563c1"/>
      <w:u w:val="single"/>
    </w:rPr>
  </w:style>
  <w:style w:type="paragraph" w:styleId="h2" w:customStyle="1">
    <w:name w:val="h2"/>
    <w:basedOn w:val="Normal"/>
    <w:rsid w:val="00CC13F6"/>
    <w:pPr>
      <w:spacing w:after="100" w:afterAutospacing="1" w:before="100" w:beforeAutospacing="1"/>
    </w:pPr>
    <w:rPr>
      <w:rFonts w:asciiTheme="minorHAnsi" w:hAnsiTheme="minorHAnsi"/>
    </w:rPr>
  </w:style>
  <w:style w:type="paragraph" w:styleId="h3a" w:customStyle="1">
    <w:name w:val="h3a"/>
    <w:basedOn w:val="Normal"/>
    <w:rsid w:val="00CC13F6"/>
    <w:pPr>
      <w:spacing w:after="100" w:afterAutospacing="1" w:before="100" w:beforeAutospacing="1"/>
    </w:pPr>
    <w:rPr>
      <w:rFonts w:asciiTheme="minorHAnsi" w:hAnsiTheme="minorHAnsi"/>
    </w:rPr>
  </w:style>
  <w:style w:type="paragraph" w:styleId="tx1" w:customStyle="1">
    <w:name w:val="tx1"/>
    <w:basedOn w:val="Normal"/>
    <w:rsid w:val="00CC13F6"/>
    <w:pPr>
      <w:spacing w:after="100" w:afterAutospacing="1" w:before="100" w:beforeAutospacing="1"/>
    </w:pPr>
    <w:rPr>
      <w:rFonts w:asciiTheme="minorHAnsi" w:hAnsiTheme="minorHAnsi"/>
    </w:rPr>
  </w:style>
  <w:style w:type="paragraph" w:styleId="tx" w:customStyle="1">
    <w:name w:val="tx"/>
    <w:basedOn w:val="Normal"/>
    <w:rsid w:val="00CC13F6"/>
    <w:pPr>
      <w:spacing w:after="100" w:afterAutospacing="1" w:before="100" w:beforeAutospacing="1"/>
    </w:pPr>
    <w:rPr>
      <w:rFonts w:asciiTheme="minorHAnsi" w:hAnsiTheme="minorHAnsi"/>
    </w:rPr>
  </w:style>
  <w:style w:type="paragraph" w:styleId="h2a" w:customStyle="1">
    <w:name w:val="h2a"/>
    <w:basedOn w:val="Normal"/>
    <w:rsid w:val="000E057F"/>
    <w:pPr>
      <w:spacing w:after="100" w:afterAutospacing="1" w:before="100" w:beforeAutospacing="1"/>
    </w:pPr>
    <w:rPr>
      <w:rFonts w:asciiTheme="minorHAnsi" w:hAnsiTheme="minorHAnsi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E057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C1FA3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E33432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22797D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tatic.pdesas.org/content/documents/bulleted_mathematical_practices.pdf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tasks.illustrativemathematics.org/content-standards/5/NBT/B/6?gclid=Cj0KCQiA4aacBhCUARIsAI55maHMmxkSwh2SK9XcHVlhGnRzwP50L-ZFylDwPbdR90CblXCrKQnJ4i4aApssEALw_wcB" TargetMode="External"/><Relationship Id="rId12" Type="http://schemas.openxmlformats.org/officeDocument/2006/relationships/hyperlink" Target="https://www.ixl.com/standards/common-core/math/grade-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yperlink" Target="https://kera.pbslearningmedia.org/resource/2829430e-d445-4048-be89-7a785d6d0cf4/number-and-operations-in-base-10-grade-5-5nbtb6-5nbtb7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1ZCpBdhDzHif3lI9VeMLslTrIw==">CgMxLjAyCWlkLmdqZGd4czIKaWQuMzBqMHpsbDIJaC4xZm9iOXRlMg5oLmRiOHY1Y214Z3ljYzgAciExeHBKZFpDTGl3UXlhZDBUbEZmUVE4TjNmSm5fcW5aa2o=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2019-02-12T01:17:00Z</dcterms:created>
  <dc:creator>Margaret Carruthers</dc:creator>
</cp:coreProperties>
</file>