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13D0" w14:textId="77777777" w:rsidR="00034B4B" w:rsidRDefault="00034B4B" w:rsidP="00997C4B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20B9FB3D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19E8237C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79A61B18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746A59C2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ИБ</w:t>
      </w:r>
    </w:p>
    <w:p w14:paraId="2F025300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0736F3A8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E2089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A6141C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5E6E48" w14:textId="77777777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B9A097" w14:textId="77777777" w:rsidR="00034B4B" w:rsidRDefault="00034B4B" w:rsidP="00997C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291EE" w14:textId="3B5DBA64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</w:t>
      </w:r>
      <w:r w:rsidR="00997C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работе</w:t>
      </w:r>
      <w:r w:rsidR="00726E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№1</w:t>
      </w:r>
    </w:p>
    <w:p w14:paraId="18B51F78" w14:textId="1AC95164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665D32" w:rsidRPr="00665D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Инженерно-техническая защита объектов информатизации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85076C" w14:textId="1AA33719" w:rsidR="00034B4B" w:rsidRDefault="00034B4B" w:rsidP="00997C4B">
      <w:pPr>
        <w:spacing w:after="4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665D32" w:rsidRPr="00665D3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Исследование радиуса контролируемой зоны объекта информатизации на базе компьютерных сетей в защищенном исполнении</w:t>
      </w:r>
    </w:p>
    <w:p w14:paraId="457AA95A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61435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20F66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34B4B" w14:paraId="692B86A3" w14:textId="77777777" w:rsidTr="00034B4B">
        <w:trPr>
          <w:trHeight w:val="614"/>
        </w:trPr>
        <w:tc>
          <w:tcPr>
            <w:tcW w:w="2206" w:type="pct"/>
            <w:vAlign w:val="bottom"/>
            <w:hideMark/>
          </w:tcPr>
          <w:p w14:paraId="72655CDF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 гр. 3361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A8C648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6CB87F5" w14:textId="77777777" w:rsidR="00034B4B" w:rsidRDefault="00034B4B">
            <w:pPr>
              <w:spacing w:after="4" w:line="266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Воловик П.А.</w:t>
            </w:r>
          </w:p>
        </w:tc>
      </w:tr>
      <w:tr w:rsidR="00034B4B" w14:paraId="5BD45C9D" w14:textId="77777777" w:rsidTr="00034B4B">
        <w:trPr>
          <w:trHeight w:val="614"/>
        </w:trPr>
        <w:tc>
          <w:tcPr>
            <w:tcW w:w="2206" w:type="pct"/>
            <w:vAlign w:val="bottom"/>
          </w:tcPr>
          <w:p w14:paraId="45D903BD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715269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3735D6F" w14:textId="77777777" w:rsidR="00034B4B" w:rsidRDefault="00034B4B">
            <w:pPr>
              <w:spacing w:after="4" w:line="266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Столетов А.С.</w:t>
            </w:r>
          </w:p>
        </w:tc>
      </w:tr>
      <w:tr w:rsidR="00034B4B" w14:paraId="4561BE39" w14:textId="77777777" w:rsidTr="00034B4B">
        <w:trPr>
          <w:trHeight w:val="614"/>
        </w:trPr>
        <w:tc>
          <w:tcPr>
            <w:tcW w:w="2206" w:type="pct"/>
            <w:vAlign w:val="bottom"/>
          </w:tcPr>
          <w:p w14:paraId="7CF1E572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C54A0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79477508" w14:textId="77777777" w:rsidR="00034B4B" w:rsidRDefault="00034B4B">
            <w:pPr>
              <w:spacing w:after="4" w:line="266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Субботин Д.А.</w:t>
            </w:r>
          </w:p>
        </w:tc>
      </w:tr>
      <w:tr w:rsidR="00034B4B" w14:paraId="4B79D0C7" w14:textId="77777777" w:rsidTr="00034B4B">
        <w:trPr>
          <w:trHeight w:val="614"/>
        </w:trPr>
        <w:tc>
          <w:tcPr>
            <w:tcW w:w="2206" w:type="pct"/>
            <w:vAlign w:val="bottom"/>
            <w:hideMark/>
          </w:tcPr>
          <w:p w14:paraId="51CB7689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8F39D8" w14:textId="77777777" w:rsidR="00034B4B" w:rsidRDefault="00034B4B">
            <w:pPr>
              <w:spacing w:after="4" w:line="266" w:lineRule="auto"/>
              <w:ind w:hanging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AABF4D" w14:textId="77777777" w:rsidR="00034B4B" w:rsidRDefault="00034B4B">
            <w:pPr>
              <w:spacing w:after="4" w:line="266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Сабынин В.Н.</w:t>
            </w:r>
          </w:p>
        </w:tc>
      </w:tr>
    </w:tbl>
    <w:p w14:paraId="1B4B3A09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FE39A5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F648A1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14D3296" w14:textId="77777777" w:rsidR="00034B4B" w:rsidRDefault="00034B4B" w:rsidP="00034B4B">
      <w:pPr>
        <w:spacing w:after="4" w:line="360" w:lineRule="auto"/>
        <w:ind w:hanging="1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14:paraId="218DADEE" w14:textId="6CD4DB2A" w:rsidR="002B1C54" w:rsidRDefault="002B1C54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  <w:r w:rsidR="00A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18DADEF" w14:textId="77777777" w:rsidR="002B1C54" w:rsidRPr="002B1C54" w:rsidRDefault="002B1C54" w:rsidP="00DD2E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Получить практические навыки в определении радиуса контролируемой зоны и факторы, влияющие на его размеры.</w:t>
      </w:r>
    </w:p>
    <w:p w14:paraId="218DAE08" w14:textId="3CE8C7E1" w:rsidR="002B1C54" w:rsidRPr="002B1C54" w:rsidRDefault="002B1C54" w:rsidP="00DD2E63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Задание №1</w:t>
      </w:r>
      <w:r w:rsidR="00A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18DAE09" w14:textId="77777777" w:rsidR="002B1C54" w:rsidRDefault="002B1C54" w:rsidP="00DD2E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радиус контролируемой зоны R</w:t>
      </w:r>
      <w:r w:rsidRPr="002B1C54">
        <w:rPr>
          <w:rFonts w:ascii="Times New Roman" w:hAnsi="Times New Roman" w:cs="Times New Roman"/>
          <w:sz w:val="28"/>
          <w:szCs w:val="28"/>
        </w:rPr>
        <w:t>.</w:t>
      </w:r>
    </w:p>
    <w:p w14:paraId="218DAE0A" w14:textId="4948D2B0" w:rsidR="002B1C54" w:rsidRDefault="002B1C54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A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18DAE0B" w14:textId="0A1EBEAB" w:rsidR="002B1C54" w:rsidRDefault="002B1C54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 xml:space="preserve">На объекте 10 ПЭВМ. Из актов </w:t>
      </w:r>
      <w:r w:rsidR="00EA416C">
        <w:rPr>
          <w:rFonts w:ascii="Times New Roman" w:hAnsi="Times New Roman" w:cs="Times New Roman"/>
          <w:sz w:val="28"/>
          <w:szCs w:val="28"/>
        </w:rPr>
        <w:t>специ</w:t>
      </w:r>
      <w:r w:rsidR="00EA416C" w:rsidRPr="002B1C54">
        <w:rPr>
          <w:rFonts w:ascii="Times New Roman" w:hAnsi="Times New Roman" w:cs="Times New Roman"/>
          <w:sz w:val="28"/>
          <w:szCs w:val="28"/>
        </w:rPr>
        <w:t>сследований</w:t>
      </w:r>
      <w:r w:rsidRPr="002B1C54">
        <w:rPr>
          <w:rFonts w:ascii="Times New Roman" w:hAnsi="Times New Roman" w:cs="Times New Roman"/>
          <w:sz w:val="28"/>
          <w:szCs w:val="28"/>
        </w:rPr>
        <w:t xml:space="preserve"> ПЭВМ, известно, что радиусы зон №2 ПЭВМ соответственно равны:</w:t>
      </w:r>
    </w:p>
    <w:p w14:paraId="218DAE0C" w14:textId="588558B2" w:rsidR="002B1C54" w:rsidRDefault="002B1C54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R21=25 м; R22=20 м; R23=31 м; R24=51 м; R25=48 м; R26=33 м; R27=28 м; R28=34 м; R29=41 м; R210=37 м.</w:t>
      </w:r>
    </w:p>
    <w:p w14:paraId="2E4E5A3D" w14:textId="6D15FFE9" w:rsidR="00DD2E63" w:rsidRPr="00DD2E63" w:rsidRDefault="00DD2E63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E63">
        <w:rPr>
          <w:rFonts w:ascii="Times New Roman" w:hAnsi="Times New Roman" w:cs="Times New Roman"/>
          <w:b/>
          <w:sz w:val="28"/>
          <w:szCs w:val="28"/>
        </w:rPr>
        <w:t>Ход выполнения.</w:t>
      </w:r>
    </w:p>
    <w:p w14:paraId="218DAE0D" w14:textId="55E787B7" w:rsidR="002B1C54" w:rsidRDefault="002B1C54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методических указаний, метод определения радиуса контролируемой зоны определяется как наибольший из радиусов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1C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2B1C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B1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отдельной машины.</w:t>
      </w:r>
    </w:p>
    <w:p w14:paraId="218DAE0E" w14:textId="77777777" w:rsidR="00A074AD" w:rsidRPr="00A074AD" w:rsidRDefault="002B1C54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радиус КЗ для заданных условий будет с</w:t>
      </w:r>
      <w:r w:rsidR="00A074AD">
        <w:rPr>
          <w:rFonts w:ascii="Times New Roman" w:hAnsi="Times New Roman" w:cs="Times New Roman"/>
          <w:sz w:val="28"/>
          <w:szCs w:val="28"/>
        </w:rPr>
        <w:t>оставлять</w:t>
      </w:r>
      <w:r w:rsidR="00A074AD" w:rsidRPr="00A074AD">
        <w:rPr>
          <w:rFonts w:ascii="Times New Roman" w:hAnsi="Times New Roman" w:cs="Times New Roman"/>
          <w:sz w:val="28"/>
          <w:szCs w:val="28"/>
        </w:rPr>
        <w:t>:</w:t>
      </w:r>
    </w:p>
    <w:p w14:paraId="218DAE0F" w14:textId="77777777" w:rsidR="002B1C54" w:rsidRPr="00A074AD" w:rsidRDefault="00FD52A2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КЗ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maxi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51м</m:t>
          </m:r>
        </m:oMath>
      </m:oMathPara>
    </w:p>
    <w:p w14:paraId="218DAE10" w14:textId="09C77C83" w:rsidR="002B1C54" w:rsidRDefault="002B1C54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Вывод</w:t>
      </w:r>
      <w:r w:rsidR="00A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18DAE11" w14:textId="77777777" w:rsidR="002B1C54" w:rsidRDefault="00A074AD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проведённых выше тезисов, можно сделать вывод о том, что при определении радиуса КЗ объекта информатизации сначала проводится вычисление этого радиуса для всех составляющих его ТСОИ, далее выбирается радиус зоны, охватывающей все эти радиусы, учитывая территориальное расположение каждой станции.</w:t>
      </w:r>
    </w:p>
    <w:p w14:paraId="218DAE12" w14:textId="77777777" w:rsidR="00A074AD" w:rsidRPr="002B1C54" w:rsidRDefault="00A074AD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 xml:space="preserve">Задание №2. </w:t>
      </w:r>
    </w:p>
    <w:p w14:paraId="218DAE13" w14:textId="390DFB4B" w:rsidR="00A074AD" w:rsidRDefault="00A074AD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Разработать мероприятия по уменьшению</w:t>
      </w:r>
      <w:r>
        <w:rPr>
          <w:rFonts w:ascii="Times New Roman" w:hAnsi="Times New Roman" w:cs="Times New Roman"/>
          <w:sz w:val="28"/>
          <w:szCs w:val="28"/>
        </w:rPr>
        <w:t xml:space="preserve"> радиуса КЗ</w:t>
      </w:r>
      <w:r w:rsidRPr="002B1C54">
        <w:rPr>
          <w:rFonts w:ascii="Times New Roman" w:hAnsi="Times New Roman" w:cs="Times New Roman"/>
          <w:sz w:val="28"/>
          <w:szCs w:val="28"/>
        </w:rPr>
        <w:t>.</w:t>
      </w:r>
    </w:p>
    <w:p w14:paraId="66841BD4" w14:textId="77777777" w:rsidR="00DD2E63" w:rsidRPr="00DD2E63" w:rsidRDefault="00DD2E63" w:rsidP="00DD2E63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E63">
        <w:rPr>
          <w:rFonts w:ascii="Times New Roman" w:hAnsi="Times New Roman" w:cs="Times New Roman"/>
          <w:b/>
          <w:sz w:val="28"/>
          <w:szCs w:val="28"/>
        </w:rPr>
        <w:t>Ход выполнения.</w:t>
      </w:r>
    </w:p>
    <w:p w14:paraId="218DAE14" w14:textId="77777777" w:rsidR="00A074AD" w:rsidRDefault="00937188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уменьшения радиуса КЗ можно применить следующие мероприятия:</w:t>
      </w:r>
    </w:p>
    <w:p w14:paraId="218DAE15" w14:textId="77777777" w:rsidR="00937188" w:rsidRPr="007A3E52" w:rsidRDefault="00836EB8" w:rsidP="00DD2E63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3E52">
        <w:rPr>
          <w:rFonts w:ascii="Times New Roman" w:hAnsi="Times New Roman" w:cs="Times New Roman"/>
          <w:sz w:val="28"/>
          <w:szCs w:val="28"/>
        </w:rPr>
        <w:t>По возможности размещать ТСОИ ближе к центру здания или в сторону наибольшей части контро</w:t>
      </w:r>
      <w:r w:rsidR="007A3E52">
        <w:rPr>
          <w:rFonts w:ascii="Times New Roman" w:hAnsi="Times New Roman" w:cs="Times New Roman"/>
          <w:sz w:val="28"/>
          <w:szCs w:val="28"/>
        </w:rPr>
        <w:t>лируемой зоны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6" w14:textId="77777777" w:rsidR="00836EB8" w:rsidRPr="007A3E52" w:rsidRDefault="00836EB8" w:rsidP="00DD2E63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3E52">
        <w:rPr>
          <w:rFonts w:ascii="Times New Roman" w:hAnsi="Times New Roman" w:cs="Times New Roman"/>
          <w:sz w:val="28"/>
          <w:szCs w:val="28"/>
        </w:rPr>
        <w:t>Составные элементы ТСОИ должны размещатьс</w:t>
      </w:r>
      <w:r w:rsidR="007A3E52">
        <w:rPr>
          <w:rFonts w:ascii="Times New Roman" w:hAnsi="Times New Roman" w:cs="Times New Roman"/>
          <w:sz w:val="28"/>
          <w:szCs w:val="28"/>
        </w:rPr>
        <w:t>я в одном помещении или смежных;</w:t>
      </w:r>
    </w:p>
    <w:p w14:paraId="73933461" w14:textId="77777777" w:rsidR="00DD2E63" w:rsidRDefault="00DD2E63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04922" w14:textId="77777777" w:rsidR="00DD2E63" w:rsidRDefault="00DD2E63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DAE17" w14:textId="714D5204" w:rsidR="00836EB8" w:rsidRPr="00836EB8" w:rsidRDefault="00836EB8" w:rsidP="00DD2E63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принимать дополнительные меры защиты</w:t>
      </w:r>
      <w:r w:rsidRPr="00836EB8">
        <w:rPr>
          <w:rFonts w:ascii="Times New Roman" w:hAnsi="Times New Roman" w:cs="Times New Roman"/>
          <w:sz w:val="28"/>
          <w:szCs w:val="28"/>
        </w:rPr>
        <w:t>:</w:t>
      </w:r>
    </w:p>
    <w:p w14:paraId="218DAE18" w14:textId="77777777" w:rsidR="00836EB8" w:rsidRDefault="00836EB8" w:rsidP="00D139F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 высокочастотные ТСОИ в экранированные помещения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9" w14:textId="5EC8543A" w:rsidR="00836EB8" w:rsidRDefault="00836EB8" w:rsidP="00D139F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Прокладывать провода и кабели в экранирующих конструкциях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46542131" w14:textId="2BBD8E5E" w:rsidR="004D51EB" w:rsidRDefault="004D51EB" w:rsidP="004D51EB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D51EB">
        <w:rPr>
          <w:rFonts w:ascii="Times New Roman" w:hAnsi="Times New Roman" w:cs="Times New Roman"/>
          <w:sz w:val="28"/>
          <w:szCs w:val="28"/>
        </w:rPr>
        <w:t>становить в незащищенные каналы связи, линии, провода и кабели специальные фильтры и устройства;</w:t>
      </w:r>
    </w:p>
    <w:p w14:paraId="218DAE1A" w14:textId="77777777" w:rsidR="00836EB8" w:rsidRDefault="00836EB8" w:rsidP="00D139F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 в незащищённые каналы связи, линии, провода и кабели специальные фильтры и устройства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B" w14:textId="77777777" w:rsidR="00836EB8" w:rsidRDefault="00836EB8" w:rsidP="00D139F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Уменьшить длину параллельного пробега кабелей и проводов разных систем с проводами и кабелями, несущими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8DAE1C" w14:textId="45006782" w:rsidR="00836EB8" w:rsidRDefault="00836EB8" w:rsidP="00D139F0">
      <w:pPr>
        <w:spacing w:before="240" w:after="12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EB8">
        <w:rPr>
          <w:rFonts w:ascii="Times New Roman" w:hAnsi="Times New Roman" w:cs="Times New Roman"/>
          <w:b/>
          <w:sz w:val="28"/>
          <w:szCs w:val="28"/>
        </w:rPr>
        <w:t>Вывод</w:t>
      </w:r>
      <w:r w:rsidR="00AB5ABD">
        <w:rPr>
          <w:rFonts w:ascii="Times New Roman" w:hAnsi="Times New Roman" w:cs="Times New Roman"/>
          <w:b/>
          <w:sz w:val="28"/>
          <w:szCs w:val="28"/>
        </w:rPr>
        <w:t>.</w:t>
      </w:r>
    </w:p>
    <w:p w14:paraId="218DAE1D" w14:textId="0EA895CF" w:rsidR="00836EB8" w:rsidRDefault="00836EB8" w:rsidP="00D139F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вышеназванных тезисов, можно сделать вывод о том, что основные методы уменьшения радиуса контролируемой зоны основаны на методах уменьшения ПЭМИН, создаваемом подконтрольными ТСОИ.</w:t>
      </w:r>
    </w:p>
    <w:p w14:paraId="7487E450" w14:textId="0315F007" w:rsidR="00EA416C" w:rsidRPr="001E2975" w:rsidRDefault="001E2975" w:rsidP="00D139F0">
      <w:pPr>
        <w:spacing w:before="240"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975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1454EB2F" w14:textId="7DDFAF73" w:rsidR="00EA416C" w:rsidRDefault="00044772" w:rsidP="00D139F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="0094515F">
        <w:rPr>
          <w:rFonts w:ascii="Times New Roman" w:hAnsi="Times New Roman" w:cs="Times New Roman"/>
          <w:sz w:val="28"/>
          <w:szCs w:val="28"/>
        </w:rPr>
        <w:t xml:space="preserve"> лабораторной работы были получены знания о том, как определяется </w:t>
      </w:r>
      <w:r w:rsidR="00226B72">
        <w:rPr>
          <w:rFonts w:ascii="Times New Roman" w:hAnsi="Times New Roman" w:cs="Times New Roman"/>
          <w:sz w:val="28"/>
          <w:szCs w:val="28"/>
        </w:rPr>
        <w:t>радиус контролируемой зоны объекта информатизации</w:t>
      </w:r>
      <w:r w:rsidR="005F0C21">
        <w:rPr>
          <w:rFonts w:ascii="Times New Roman" w:hAnsi="Times New Roman" w:cs="Times New Roman"/>
          <w:sz w:val="28"/>
          <w:szCs w:val="28"/>
        </w:rPr>
        <w:t>. Для этого требуется сначала определить радиус</w:t>
      </w:r>
      <w:r w:rsidR="00D82A3B">
        <w:rPr>
          <w:rFonts w:ascii="Times New Roman" w:hAnsi="Times New Roman" w:cs="Times New Roman"/>
          <w:sz w:val="28"/>
          <w:szCs w:val="28"/>
        </w:rPr>
        <w:t>ы</w:t>
      </w:r>
      <w:r w:rsidR="007313C0">
        <w:rPr>
          <w:rFonts w:ascii="Times New Roman" w:hAnsi="Times New Roman" w:cs="Times New Roman"/>
          <w:sz w:val="28"/>
          <w:szCs w:val="28"/>
        </w:rPr>
        <w:t xml:space="preserve"> </w:t>
      </w:r>
      <w:r w:rsidR="007313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313C0" w:rsidRPr="007313C0">
        <w:rPr>
          <w:rFonts w:ascii="Times New Roman" w:hAnsi="Times New Roman" w:cs="Times New Roman"/>
          <w:sz w:val="28"/>
          <w:szCs w:val="28"/>
        </w:rPr>
        <w:t>2</w:t>
      </w:r>
      <w:r w:rsidR="00214893" w:rsidRPr="00C03DFD">
        <w:rPr>
          <w:rFonts w:ascii="Times New Roman" w:hAnsi="Times New Roman" w:cs="Times New Roman"/>
          <w:sz w:val="28"/>
          <w:szCs w:val="28"/>
        </w:rPr>
        <w:t xml:space="preserve">, </w:t>
      </w:r>
      <w:r w:rsidR="00C03DFD">
        <w:rPr>
          <w:rFonts w:ascii="Times New Roman" w:hAnsi="Times New Roman" w:cs="Times New Roman"/>
          <w:sz w:val="28"/>
          <w:szCs w:val="28"/>
        </w:rPr>
        <w:t xml:space="preserve">на которых становится невозможным считать </w:t>
      </w:r>
      <w:r w:rsidR="00094793">
        <w:rPr>
          <w:rFonts w:ascii="Times New Roman" w:hAnsi="Times New Roman" w:cs="Times New Roman"/>
          <w:sz w:val="28"/>
          <w:szCs w:val="28"/>
        </w:rPr>
        <w:t>информативный сигна</w:t>
      </w:r>
      <w:r w:rsidR="00C47878">
        <w:rPr>
          <w:rFonts w:ascii="Times New Roman" w:hAnsi="Times New Roman" w:cs="Times New Roman"/>
          <w:sz w:val="28"/>
          <w:szCs w:val="28"/>
        </w:rPr>
        <w:t>л, излучаемый С</w:t>
      </w:r>
      <w:r w:rsidR="00E00CB6">
        <w:rPr>
          <w:rFonts w:ascii="Times New Roman" w:hAnsi="Times New Roman" w:cs="Times New Roman"/>
          <w:sz w:val="28"/>
          <w:szCs w:val="28"/>
        </w:rPr>
        <w:t>ВТ, для каждой отдельно взятой ТСОИ</w:t>
      </w:r>
      <w:r w:rsidR="00C47878">
        <w:rPr>
          <w:rFonts w:ascii="Times New Roman" w:hAnsi="Times New Roman" w:cs="Times New Roman"/>
          <w:sz w:val="28"/>
          <w:szCs w:val="28"/>
        </w:rPr>
        <w:t xml:space="preserve">. Далее составляется </w:t>
      </w:r>
      <w:r w:rsidR="00F92B8B">
        <w:rPr>
          <w:rFonts w:ascii="Times New Roman" w:hAnsi="Times New Roman" w:cs="Times New Roman"/>
          <w:sz w:val="28"/>
          <w:szCs w:val="28"/>
        </w:rPr>
        <w:t xml:space="preserve">схема расположения </w:t>
      </w:r>
      <w:r w:rsidR="00CC1993">
        <w:rPr>
          <w:rFonts w:ascii="Times New Roman" w:hAnsi="Times New Roman" w:cs="Times New Roman"/>
          <w:sz w:val="28"/>
          <w:szCs w:val="28"/>
        </w:rPr>
        <w:t>всех ТСОИ и выбирается радиус</w:t>
      </w:r>
      <w:r w:rsidR="001A6CAF" w:rsidRPr="001A6CAF">
        <w:rPr>
          <w:rFonts w:ascii="Times New Roman" w:hAnsi="Times New Roman" w:cs="Times New Roman"/>
          <w:sz w:val="28"/>
          <w:szCs w:val="28"/>
        </w:rPr>
        <w:t xml:space="preserve"> </w:t>
      </w:r>
      <w:r w:rsidR="001A6CAF">
        <w:rPr>
          <w:rFonts w:ascii="Times New Roman" w:hAnsi="Times New Roman" w:cs="Times New Roman"/>
          <w:sz w:val="28"/>
          <w:szCs w:val="28"/>
        </w:rPr>
        <w:t>КЗ</w:t>
      </w:r>
      <w:r w:rsidR="00CC1993">
        <w:rPr>
          <w:rFonts w:ascii="Times New Roman" w:hAnsi="Times New Roman" w:cs="Times New Roman"/>
          <w:sz w:val="28"/>
          <w:szCs w:val="28"/>
        </w:rPr>
        <w:t xml:space="preserve">, покрывающий </w:t>
      </w:r>
      <w:r w:rsidR="007313C0">
        <w:rPr>
          <w:rFonts w:ascii="Times New Roman" w:hAnsi="Times New Roman" w:cs="Times New Roman"/>
          <w:sz w:val="28"/>
          <w:szCs w:val="28"/>
        </w:rPr>
        <w:t xml:space="preserve">все радиусы </w:t>
      </w:r>
      <w:r w:rsidR="007313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313C0" w:rsidRPr="007313C0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7313C0" w:rsidRPr="001A6C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A6CAF">
        <w:rPr>
          <w:rFonts w:ascii="Times New Roman" w:hAnsi="Times New Roman" w:cs="Times New Roman"/>
          <w:sz w:val="28"/>
          <w:szCs w:val="28"/>
        </w:rPr>
        <w:t>.</w:t>
      </w:r>
    </w:p>
    <w:p w14:paraId="095AD68D" w14:textId="56C8E235" w:rsidR="00B81493" w:rsidRPr="009C1593" w:rsidRDefault="00A34F18" w:rsidP="00D139F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Эффективными методами уменьшения радиуса КЗ являются </w:t>
      </w:r>
      <w:r w:rsidR="00073872">
        <w:rPr>
          <w:rFonts w:ascii="Times New Roman" w:hAnsi="Times New Roman" w:cs="Times New Roman"/>
          <w:sz w:val="28"/>
          <w:szCs w:val="28"/>
        </w:rPr>
        <w:t xml:space="preserve">различные методы </w:t>
      </w:r>
      <w:r w:rsidR="0053408A">
        <w:rPr>
          <w:rFonts w:ascii="Times New Roman" w:hAnsi="Times New Roman" w:cs="Times New Roman"/>
          <w:sz w:val="28"/>
          <w:szCs w:val="28"/>
        </w:rPr>
        <w:t xml:space="preserve">уменьшения </w:t>
      </w:r>
      <w:r w:rsidR="009C1593">
        <w:rPr>
          <w:rFonts w:ascii="Times New Roman" w:hAnsi="Times New Roman" w:cs="Times New Roman"/>
          <w:sz w:val="28"/>
          <w:szCs w:val="28"/>
        </w:rPr>
        <w:t xml:space="preserve">радиусов </w:t>
      </w:r>
      <w:r w:rsidR="009C159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1593" w:rsidRPr="007313C0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9C1593" w:rsidRPr="001A6C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9C1593">
        <w:rPr>
          <w:rFonts w:ascii="Times New Roman" w:hAnsi="Times New Roman" w:cs="Times New Roman"/>
          <w:sz w:val="28"/>
          <w:szCs w:val="28"/>
        </w:rPr>
        <w:t>, например</w:t>
      </w:r>
      <w:r w:rsidR="00C2352B">
        <w:rPr>
          <w:rFonts w:ascii="Times New Roman" w:hAnsi="Times New Roman" w:cs="Times New Roman"/>
          <w:sz w:val="28"/>
          <w:szCs w:val="28"/>
        </w:rPr>
        <w:t>, разнообразное экранирование либо зашумление эфира, а также более плотное расположение ТСОИ относительно друг друга.</w:t>
      </w:r>
    </w:p>
    <w:p w14:paraId="17B3E7E4" w14:textId="77777777" w:rsidR="00832B1F" w:rsidRPr="00832B1F" w:rsidRDefault="00832B1F" w:rsidP="00832B1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B1F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14:paraId="6BD3E5ED" w14:textId="33D2CB6E" w:rsidR="00832B1F" w:rsidRDefault="00832B1F" w:rsidP="00832B1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B1F">
        <w:rPr>
          <w:rFonts w:ascii="Times New Roman" w:hAnsi="Times New Roman" w:cs="Times New Roman"/>
          <w:sz w:val="28"/>
          <w:szCs w:val="28"/>
        </w:rPr>
        <w:t>Методические указания к лабораторной работе (Приложение 1);</w:t>
      </w:r>
    </w:p>
    <w:p w14:paraId="38D31540" w14:textId="59298148" w:rsidR="00DD2D8D" w:rsidRPr="0005651A" w:rsidRDefault="00BF66BD" w:rsidP="00BF66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6BD">
        <w:rPr>
          <w:rFonts w:ascii="Times New Roman" w:hAnsi="Times New Roman" w:cs="Times New Roman"/>
          <w:sz w:val="28"/>
          <w:szCs w:val="28"/>
        </w:rPr>
        <w:t>Расчет контролируемой зоны объекта</w:t>
      </w:r>
      <w:r w:rsidR="0065622D">
        <w:rPr>
          <w:rFonts w:ascii="Times New Roman" w:hAnsi="Times New Roman" w:cs="Times New Roman"/>
          <w:sz w:val="28"/>
          <w:szCs w:val="28"/>
        </w:rPr>
        <w:t xml:space="preserve">. </w:t>
      </w:r>
      <w:r w:rsidR="0065622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5622D" w:rsidRPr="0005651A">
        <w:rPr>
          <w:rFonts w:ascii="Times New Roman" w:hAnsi="Times New Roman" w:cs="Times New Roman"/>
          <w:sz w:val="28"/>
          <w:szCs w:val="28"/>
        </w:rPr>
        <w:t xml:space="preserve">: </w:t>
      </w:r>
      <w:r w:rsidRPr="0005651A">
        <w:rPr>
          <w:rFonts w:ascii="Times New Roman" w:hAnsi="Times New Roman" w:cs="Times New Roman"/>
          <w:sz w:val="28"/>
          <w:szCs w:val="28"/>
        </w:rPr>
        <w:t xml:space="preserve"> 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E4BD8" w:rsidRPr="0005651A">
        <w:rPr>
          <w:rFonts w:ascii="Times New Roman" w:hAnsi="Times New Roman" w:cs="Times New Roman"/>
          <w:sz w:val="28"/>
          <w:szCs w:val="28"/>
        </w:rPr>
        <w:t>://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lektsia</w:t>
      </w:r>
      <w:r w:rsidR="009E4BD8" w:rsidRPr="0005651A">
        <w:rPr>
          <w:rFonts w:ascii="Times New Roman" w:hAnsi="Times New Roman" w:cs="Times New Roman"/>
          <w:sz w:val="28"/>
          <w:szCs w:val="28"/>
        </w:rPr>
        <w:t>.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E4BD8" w:rsidRPr="0005651A">
        <w:rPr>
          <w:rFonts w:ascii="Times New Roman" w:hAnsi="Times New Roman" w:cs="Times New Roman"/>
          <w:sz w:val="28"/>
          <w:szCs w:val="28"/>
        </w:rPr>
        <w:t>/4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4BD8" w:rsidRPr="0005651A">
        <w:rPr>
          <w:rFonts w:ascii="Times New Roman" w:hAnsi="Times New Roman" w:cs="Times New Roman"/>
          <w:sz w:val="28"/>
          <w:szCs w:val="28"/>
        </w:rPr>
        <w:t>6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ccd</w:t>
      </w:r>
      <w:r w:rsidR="009E4BD8" w:rsidRPr="0005651A">
        <w:rPr>
          <w:rFonts w:ascii="Times New Roman" w:hAnsi="Times New Roman" w:cs="Times New Roman"/>
          <w:sz w:val="28"/>
          <w:szCs w:val="28"/>
        </w:rPr>
        <w:t>.</w:t>
      </w:r>
      <w:r w:rsidR="009E4BD8" w:rsidRPr="000565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E4BD8" w:rsidRPr="0005651A">
        <w:rPr>
          <w:rFonts w:ascii="Times New Roman" w:hAnsi="Times New Roman" w:cs="Times New Roman"/>
          <w:sz w:val="28"/>
          <w:szCs w:val="28"/>
        </w:rPr>
        <w:t xml:space="preserve"> (</w:t>
      </w:r>
      <w:r w:rsidR="0005651A">
        <w:rPr>
          <w:rFonts w:ascii="Times New Roman" w:hAnsi="Times New Roman" w:cs="Times New Roman"/>
          <w:sz w:val="28"/>
          <w:szCs w:val="28"/>
        </w:rPr>
        <w:t>дата обращения</w:t>
      </w:r>
      <w:r w:rsidR="0005651A" w:rsidRPr="0005651A">
        <w:rPr>
          <w:rFonts w:ascii="Times New Roman" w:hAnsi="Times New Roman" w:cs="Times New Roman"/>
          <w:sz w:val="28"/>
          <w:szCs w:val="28"/>
        </w:rPr>
        <w:t xml:space="preserve">: </w:t>
      </w:r>
      <w:r w:rsidR="0005651A">
        <w:rPr>
          <w:rFonts w:ascii="Times New Roman" w:hAnsi="Times New Roman" w:cs="Times New Roman"/>
          <w:sz w:val="28"/>
          <w:szCs w:val="28"/>
        </w:rPr>
        <w:t>20.04.2018</w:t>
      </w:r>
      <w:r w:rsidR="009E4BD8" w:rsidRPr="0005651A">
        <w:rPr>
          <w:rFonts w:ascii="Times New Roman" w:hAnsi="Times New Roman" w:cs="Times New Roman"/>
          <w:sz w:val="28"/>
          <w:szCs w:val="28"/>
        </w:rPr>
        <w:t>)</w:t>
      </w:r>
      <w:r w:rsidR="0005651A">
        <w:rPr>
          <w:rFonts w:ascii="Times New Roman" w:hAnsi="Times New Roman" w:cs="Times New Roman"/>
          <w:sz w:val="28"/>
          <w:szCs w:val="28"/>
        </w:rPr>
        <w:t>.</w:t>
      </w:r>
    </w:p>
    <w:p w14:paraId="5D291655" w14:textId="0C4AA2E2" w:rsidR="00EA416C" w:rsidRPr="0005651A" w:rsidRDefault="00EA416C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77013" w14:textId="037356AF" w:rsidR="00EA416C" w:rsidRPr="0005651A" w:rsidRDefault="00EA416C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11983" w14:textId="42CCC1A8" w:rsidR="00EA416C" w:rsidRPr="0005651A" w:rsidRDefault="00EA416C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73BAE" w14:textId="1C209231" w:rsidR="00EA416C" w:rsidRDefault="00EA416C" w:rsidP="00FD52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52F47" w14:textId="77777777" w:rsidR="00FD52A2" w:rsidRPr="0005651A" w:rsidRDefault="00FD52A2" w:rsidP="00FD52A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FF9E758" w14:textId="77777777" w:rsidR="001E2975" w:rsidRPr="00647A74" w:rsidRDefault="001E2975" w:rsidP="001E2975">
      <w:pPr>
        <w:spacing w:after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A74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12CD50A" w14:textId="77777777" w:rsidR="001E2975" w:rsidRPr="00647A74" w:rsidRDefault="001E2975" w:rsidP="001E2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A74">
        <w:rPr>
          <w:rFonts w:ascii="Times New Roman" w:hAnsi="Times New Roman" w:cs="Times New Roman"/>
          <w:b/>
          <w:sz w:val="28"/>
          <w:szCs w:val="28"/>
        </w:rPr>
        <w:t>Методический материал</w:t>
      </w:r>
    </w:p>
    <w:p w14:paraId="4FF5B1B4" w14:textId="77777777" w:rsidR="001E2975" w:rsidRDefault="001E2975" w:rsidP="001E29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807">
        <w:rPr>
          <w:rFonts w:ascii="Times New Roman" w:hAnsi="Times New Roman" w:cs="Times New Roman"/>
          <w:b/>
          <w:sz w:val="28"/>
          <w:szCs w:val="28"/>
        </w:rPr>
        <w:t>Определение радиуса контролируемой зоны объекта информатизации</w:t>
      </w:r>
    </w:p>
    <w:p w14:paraId="1FAF34C3" w14:textId="77777777" w:rsidR="001E2975" w:rsidRDefault="001E2975" w:rsidP="001E29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6C">
        <w:rPr>
          <w:rFonts w:ascii="Times New Roman" w:hAnsi="Times New Roman" w:cs="Times New Roman"/>
          <w:sz w:val="28"/>
          <w:szCs w:val="28"/>
        </w:rPr>
        <w:t>Специальные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6C">
        <w:rPr>
          <w:rFonts w:ascii="Times New Roman" w:hAnsi="Times New Roman" w:cs="Times New Roman"/>
          <w:sz w:val="28"/>
          <w:szCs w:val="28"/>
        </w:rPr>
        <w:t>технических средств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6C">
        <w:rPr>
          <w:rFonts w:ascii="Times New Roman" w:hAnsi="Times New Roman" w:cs="Times New Roman"/>
          <w:sz w:val="28"/>
          <w:szCs w:val="28"/>
        </w:rPr>
        <w:t xml:space="preserve">информации играют важную роль при определении границ контролируемой зоны (КЗ). Радиус КЗ должен быть не менее радиуса зоны №2. Под зоной №2 понимается пространство вокруг технических средств обработки информации (ТСОИ), на границе и за пределами которого соотношение уровня защищаемого сигнала к уровню помех меньше требуемого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A416C">
        <w:rPr>
          <w:rFonts w:ascii="Times New Roman" w:hAnsi="Times New Roman" w:cs="Times New Roman"/>
          <w:sz w:val="28"/>
          <w:szCs w:val="28"/>
        </w:rPr>
        <w:t xml:space="preserve">. В свою очередь радиус зоны №2 определяется при проведении специсследований ТСОИ. Порядок определения радиуса КЗ объекта показан на рисунке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F87E5AC" w14:textId="77777777" w:rsidR="001E2975" w:rsidRPr="00EA416C" w:rsidRDefault="001E2975" w:rsidP="001E29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6C">
        <w:rPr>
          <w:rFonts w:ascii="Times New Roman" w:hAnsi="Times New Roman" w:cs="Times New Roman"/>
          <w:sz w:val="28"/>
          <w:szCs w:val="28"/>
        </w:rPr>
        <w:t>Выполнение предложенных условий по определению границ КЗ для уже созданных объектов часто невыполнимо на практике. Особенно это касается объектов, расположенных в больших населенных пунктах. В этом случае требуется применение различных организационных и технических мероприятий по защите информации от утечки по техническим каналам и за счет побочных электромагнитных излучений и наводок, уменьшающих радиус контролируемой зоны.</w:t>
      </w:r>
    </w:p>
    <w:p w14:paraId="3B82C03E" w14:textId="77777777" w:rsidR="001E2975" w:rsidRPr="00EA416C" w:rsidRDefault="001E2975" w:rsidP="001E29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BDEF9" wp14:editId="2EB5BBFE">
            <wp:extent cx="483870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277" w14:textId="2215CC50" w:rsidR="001E2975" w:rsidRPr="00836EB8" w:rsidRDefault="001E2975" w:rsidP="001E29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6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416C">
        <w:rPr>
          <w:rFonts w:ascii="Times New Roman" w:hAnsi="Times New Roman" w:cs="Times New Roman"/>
          <w:sz w:val="28"/>
          <w:szCs w:val="28"/>
        </w:rPr>
        <w:t xml:space="preserve"> – Определение радиуса контролируемой зоны объекта</w:t>
      </w:r>
    </w:p>
    <w:sectPr w:rsidR="001E2975" w:rsidRPr="0083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F0F"/>
    <w:multiLevelType w:val="hybridMultilevel"/>
    <w:tmpl w:val="9D1E313A"/>
    <w:lvl w:ilvl="0" w:tplc="3ADA2B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A0577A3"/>
    <w:multiLevelType w:val="hybridMultilevel"/>
    <w:tmpl w:val="E9A28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8E3D48"/>
    <w:multiLevelType w:val="hybridMultilevel"/>
    <w:tmpl w:val="6B842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54"/>
    <w:rsid w:val="00034B4B"/>
    <w:rsid w:val="00044772"/>
    <w:rsid w:val="0005651A"/>
    <w:rsid w:val="00060E2B"/>
    <w:rsid w:val="00073872"/>
    <w:rsid w:val="00094793"/>
    <w:rsid w:val="000D6029"/>
    <w:rsid w:val="001A6CAF"/>
    <w:rsid w:val="001B2EF9"/>
    <w:rsid w:val="001E2975"/>
    <w:rsid w:val="002147B2"/>
    <w:rsid w:val="00214893"/>
    <w:rsid w:val="00226B72"/>
    <w:rsid w:val="00233F9C"/>
    <w:rsid w:val="00260C10"/>
    <w:rsid w:val="0029345B"/>
    <w:rsid w:val="002B1C54"/>
    <w:rsid w:val="003E32B5"/>
    <w:rsid w:val="004B7C9C"/>
    <w:rsid w:val="004D2807"/>
    <w:rsid w:val="004D51EB"/>
    <w:rsid w:val="0050688D"/>
    <w:rsid w:val="0053408A"/>
    <w:rsid w:val="005F0C21"/>
    <w:rsid w:val="00647A74"/>
    <w:rsid w:val="0065622D"/>
    <w:rsid w:val="00665D32"/>
    <w:rsid w:val="00726E0D"/>
    <w:rsid w:val="007313C0"/>
    <w:rsid w:val="007A3E52"/>
    <w:rsid w:val="007E512A"/>
    <w:rsid w:val="00832B1F"/>
    <w:rsid w:val="00836EB8"/>
    <w:rsid w:val="008A1157"/>
    <w:rsid w:val="00937188"/>
    <w:rsid w:val="0094515F"/>
    <w:rsid w:val="00997C4B"/>
    <w:rsid w:val="009C1593"/>
    <w:rsid w:val="009E4BD8"/>
    <w:rsid w:val="00A074AD"/>
    <w:rsid w:val="00A34F18"/>
    <w:rsid w:val="00A91959"/>
    <w:rsid w:val="00AB5ABD"/>
    <w:rsid w:val="00B81493"/>
    <w:rsid w:val="00BD6314"/>
    <w:rsid w:val="00BF66BD"/>
    <w:rsid w:val="00C03DFD"/>
    <w:rsid w:val="00C2352B"/>
    <w:rsid w:val="00C47878"/>
    <w:rsid w:val="00CC1993"/>
    <w:rsid w:val="00D01184"/>
    <w:rsid w:val="00D139F0"/>
    <w:rsid w:val="00D82A3B"/>
    <w:rsid w:val="00DD2D8D"/>
    <w:rsid w:val="00DD2E63"/>
    <w:rsid w:val="00E00CB6"/>
    <w:rsid w:val="00EA416C"/>
    <w:rsid w:val="00F92B8B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ADED"/>
  <w15:chartTrackingRefBased/>
  <w15:docId w15:val="{308CFC19-E7DE-4E26-81C7-BE3A62E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4B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4B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6189-5048-490C-9252-9CF0082E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stud6-1</dc:creator>
  <cp:keywords/>
  <dc:description/>
  <cp:lastModifiedBy>Дмитрий Субботин</cp:lastModifiedBy>
  <cp:revision>54</cp:revision>
  <dcterms:created xsi:type="dcterms:W3CDTF">2018-02-09T14:32:00Z</dcterms:created>
  <dcterms:modified xsi:type="dcterms:W3CDTF">2018-04-20T16:34:00Z</dcterms:modified>
</cp:coreProperties>
</file>