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DADED" w14:textId="77777777" w:rsidR="002B1C54" w:rsidRPr="002B1C54" w:rsidRDefault="002B1C5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t>Тема</w:t>
      </w:r>
      <w:r w:rsidRPr="002B1C54">
        <w:rPr>
          <w:rFonts w:ascii="Times New Roman" w:hAnsi="Times New Roman" w:cs="Times New Roman"/>
          <w:sz w:val="28"/>
          <w:szCs w:val="28"/>
        </w:rPr>
        <w:t xml:space="preserve">: Исследование радиуса контролируемой зоны объекта информатизации на базе компьютерных сетей в защищенном исполнении. </w:t>
      </w:r>
    </w:p>
    <w:p w14:paraId="218DADEE" w14:textId="77777777" w:rsidR="002B1C54" w:rsidRDefault="002B1C54" w:rsidP="00BD63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</w:p>
    <w:p w14:paraId="218DADEF" w14:textId="77777777" w:rsidR="002B1C54" w:rsidRPr="002B1C54" w:rsidRDefault="002B1C5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sz w:val="28"/>
          <w:szCs w:val="28"/>
        </w:rPr>
        <w:t>Получить практические навыки в определении радиуса контролируемой зоны и факторы, влияющие на его размеры.</w:t>
      </w:r>
    </w:p>
    <w:p w14:paraId="218DADF0" w14:textId="77777777" w:rsidR="002B1C54" w:rsidRPr="002B1C54" w:rsidRDefault="002B1C5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t>Задание №1</w:t>
      </w:r>
      <w:r w:rsidRPr="002B1C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8DADF1" w14:textId="77777777" w:rsidR="002B1C54" w:rsidRPr="002B1C54" w:rsidRDefault="002B1C5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радиус контролируемой зоны R</w:t>
      </w:r>
      <w:r w:rsidRPr="002B1C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8DADF2" w14:textId="77777777" w:rsidR="002B1C54" w:rsidRPr="002B1C54" w:rsidRDefault="002B1C54" w:rsidP="00BD63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t xml:space="preserve">Задание №2. </w:t>
      </w:r>
    </w:p>
    <w:p w14:paraId="218DADF3" w14:textId="77777777" w:rsidR="002B1C54" w:rsidRPr="002B1C54" w:rsidRDefault="002B1C5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sz w:val="28"/>
          <w:szCs w:val="28"/>
        </w:rPr>
        <w:t>Разработать мероприятия по его уменьшению.</w:t>
      </w:r>
    </w:p>
    <w:p w14:paraId="218DADF4" w14:textId="77777777" w:rsidR="002B1C54" w:rsidRDefault="002B1C54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DF5" w14:textId="77777777" w:rsidR="007A3E52" w:rsidRDefault="007A3E52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DF6" w14:textId="77777777" w:rsidR="007A3E52" w:rsidRDefault="007A3E52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DF7" w14:textId="77777777" w:rsidR="007A3E52" w:rsidRDefault="007A3E52" w:rsidP="00BD631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18DADF8" w14:textId="77777777" w:rsidR="007A3E52" w:rsidRDefault="007A3E52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DF9" w14:textId="77777777" w:rsidR="007A3E52" w:rsidRDefault="007A3E52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DFA" w14:textId="77777777" w:rsidR="007A3E52" w:rsidRDefault="007A3E52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DFB" w14:textId="77777777" w:rsidR="007A3E52" w:rsidRDefault="007A3E52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DFC" w14:textId="77777777" w:rsidR="007A3E52" w:rsidRDefault="007A3E52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DFD" w14:textId="77777777" w:rsidR="007A3E52" w:rsidRDefault="007A3E52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DFE" w14:textId="77777777" w:rsidR="002B1C54" w:rsidRDefault="002B1C54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DFF" w14:textId="77777777" w:rsidR="002B1C54" w:rsidRDefault="002B1C54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E00" w14:textId="77777777" w:rsidR="002B1C54" w:rsidRDefault="002B1C54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E01" w14:textId="77777777" w:rsidR="002B1C54" w:rsidRDefault="002B1C54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E02" w14:textId="77777777" w:rsidR="002B1C54" w:rsidRDefault="002B1C54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E03" w14:textId="77777777" w:rsidR="002B1C54" w:rsidRDefault="002B1C54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E04" w14:textId="77777777" w:rsidR="002B1C54" w:rsidRDefault="002B1C54" w:rsidP="00BD63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DAE05" w14:textId="77777777" w:rsidR="002B1C54" w:rsidRDefault="002B1C5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DAE06" w14:textId="77777777" w:rsidR="007A3E52" w:rsidRDefault="007A3E52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DAE07" w14:textId="77777777" w:rsidR="007A3E52" w:rsidRDefault="007A3E52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DAE08" w14:textId="77777777" w:rsidR="002B1C54" w:rsidRPr="002B1C54" w:rsidRDefault="002B1C5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14:paraId="218DAE09" w14:textId="77777777" w:rsidR="002B1C54" w:rsidRDefault="002B1C5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радиус контролируемой зоны R</w:t>
      </w:r>
      <w:r w:rsidRPr="002B1C54">
        <w:rPr>
          <w:rFonts w:ascii="Times New Roman" w:hAnsi="Times New Roman" w:cs="Times New Roman"/>
          <w:sz w:val="28"/>
          <w:szCs w:val="28"/>
        </w:rPr>
        <w:t>.</w:t>
      </w:r>
    </w:p>
    <w:p w14:paraId="218DAE0A" w14:textId="77777777" w:rsidR="002B1C54" w:rsidRDefault="002B1C54" w:rsidP="00BD63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14:paraId="218DAE0B" w14:textId="77777777" w:rsidR="002B1C54" w:rsidRDefault="002B1C5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sz w:val="28"/>
          <w:szCs w:val="28"/>
        </w:rPr>
        <w:t xml:space="preserve">На объекте 10 ПЭВМ. Из актов </w:t>
      </w:r>
      <w:proofErr w:type="spellStart"/>
      <w:r w:rsidRPr="002B1C54">
        <w:rPr>
          <w:rFonts w:ascii="Times New Roman" w:hAnsi="Times New Roman" w:cs="Times New Roman"/>
          <w:sz w:val="28"/>
          <w:szCs w:val="28"/>
        </w:rPr>
        <w:t>специследований</w:t>
      </w:r>
      <w:proofErr w:type="spellEnd"/>
      <w:r w:rsidRPr="002B1C54">
        <w:rPr>
          <w:rFonts w:ascii="Times New Roman" w:hAnsi="Times New Roman" w:cs="Times New Roman"/>
          <w:sz w:val="28"/>
          <w:szCs w:val="28"/>
        </w:rPr>
        <w:t xml:space="preserve"> ПЭВМ, известно, что радиусы зон №2 ПЭВМ соответственно равны:</w:t>
      </w:r>
    </w:p>
    <w:p w14:paraId="218DAE0C" w14:textId="77777777" w:rsidR="002B1C54" w:rsidRDefault="002B1C5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sz w:val="28"/>
          <w:szCs w:val="28"/>
        </w:rPr>
        <w:t xml:space="preserve">R21=25 </w:t>
      </w:r>
      <w:proofErr w:type="gramStart"/>
      <w:r w:rsidRPr="002B1C54">
        <w:rPr>
          <w:rFonts w:ascii="Times New Roman" w:hAnsi="Times New Roman" w:cs="Times New Roman"/>
          <w:sz w:val="28"/>
          <w:szCs w:val="28"/>
        </w:rPr>
        <w:t>м;  R</w:t>
      </w:r>
      <w:proofErr w:type="gramEnd"/>
      <w:r w:rsidRPr="002B1C54">
        <w:rPr>
          <w:rFonts w:ascii="Times New Roman" w:hAnsi="Times New Roman" w:cs="Times New Roman"/>
          <w:sz w:val="28"/>
          <w:szCs w:val="28"/>
        </w:rPr>
        <w:t>22=20 м; R23=31 м; R24=51 м; R25=48 м; R26=33 м; R27=28 м; R28=34 м; R29=41 м; R210=37 м.</w:t>
      </w:r>
    </w:p>
    <w:p w14:paraId="218DAE0D" w14:textId="77777777" w:rsidR="002B1C54" w:rsidRDefault="002B1C5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методических указаний, метод определения радиуса контролируемой зоны определяется как наибольший из радиусов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B1C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Pr="002B1C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B1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каждой отдельной машины.</w:t>
      </w:r>
    </w:p>
    <w:p w14:paraId="218DAE0E" w14:textId="77777777" w:rsidR="00A074AD" w:rsidRPr="00A074AD" w:rsidRDefault="002B1C5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радиус КЗ для заданных условий будет с</w:t>
      </w:r>
      <w:r w:rsidR="00A074AD">
        <w:rPr>
          <w:rFonts w:ascii="Times New Roman" w:hAnsi="Times New Roman" w:cs="Times New Roman"/>
          <w:sz w:val="28"/>
          <w:szCs w:val="28"/>
        </w:rPr>
        <w:t>оставлять</w:t>
      </w:r>
      <w:r w:rsidR="00A074AD" w:rsidRPr="00A074AD">
        <w:rPr>
          <w:rFonts w:ascii="Times New Roman" w:hAnsi="Times New Roman" w:cs="Times New Roman"/>
          <w:sz w:val="28"/>
          <w:szCs w:val="28"/>
        </w:rPr>
        <w:t>:</w:t>
      </w:r>
    </w:p>
    <w:p w14:paraId="218DAE0F" w14:textId="77777777" w:rsidR="002B1C54" w:rsidRPr="00A074AD" w:rsidRDefault="00BD6314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КЗ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maxi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51м</m:t>
          </m:r>
        </m:oMath>
      </m:oMathPara>
    </w:p>
    <w:p w14:paraId="218DAE10" w14:textId="77777777" w:rsidR="002B1C54" w:rsidRDefault="002B1C54" w:rsidP="00BD63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18DAE11" w14:textId="77777777" w:rsidR="002B1C54" w:rsidRDefault="00A074AD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проведённых выше тезисов, можно сделать вывод о том, что при определении радиуса КЗ объекта информатизации сначала проводится вычисление этого радиуса для всех составляющих его ТСОИ, далее выбирается радиус зоны, охватывающей все эти радиусы, учитывая территориальное расположение каждой станции.</w:t>
      </w:r>
    </w:p>
    <w:p w14:paraId="218DAE12" w14:textId="77777777" w:rsidR="00A074AD" w:rsidRPr="002B1C54" w:rsidRDefault="00A074AD" w:rsidP="00BD631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C54">
        <w:rPr>
          <w:rFonts w:ascii="Times New Roman" w:hAnsi="Times New Roman" w:cs="Times New Roman"/>
          <w:b/>
          <w:sz w:val="28"/>
          <w:szCs w:val="28"/>
        </w:rPr>
        <w:t xml:space="preserve">Задание №2. </w:t>
      </w:r>
    </w:p>
    <w:p w14:paraId="218DAE13" w14:textId="77777777" w:rsidR="00A074AD" w:rsidRDefault="00A074AD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C54">
        <w:rPr>
          <w:rFonts w:ascii="Times New Roman" w:hAnsi="Times New Roman" w:cs="Times New Roman"/>
          <w:sz w:val="28"/>
          <w:szCs w:val="28"/>
        </w:rPr>
        <w:t>Разработать мероприятия по уменьшению</w:t>
      </w:r>
      <w:r>
        <w:rPr>
          <w:rFonts w:ascii="Times New Roman" w:hAnsi="Times New Roman" w:cs="Times New Roman"/>
          <w:sz w:val="28"/>
          <w:szCs w:val="28"/>
        </w:rPr>
        <w:t xml:space="preserve"> радиуса КЗ</w:t>
      </w:r>
      <w:r w:rsidRPr="002B1C54">
        <w:rPr>
          <w:rFonts w:ascii="Times New Roman" w:hAnsi="Times New Roman" w:cs="Times New Roman"/>
          <w:sz w:val="28"/>
          <w:szCs w:val="28"/>
        </w:rPr>
        <w:t>.</w:t>
      </w:r>
    </w:p>
    <w:p w14:paraId="218DAE14" w14:textId="77777777" w:rsidR="00A074AD" w:rsidRDefault="00937188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уменьшения радиуса КЗ можно применить следующие мероприятия:</w:t>
      </w:r>
    </w:p>
    <w:p w14:paraId="218DAE15" w14:textId="77777777" w:rsidR="00937188" w:rsidRPr="007A3E52" w:rsidRDefault="00836EB8" w:rsidP="00BD63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3E52">
        <w:rPr>
          <w:rFonts w:ascii="Times New Roman" w:hAnsi="Times New Roman" w:cs="Times New Roman"/>
          <w:sz w:val="28"/>
          <w:szCs w:val="28"/>
        </w:rPr>
        <w:t>По возможности размещать ТСОИ ближе к центру здания или в сторону наибольшей части контро</w:t>
      </w:r>
      <w:r w:rsidR="007A3E52">
        <w:rPr>
          <w:rFonts w:ascii="Times New Roman" w:hAnsi="Times New Roman" w:cs="Times New Roman"/>
          <w:sz w:val="28"/>
          <w:szCs w:val="28"/>
        </w:rPr>
        <w:t>лируемой зоны</w:t>
      </w:r>
      <w:r w:rsidR="007A3E52" w:rsidRPr="007A3E52">
        <w:rPr>
          <w:rFonts w:ascii="Times New Roman" w:hAnsi="Times New Roman" w:cs="Times New Roman"/>
          <w:sz w:val="28"/>
          <w:szCs w:val="28"/>
        </w:rPr>
        <w:t>;</w:t>
      </w:r>
    </w:p>
    <w:p w14:paraId="218DAE16" w14:textId="77777777" w:rsidR="00836EB8" w:rsidRPr="007A3E52" w:rsidRDefault="00836EB8" w:rsidP="00BD63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3E52">
        <w:rPr>
          <w:rFonts w:ascii="Times New Roman" w:hAnsi="Times New Roman" w:cs="Times New Roman"/>
          <w:sz w:val="28"/>
          <w:szCs w:val="28"/>
        </w:rPr>
        <w:t>Составные элементы ТСОИ должны размещатьс</w:t>
      </w:r>
      <w:r w:rsidR="007A3E52">
        <w:rPr>
          <w:rFonts w:ascii="Times New Roman" w:hAnsi="Times New Roman" w:cs="Times New Roman"/>
          <w:sz w:val="28"/>
          <w:szCs w:val="28"/>
        </w:rPr>
        <w:t>я в одном помещении или смежных;</w:t>
      </w:r>
    </w:p>
    <w:p w14:paraId="218DAE17" w14:textId="77777777" w:rsidR="00836EB8" w:rsidRPr="00836EB8" w:rsidRDefault="00836EB8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принимать дополнительные меры защиты</w:t>
      </w:r>
      <w:r w:rsidRPr="00836EB8">
        <w:rPr>
          <w:rFonts w:ascii="Times New Roman" w:hAnsi="Times New Roman" w:cs="Times New Roman"/>
          <w:sz w:val="28"/>
          <w:szCs w:val="28"/>
        </w:rPr>
        <w:t>:</w:t>
      </w:r>
    </w:p>
    <w:p w14:paraId="218DAE18" w14:textId="77777777" w:rsidR="00836EB8" w:rsidRDefault="00836EB8" w:rsidP="00BD63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Устанавливать высокочастотные ТСОИ в экранированные помещения</w:t>
      </w:r>
      <w:r w:rsidR="007A3E52" w:rsidRPr="007A3E52">
        <w:rPr>
          <w:rFonts w:ascii="Times New Roman" w:hAnsi="Times New Roman" w:cs="Times New Roman"/>
          <w:sz w:val="28"/>
          <w:szCs w:val="28"/>
        </w:rPr>
        <w:t>;</w:t>
      </w:r>
    </w:p>
    <w:p w14:paraId="218DAE19" w14:textId="77777777" w:rsidR="00836EB8" w:rsidRDefault="00836EB8" w:rsidP="00BD63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Прокладывать провода и кабели в экранирующих конструкциях</w:t>
      </w:r>
      <w:r w:rsidR="007A3E52" w:rsidRPr="007A3E52">
        <w:rPr>
          <w:rFonts w:ascii="Times New Roman" w:hAnsi="Times New Roman" w:cs="Times New Roman"/>
          <w:sz w:val="28"/>
          <w:szCs w:val="28"/>
        </w:rPr>
        <w:t>;</w:t>
      </w:r>
    </w:p>
    <w:p w14:paraId="218DAE1A" w14:textId="77777777" w:rsidR="00836EB8" w:rsidRDefault="00836EB8" w:rsidP="00BD63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Устанавливать в незащищённые каналы связи, линии, провода и кабели специальные фильтры и устройства</w:t>
      </w:r>
      <w:r w:rsidR="007A3E52" w:rsidRPr="007A3E52">
        <w:rPr>
          <w:rFonts w:ascii="Times New Roman" w:hAnsi="Times New Roman" w:cs="Times New Roman"/>
          <w:sz w:val="28"/>
          <w:szCs w:val="28"/>
        </w:rPr>
        <w:t>;</w:t>
      </w:r>
    </w:p>
    <w:p w14:paraId="218DAE1B" w14:textId="77777777" w:rsidR="00836EB8" w:rsidRDefault="00836EB8" w:rsidP="00BD63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Уменьшить длину параллельного пробега кабелей и проводов разных систем с проводами и кабелями, несущими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ИсОД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8DAE1C" w14:textId="77777777" w:rsidR="00836EB8" w:rsidRDefault="00836EB8" w:rsidP="00BD6314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EB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18DAE1D" w14:textId="27F9487E" w:rsidR="00836EB8" w:rsidRPr="00836EB8" w:rsidRDefault="00836EB8" w:rsidP="00BD63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вышеназванных тезисов, можно сделать вывод о том, что основные методы уменьшения радиуса контролируемой зоны основаны на методах уменьшения ПЭМИН, создаваемом подконтрольными ТСОИ.</w:t>
      </w:r>
    </w:p>
    <w:sectPr w:rsidR="00836EB8" w:rsidRPr="00836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577A3"/>
    <w:multiLevelType w:val="hybridMultilevel"/>
    <w:tmpl w:val="E9A28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F8E3D48"/>
    <w:multiLevelType w:val="hybridMultilevel"/>
    <w:tmpl w:val="6B842C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54"/>
    <w:rsid w:val="0029345B"/>
    <w:rsid w:val="002B1C54"/>
    <w:rsid w:val="007A3E52"/>
    <w:rsid w:val="00836EB8"/>
    <w:rsid w:val="00937188"/>
    <w:rsid w:val="00A074AD"/>
    <w:rsid w:val="00BD6314"/>
    <w:rsid w:val="00D0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ADED"/>
  <w15:chartTrackingRefBased/>
  <w15:docId w15:val="{308CFC19-E7DE-4E26-81C7-BE3A62E7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DC749-5918-480A-B952-54D4AB41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stud6-1</dc:creator>
  <cp:keywords/>
  <dc:description/>
  <cp:lastModifiedBy>Дмитрий Субботин</cp:lastModifiedBy>
  <cp:revision>2</cp:revision>
  <dcterms:created xsi:type="dcterms:W3CDTF">2018-02-09T14:32:00Z</dcterms:created>
  <dcterms:modified xsi:type="dcterms:W3CDTF">2018-04-19T16:04:00Z</dcterms:modified>
</cp:coreProperties>
</file>