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3078" w14:textId="77777777" w:rsidR="00CC3845" w:rsidRPr="00DC00C7" w:rsidRDefault="0099074B">
      <w:pPr>
        <w:spacing w:after="120"/>
        <w:rPr>
          <w:rFonts w:ascii="Century Gothic" w:hAnsi="Century Gothic"/>
        </w:rPr>
      </w:pPr>
      <w:r w:rsidRPr="00DC00C7">
        <w:rPr>
          <w:rFonts w:ascii="Century Gothic" w:hAnsi="Century Gothic"/>
          <w:color w:val="595959"/>
        </w:rPr>
        <w:t>Vantage Specialty Chemicals</w:t>
      </w:r>
    </w:p>
    <w:p w14:paraId="75EA61E6" w14:textId="77777777" w:rsidR="00CC3845" w:rsidRPr="00DC00C7" w:rsidRDefault="0099074B">
      <w:pPr>
        <w:pBdr>
          <w:bottom w:val="single" w:sz="16" w:space="6" w:color="1A6B3C"/>
        </w:pBdr>
        <w:spacing w:after="80"/>
        <w:rPr>
          <w:rFonts w:ascii="Century Gothic" w:hAnsi="Century Gothic"/>
        </w:rPr>
      </w:pPr>
      <w:r w:rsidRPr="00DC00C7">
        <w:rPr>
          <w:rFonts w:ascii="Century Gothic" w:hAnsi="Century Gothic"/>
          <w:b/>
          <w:bCs/>
          <w:color w:val="1A6B3C"/>
          <w:sz w:val="36"/>
          <w:szCs w:val="36"/>
        </w:rPr>
        <w:t>REACH Compliance Supplier Assessment Procedure</w:t>
      </w:r>
    </w:p>
    <w:p w14:paraId="3BBA9A62" w14:textId="77777777" w:rsidR="00CC3845" w:rsidRPr="00DC00C7" w:rsidRDefault="0099074B">
      <w:pPr>
        <w:spacing w:before="80" w:after="240"/>
        <w:rPr>
          <w:rFonts w:ascii="Century Gothic" w:hAnsi="Century Gothic"/>
        </w:rPr>
      </w:pPr>
      <w:r w:rsidRPr="00DC00C7">
        <w:rPr>
          <w:rFonts w:ascii="Century Gothic" w:hAnsi="Century Gothic"/>
          <w:i/>
          <w:iCs/>
          <w:color w:val="595959"/>
          <w:sz w:val="18"/>
          <w:szCs w:val="18"/>
        </w:rPr>
        <w:t>Procedure No. REG-REACH-</w:t>
      </w:r>
      <w:proofErr w:type="gramStart"/>
      <w:r w:rsidRPr="00DC00C7">
        <w:rPr>
          <w:rFonts w:ascii="Century Gothic" w:hAnsi="Century Gothic"/>
          <w:i/>
          <w:iCs/>
          <w:color w:val="595959"/>
          <w:sz w:val="18"/>
          <w:szCs w:val="18"/>
        </w:rPr>
        <w:t>001  |</w:t>
      </w:r>
      <w:proofErr w:type="gramEnd"/>
      <w:r w:rsidRPr="00DC00C7">
        <w:rPr>
          <w:rFonts w:ascii="Century Gothic" w:hAnsi="Century Gothic"/>
          <w:i/>
          <w:iCs/>
          <w:color w:val="595959"/>
          <w:sz w:val="18"/>
          <w:szCs w:val="18"/>
        </w:rPr>
        <w:t xml:space="preserve">  Effective: April </w:t>
      </w:r>
      <w:proofErr w:type="gramStart"/>
      <w:r w:rsidRPr="00DC00C7">
        <w:rPr>
          <w:rFonts w:ascii="Century Gothic" w:hAnsi="Century Gothic"/>
          <w:i/>
          <w:iCs/>
          <w:color w:val="595959"/>
          <w:sz w:val="18"/>
          <w:szCs w:val="18"/>
        </w:rPr>
        <w:t>2026  |</w:t>
      </w:r>
      <w:proofErr w:type="gramEnd"/>
      <w:r w:rsidRPr="00DC00C7">
        <w:rPr>
          <w:rFonts w:ascii="Century Gothic" w:hAnsi="Century Gothic"/>
          <w:i/>
          <w:iCs/>
          <w:color w:val="595959"/>
          <w:sz w:val="18"/>
          <w:szCs w:val="18"/>
        </w:rPr>
        <w:t xml:space="preserve">  Owner: Regulatory Affairs / Procurement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3845" w:rsidRPr="00DC00C7" w14:paraId="18CEF98E"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A6B3C"/>
            <w:tcMar>
              <w:top w:w="100" w:type="dxa"/>
              <w:left w:w="120" w:type="dxa"/>
              <w:bottom w:w="100" w:type="dxa"/>
              <w:right w:w="120" w:type="dxa"/>
            </w:tcMar>
          </w:tcPr>
          <w:p w14:paraId="00C175C0" w14:textId="77777777" w:rsidR="00CC3845" w:rsidRPr="00DC00C7" w:rsidRDefault="0099074B">
            <w:pPr>
              <w:rPr>
                <w:rFonts w:ascii="Century Gothic" w:hAnsi="Century Gothic"/>
              </w:rPr>
            </w:pPr>
            <w:r w:rsidRPr="00DC00C7">
              <w:rPr>
                <w:rFonts w:ascii="Century Gothic" w:hAnsi="Century Gothic"/>
                <w:b/>
                <w:bCs/>
                <w:color w:val="FFFFFF"/>
              </w:rPr>
              <w:t>DOCUMENT CONTROL</w:t>
            </w:r>
          </w:p>
        </w:tc>
      </w:tr>
      <w:tr w:rsidR="00CC3845" w:rsidRPr="00DC00C7" w14:paraId="5F8DD9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74875E8" w14:textId="77777777" w:rsidR="00CC3845" w:rsidRPr="00DC00C7" w:rsidRDefault="0099074B">
            <w:pPr>
              <w:rPr>
                <w:rFonts w:ascii="Century Gothic" w:hAnsi="Century Gothic"/>
              </w:rPr>
            </w:pPr>
            <w:r w:rsidRPr="00DC00C7">
              <w:rPr>
                <w:rFonts w:ascii="Century Gothic" w:hAnsi="Century Gothic"/>
                <w:b/>
                <w:bCs/>
                <w:color w:val="1A6B3C"/>
                <w:sz w:val="18"/>
                <w:szCs w:val="18"/>
              </w:rPr>
              <w:t>Document Owner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028E7" w14:textId="77777777" w:rsidR="00CC3845" w:rsidRPr="00DC00C7" w:rsidRDefault="0099074B">
            <w:pPr>
              <w:rPr>
                <w:rFonts w:ascii="Century Gothic" w:hAnsi="Century Gothic"/>
              </w:rPr>
            </w:pPr>
            <w:r w:rsidRPr="00DC00C7">
              <w:rPr>
                <w:rFonts w:ascii="Century Gothic" w:hAnsi="Century Gothic"/>
                <w:sz w:val="18"/>
                <w:szCs w:val="18"/>
              </w:rPr>
              <w:t>Regulatory Affairs / Procurement</w:t>
            </w:r>
          </w:p>
        </w:tc>
      </w:tr>
      <w:tr w:rsidR="00CC3845" w:rsidRPr="00DC00C7" w14:paraId="5F8AD18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FCB6A02" w14:textId="77777777" w:rsidR="00CC3845" w:rsidRPr="00DC00C7" w:rsidRDefault="0099074B">
            <w:pPr>
              <w:rPr>
                <w:rFonts w:ascii="Century Gothic" w:hAnsi="Century Gothic"/>
              </w:rPr>
            </w:pPr>
            <w:r w:rsidRPr="00DC00C7">
              <w:rPr>
                <w:rFonts w:ascii="Century Gothic" w:hAnsi="Century Gothic"/>
                <w:b/>
                <w:bCs/>
                <w:color w:val="1A6B3C"/>
                <w:sz w:val="18"/>
                <w:szCs w:val="18"/>
              </w:rPr>
              <w:t>Approved By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EBCB9" w14:textId="77777777" w:rsidR="00CC3845" w:rsidRPr="00DC00C7" w:rsidRDefault="0099074B">
            <w:pPr>
              <w:rPr>
                <w:rFonts w:ascii="Century Gothic" w:hAnsi="Century Gothic"/>
              </w:rPr>
            </w:pPr>
            <w:r w:rsidRPr="00DC00C7">
              <w:rPr>
                <w:rFonts w:ascii="Century Gothic" w:hAnsi="Century Gothic"/>
                <w:sz w:val="18"/>
                <w:szCs w:val="18"/>
              </w:rPr>
              <w:t>VP, Legal &amp; Compliance</w:t>
            </w:r>
          </w:p>
        </w:tc>
      </w:tr>
      <w:tr w:rsidR="00CC3845" w:rsidRPr="00DC00C7" w14:paraId="4760926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B96384F" w14:textId="77777777" w:rsidR="00CC3845" w:rsidRPr="00DC00C7" w:rsidRDefault="0099074B">
            <w:pPr>
              <w:rPr>
                <w:rFonts w:ascii="Century Gothic" w:hAnsi="Century Gothic"/>
              </w:rPr>
            </w:pPr>
            <w:r w:rsidRPr="00DC00C7">
              <w:rPr>
                <w:rFonts w:ascii="Century Gothic" w:hAnsi="Century Gothic"/>
                <w:b/>
                <w:bCs/>
                <w:color w:val="1A6B3C"/>
                <w:sz w:val="18"/>
                <w:szCs w:val="18"/>
              </w:rPr>
              <w:t>Effective 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14F9" w14:textId="77777777" w:rsidR="00CC3845" w:rsidRPr="00DC00C7" w:rsidRDefault="0099074B">
            <w:pPr>
              <w:rPr>
                <w:rFonts w:ascii="Century Gothic" w:hAnsi="Century Gothic"/>
              </w:rPr>
            </w:pPr>
            <w:r w:rsidRPr="00DC00C7">
              <w:rPr>
                <w:rFonts w:ascii="Century Gothic" w:hAnsi="Century Gothic"/>
                <w:sz w:val="18"/>
                <w:szCs w:val="18"/>
              </w:rPr>
              <w:t>April 2026</w:t>
            </w:r>
          </w:p>
        </w:tc>
      </w:tr>
      <w:tr w:rsidR="00CC3845" w:rsidRPr="00DC00C7" w14:paraId="2DD42EB6"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EDDAD05" w14:textId="77777777" w:rsidR="00CC3845" w:rsidRPr="00DC00C7" w:rsidRDefault="0099074B">
            <w:pPr>
              <w:rPr>
                <w:rFonts w:ascii="Century Gothic" w:hAnsi="Century Gothic"/>
              </w:rPr>
            </w:pPr>
            <w:r w:rsidRPr="00DC00C7">
              <w:rPr>
                <w:rFonts w:ascii="Century Gothic" w:hAnsi="Century Gothic"/>
                <w:b/>
                <w:bCs/>
                <w:color w:val="1A6B3C"/>
                <w:sz w:val="18"/>
                <w:szCs w:val="18"/>
              </w:rPr>
              <w:t>Review Cycle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381B6" w14:textId="77777777" w:rsidR="00CC3845" w:rsidRPr="00DC00C7" w:rsidRDefault="0099074B">
            <w:pPr>
              <w:rPr>
                <w:rFonts w:ascii="Century Gothic" w:hAnsi="Century Gothic"/>
              </w:rPr>
            </w:pPr>
            <w:r w:rsidRPr="00DC00C7">
              <w:rPr>
                <w:rFonts w:ascii="Century Gothic" w:hAnsi="Century Gothic"/>
                <w:sz w:val="18"/>
                <w:szCs w:val="18"/>
              </w:rPr>
              <w:t>Annual (or upon regulatory change)</w:t>
            </w:r>
          </w:p>
        </w:tc>
      </w:tr>
      <w:tr w:rsidR="00CC3845" w:rsidRPr="00DC00C7" w14:paraId="4F1604EA"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010BEE1" w14:textId="77777777" w:rsidR="00CC3845" w:rsidRPr="00DC00C7" w:rsidRDefault="0099074B">
            <w:pPr>
              <w:rPr>
                <w:rFonts w:ascii="Century Gothic" w:hAnsi="Century Gothic"/>
              </w:rPr>
            </w:pPr>
            <w:r w:rsidRPr="00DC00C7">
              <w:rPr>
                <w:rFonts w:ascii="Century Gothic" w:hAnsi="Century Gothic"/>
                <w:b/>
                <w:bCs/>
                <w:color w:val="1A6B3C"/>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79182" w14:textId="77777777" w:rsidR="00CC3845" w:rsidRPr="00DC00C7" w:rsidRDefault="0099074B">
            <w:pPr>
              <w:rPr>
                <w:rFonts w:ascii="Century Gothic" w:hAnsi="Century Gothic"/>
              </w:rPr>
            </w:pPr>
            <w:r w:rsidRPr="00DC00C7">
              <w:rPr>
                <w:rFonts w:ascii="Century Gothic" w:hAnsi="Century Gothic"/>
                <w:sz w:val="18"/>
                <w:szCs w:val="18"/>
              </w:rPr>
              <w:t>1.0</w:t>
            </w:r>
          </w:p>
        </w:tc>
      </w:tr>
      <w:tr w:rsidR="00CC3845" w:rsidRPr="00DC00C7" w14:paraId="108F7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1AC752F0" w14:textId="77777777" w:rsidR="00CC3845" w:rsidRPr="00DC00C7" w:rsidRDefault="0099074B">
            <w:pPr>
              <w:rPr>
                <w:rFonts w:ascii="Century Gothic" w:hAnsi="Century Gothic"/>
              </w:rPr>
            </w:pPr>
            <w:r w:rsidRPr="00DC00C7">
              <w:rPr>
                <w:rFonts w:ascii="Century Gothic" w:hAnsi="Century Gothic"/>
                <w:b/>
                <w:bCs/>
                <w:color w:val="1A6B3C"/>
                <w:sz w:val="18"/>
                <w:szCs w:val="18"/>
              </w:rPr>
              <w:t>Related 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57110" w14:textId="77777777" w:rsidR="00CC3845" w:rsidRPr="00DC00C7" w:rsidRDefault="0099074B">
            <w:pPr>
              <w:rPr>
                <w:rFonts w:ascii="Century Gothic" w:hAnsi="Century Gothic"/>
              </w:rPr>
            </w:pPr>
            <w:proofErr w:type="spellStart"/>
            <w:r w:rsidRPr="00DC00C7">
              <w:rPr>
                <w:rFonts w:ascii="Century Gothic" w:hAnsi="Century Gothic"/>
                <w:sz w:val="18"/>
                <w:szCs w:val="18"/>
              </w:rPr>
              <w:t>EcoVadis</w:t>
            </w:r>
            <w:proofErr w:type="spellEnd"/>
            <w:r w:rsidRPr="00DC00C7">
              <w:rPr>
                <w:rFonts w:ascii="Century Gothic" w:hAnsi="Century Gothic"/>
                <w:sz w:val="18"/>
                <w:szCs w:val="18"/>
              </w:rPr>
              <w:t xml:space="preserve"> Sustainable Procurement; EU REACH Regulation (EC) No 1907/2006</w:t>
            </w:r>
          </w:p>
        </w:tc>
      </w:tr>
    </w:tbl>
    <w:p w14:paraId="360208EE"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1</w:t>
      </w:r>
      <w:proofErr w:type="gramStart"/>
      <w:r w:rsidRPr="00DC00C7">
        <w:rPr>
          <w:rFonts w:ascii="Century Gothic" w:hAnsi="Century Gothic"/>
        </w:rPr>
        <w:t>.  Purpose</w:t>
      </w:r>
      <w:proofErr w:type="gramEnd"/>
    </w:p>
    <w:p w14:paraId="071D658F" w14:textId="7A7B1BE6" w:rsidR="00CC3845" w:rsidRPr="00DC00C7" w:rsidRDefault="0099074B">
      <w:pPr>
        <w:spacing w:before="80" w:after="80"/>
        <w:rPr>
          <w:rFonts w:ascii="Century Gothic" w:hAnsi="Century Gothic"/>
        </w:rPr>
      </w:pPr>
      <w:r w:rsidRPr="00DC00C7">
        <w:rPr>
          <w:rFonts w:ascii="Century Gothic" w:hAnsi="Century Gothic"/>
          <w:color w:val="000000"/>
        </w:rPr>
        <w:t xml:space="preserve">This procedure establishes Vantage Specialty Chemicals' formal process for assessing and documenting supplier compliance with the European Union REACH Regulation (EC) No 1907/2006 (Registration, Evaluation, </w:t>
      </w:r>
      <w:r w:rsidR="007C0163" w:rsidRPr="00DC00C7">
        <w:rPr>
          <w:rFonts w:ascii="Century Gothic" w:hAnsi="Century Gothic"/>
          <w:color w:val="000000"/>
        </w:rPr>
        <w:t>Authorization</w:t>
      </w:r>
      <w:r w:rsidRPr="00DC00C7">
        <w:rPr>
          <w:rFonts w:ascii="Century Gothic" w:hAnsi="Century Gothic"/>
          <w:color w:val="000000"/>
        </w:rPr>
        <w:t xml:space="preserve"> and Restriction of Chemicals). It ensures that REACH compliance status is systematically collected from raw material and substance suppliers, verified through Vantage's regulatory documentation process, and maintained as an auditable record.</w:t>
      </w:r>
    </w:p>
    <w:p w14:paraId="0DCDE34A" w14:textId="77777777" w:rsidR="00CC3845" w:rsidRPr="00DC00C7" w:rsidRDefault="0099074B">
      <w:pPr>
        <w:spacing w:before="80" w:after="80"/>
        <w:rPr>
          <w:rFonts w:ascii="Century Gothic" w:hAnsi="Century Gothic"/>
        </w:rPr>
      </w:pPr>
      <w:r w:rsidRPr="00DC00C7">
        <w:rPr>
          <w:rFonts w:ascii="Century Gothic" w:hAnsi="Century Gothic"/>
          <w:color w:val="000000"/>
        </w:rPr>
        <w:t xml:space="preserve">This procedure supports Vantage's obligations under </w:t>
      </w:r>
      <w:proofErr w:type="spellStart"/>
      <w:r w:rsidRPr="00DC00C7">
        <w:rPr>
          <w:rFonts w:ascii="Century Gothic" w:hAnsi="Century Gothic"/>
          <w:color w:val="000000"/>
        </w:rPr>
        <w:t>EcoVadis</w:t>
      </w:r>
      <w:proofErr w:type="spellEnd"/>
      <w:r w:rsidRPr="00DC00C7">
        <w:rPr>
          <w:rFonts w:ascii="Century Gothic" w:hAnsi="Century Gothic"/>
          <w:color w:val="000000"/>
        </w:rPr>
        <w:t xml:space="preserve"> and demonstrates a structured, evidence-based approach to chemical substance compliance across the supply chain.</w:t>
      </w:r>
    </w:p>
    <w:p w14:paraId="2CFF4EDB"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2</w:t>
      </w:r>
      <w:proofErr w:type="gramStart"/>
      <w:r w:rsidRPr="00DC00C7">
        <w:rPr>
          <w:rFonts w:ascii="Century Gothic" w:hAnsi="Century Gothic"/>
        </w:rPr>
        <w:t>.  Scope</w:t>
      </w:r>
      <w:proofErr w:type="gramEnd"/>
    </w:p>
    <w:p w14:paraId="5980FD5A" w14:textId="77777777" w:rsidR="00CC3845" w:rsidRPr="00DC00C7" w:rsidRDefault="0099074B">
      <w:pPr>
        <w:spacing w:before="80" w:after="80"/>
        <w:rPr>
          <w:rFonts w:ascii="Century Gothic" w:hAnsi="Century Gothic"/>
        </w:rPr>
      </w:pPr>
      <w:r w:rsidRPr="00DC00C7">
        <w:rPr>
          <w:rFonts w:ascii="Century Gothic" w:hAnsi="Century Gothic"/>
          <w:color w:val="000000"/>
        </w:rPr>
        <w:t>This procedure applies to:</w:t>
      </w:r>
    </w:p>
    <w:p w14:paraId="44843EB6"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All raw materials and chemical substances procured by Vantage Specialty Chemicals for use in finished product formulations</w:t>
      </w:r>
    </w:p>
    <w:p w14:paraId="20669DDE"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All Tier 1 suppliers of regulated substances, mixtures, or articles subject to REACH requirements</w:t>
      </w:r>
    </w:p>
    <w:p w14:paraId="1BC307A5"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All Vantage operating entities where REACH applies, including EU-based operations (Vantage Leuna, Vantage Spain) and US operations supplying into REACH-regulated markets</w:t>
      </w:r>
    </w:p>
    <w:p w14:paraId="24090F0C"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The Regulatory Affairs, Procurement, and Quality functions responsible for maintaining compliance documentation</w:t>
      </w:r>
    </w:p>
    <w:p w14:paraId="0A930B7D" w14:textId="77777777" w:rsidR="00CC3845" w:rsidRPr="00DC00C7" w:rsidRDefault="00CC3845">
      <w:pPr>
        <w:spacing w:before="160"/>
        <w:rPr>
          <w:rFonts w:ascii="Century Gothic" w:hAnsi="Century Gothic"/>
        </w:rPr>
      </w:pPr>
    </w:p>
    <w:p w14:paraId="462C82DE"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3</w:t>
      </w:r>
      <w:proofErr w:type="gramStart"/>
      <w:r w:rsidRPr="00DC00C7">
        <w:rPr>
          <w:rFonts w:ascii="Century Gothic" w:hAnsi="Century Gothic"/>
        </w:rPr>
        <w:t>.  Regulatory</w:t>
      </w:r>
      <w:proofErr w:type="gramEnd"/>
      <w:r w:rsidRPr="00DC00C7">
        <w:rPr>
          <w:rFonts w:ascii="Century Gothic" w:hAnsi="Century Gothic"/>
        </w:rPr>
        <w:t xml:space="preserve"> Background</w:t>
      </w:r>
    </w:p>
    <w:p w14:paraId="34A54AED" w14:textId="77777777" w:rsidR="00CC3845" w:rsidRPr="00DC00C7" w:rsidRDefault="0099074B">
      <w:pPr>
        <w:spacing w:before="80" w:after="80"/>
        <w:rPr>
          <w:rFonts w:ascii="Century Gothic" w:hAnsi="Century Gothic"/>
        </w:rPr>
      </w:pPr>
      <w:r w:rsidRPr="00DC00C7">
        <w:rPr>
          <w:rFonts w:ascii="Century Gothic" w:hAnsi="Century Gothic"/>
          <w:color w:val="000000"/>
        </w:rPr>
        <w:t xml:space="preserve">REACH requires that chemical substances manufactured or imported into the EU in quantities of one </w:t>
      </w:r>
      <w:proofErr w:type="spellStart"/>
      <w:r w:rsidRPr="00DC00C7">
        <w:rPr>
          <w:rFonts w:ascii="Century Gothic" w:hAnsi="Century Gothic"/>
          <w:color w:val="000000"/>
        </w:rPr>
        <w:t>tonne</w:t>
      </w:r>
      <w:proofErr w:type="spellEnd"/>
      <w:r w:rsidRPr="00DC00C7">
        <w:rPr>
          <w:rFonts w:ascii="Century Gothic" w:hAnsi="Century Gothic"/>
          <w:color w:val="000000"/>
        </w:rPr>
        <w:t xml:space="preserve"> or more per year be registered with the European Chemicals Agency (ECHA). Key obligations relevant to Vantage's supply chain include:</w:t>
      </w:r>
    </w:p>
    <w:p w14:paraId="44383C7D"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Substance Registration: Suppliers must confirm that substances are registered with ECHA at or above the applicable volume threshold</w:t>
      </w:r>
    </w:p>
    <w:p w14:paraId="3C7571CF"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Safety Data Sheets (SDS): Suppliers must provide compliant SDS documents that include REACH registration numbers for substances where required</w:t>
      </w:r>
    </w:p>
    <w:p w14:paraId="009BE958"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lastRenderedPageBreak/>
        <w:t>SVHC Communication: Suppliers must disclose the presence of Substances of Very High Concern (SVHC) on the ECHA Candidate List in articles above 0.1% w/w</w:t>
      </w:r>
    </w:p>
    <w:p w14:paraId="785391F5"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Downstream User Obligations: Vantage, as a downstream user, must verify that the uses of substances are covered by suppliers' registrations or prepare a Chemical Safety Report if use is not covered</w:t>
      </w:r>
    </w:p>
    <w:p w14:paraId="39135EAA" w14:textId="77777777" w:rsidR="00CC3845" w:rsidRPr="00DC00C7" w:rsidRDefault="00CC3845">
      <w:pPr>
        <w:spacing w:before="160"/>
        <w:rPr>
          <w:rFonts w:ascii="Century Gothic" w:hAnsi="Century Gothic"/>
        </w:rPr>
      </w:pPr>
    </w:p>
    <w:p w14:paraId="37236C1C"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4</w:t>
      </w:r>
      <w:proofErr w:type="gramStart"/>
      <w:r w:rsidRPr="00DC00C7">
        <w:rPr>
          <w:rFonts w:ascii="Century Gothic" w:hAnsi="Century Gothic"/>
        </w:rPr>
        <w:t>.  Procedure</w:t>
      </w:r>
      <w:proofErr w:type="gramEnd"/>
    </w:p>
    <w:p w14:paraId="64F74B88" w14:textId="77777777" w:rsidR="00CC3845" w:rsidRPr="00DC00C7" w:rsidRDefault="0099074B">
      <w:pPr>
        <w:pStyle w:val="Heading2"/>
        <w:rPr>
          <w:rFonts w:ascii="Century Gothic" w:hAnsi="Century Gothic"/>
        </w:rPr>
      </w:pPr>
      <w:proofErr w:type="gramStart"/>
      <w:r w:rsidRPr="00DC00C7">
        <w:rPr>
          <w:rFonts w:ascii="Century Gothic" w:hAnsi="Century Gothic"/>
        </w:rPr>
        <w:t>4.1  Supplier</w:t>
      </w:r>
      <w:proofErr w:type="gramEnd"/>
      <w:r w:rsidRPr="00DC00C7">
        <w:rPr>
          <w:rFonts w:ascii="Century Gothic" w:hAnsi="Century Gothic"/>
        </w:rPr>
        <w:t xml:space="preserve"> REACH Compliance Collection</w:t>
      </w:r>
    </w:p>
    <w:p w14:paraId="7E1986AE" w14:textId="77777777" w:rsidR="00CC3845" w:rsidRPr="00DC00C7" w:rsidRDefault="0099074B">
      <w:pPr>
        <w:spacing w:before="80" w:after="80"/>
        <w:rPr>
          <w:rFonts w:ascii="Century Gothic" w:hAnsi="Century Gothic"/>
        </w:rPr>
      </w:pPr>
      <w:r w:rsidRPr="00DC00C7">
        <w:rPr>
          <w:rFonts w:ascii="Century Gothic" w:hAnsi="Century Gothic"/>
          <w:color w:val="000000"/>
        </w:rPr>
        <w:t>Vantage collects REACH compliance information from suppliers through two primary mechanisms:</w:t>
      </w:r>
    </w:p>
    <w:p w14:paraId="3450BF17" w14:textId="77777777" w:rsidR="00CC3845" w:rsidRPr="00DC00C7" w:rsidRDefault="0099074B">
      <w:pPr>
        <w:spacing w:before="80" w:after="40"/>
        <w:rPr>
          <w:rFonts w:ascii="Century Gothic" w:hAnsi="Century Gothic"/>
        </w:rPr>
      </w:pPr>
      <w:r w:rsidRPr="00DC00C7">
        <w:rPr>
          <w:rFonts w:ascii="Century Gothic" w:hAnsi="Century Gothic"/>
          <w:b/>
          <w:bCs/>
        </w:rPr>
        <w:t>a</w:t>
      </w:r>
      <w:proofErr w:type="gramStart"/>
      <w:r w:rsidRPr="00DC00C7">
        <w:rPr>
          <w:rFonts w:ascii="Century Gothic" w:hAnsi="Century Gothic"/>
          <w:b/>
          <w:bCs/>
        </w:rPr>
        <w:t>)  Regulatory</w:t>
      </w:r>
      <w:proofErr w:type="gramEnd"/>
      <w:r w:rsidRPr="00DC00C7">
        <w:rPr>
          <w:rFonts w:ascii="Century Gothic" w:hAnsi="Century Gothic"/>
          <w:b/>
          <w:bCs/>
        </w:rPr>
        <w:t xml:space="preserve"> Data Sheets (RDS)</w:t>
      </w:r>
    </w:p>
    <w:p w14:paraId="18BFB531" w14:textId="77777777" w:rsidR="00CC3845" w:rsidRPr="00DC00C7" w:rsidRDefault="0099074B">
      <w:pPr>
        <w:spacing w:before="80" w:after="80"/>
        <w:rPr>
          <w:rFonts w:ascii="Century Gothic" w:hAnsi="Century Gothic"/>
        </w:rPr>
      </w:pPr>
      <w:r w:rsidRPr="00DC00C7">
        <w:rPr>
          <w:rFonts w:ascii="Century Gothic" w:hAnsi="Century Gothic"/>
          <w:color w:val="000000"/>
        </w:rPr>
        <w:t>Vantage maintains Regulatory Data Sheets for each product in its portfolio. Each RDS includes an explicit REACH compliance statement that confirms the REACH registration status of key substances in the relevant product. The REACH statements contained in these documents are generated based on information received from raw material suppliers, including ECHA registration numbers, SDS documentation, and SVHC disclosures. Regulatory Affairs is responsible for maintaining and updating RDS documents.</w:t>
      </w:r>
    </w:p>
    <w:p w14:paraId="58D9C7CC" w14:textId="77777777" w:rsidR="00CC3845" w:rsidRPr="00DC00C7" w:rsidRDefault="0099074B">
      <w:pPr>
        <w:pStyle w:val="Heading2"/>
        <w:rPr>
          <w:rFonts w:ascii="Century Gothic" w:hAnsi="Century Gothic"/>
        </w:rPr>
      </w:pPr>
      <w:proofErr w:type="gramStart"/>
      <w:r w:rsidRPr="00DC00C7">
        <w:rPr>
          <w:rFonts w:ascii="Century Gothic" w:hAnsi="Century Gothic"/>
        </w:rPr>
        <w:t>4.2  Verification</w:t>
      </w:r>
      <w:proofErr w:type="gramEnd"/>
      <w:r w:rsidRPr="00DC00C7">
        <w:rPr>
          <w:rFonts w:ascii="Century Gothic" w:hAnsi="Century Gothic"/>
        </w:rPr>
        <w:t xml:space="preserve"> of REACH Compliance</w:t>
      </w:r>
    </w:p>
    <w:p w14:paraId="35D2C20A" w14:textId="77777777" w:rsidR="00CC3845" w:rsidRPr="00DC00C7" w:rsidRDefault="0099074B">
      <w:pPr>
        <w:spacing w:before="80" w:after="80"/>
        <w:rPr>
          <w:rFonts w:ascii="Century Gothic" w:hAnsi="Century Gothic"/>
        </w:rPr>
      </w:pPr>
      <w:r w:rsidRPr="00DC00C7">
        <w:rPr>
          <w:rFonts w:ascii="Century Gothic" w:hAnsi="Century Gothic"/>
          <w:color w:val="000000"/>
        </w:rPr>
        <w:t>Upon receipt of supplier REACH information, Regulatory Affairs shall:</w:t>
      </w:r>
    </w:p>
    <w:p w14:paraId="716AC6CE"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Review ECHA registration numbers for accuracy and confirm substances are registered at the appropriate volume band</w:t>
      </w:r>
    </w:p>
    <w:p w14:paraId="2859D07D"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Verify that SDS documents reference valid REACH registrations and are updated in accordance with REACH Annex II requirements</w:t>
      </w:r>
    </w:p>
    <w:p w14:paraId="18A0046F"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Confirm that any SVHC disclosures are reflected in Vantage's product documentation and communicated to customers as required</w:t>
      </w:r>
    </w:p>
    <w:p w14:paraId="4DD6D291"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Flag any gaps or non-conformances to Procurement for supplier follow-up</w:t>
      </w:r>
    </w:p>
    <w:p w14:paraId="4558E003" w14:textId="77777777" w:rsidR="00CC3845" w:rsidRPr="00DC00C7" w:rsidRDefault="0099074B">
      <w:pPr>
        <w:pStyle w:val="Heading2"/>
        <w:rPr>
          <w:rFonts w:ascii="Century Gothic" w:hAnsi="Century Gothic"/>
        </w:rPr>
      </w:pPr>
      <w:proofErr w:type="gramStart"/>
      <w:r w:rsidRPr="00DC00C7">
        <w:rPr>
          <w:rFonts w:ascii="Century Gothic" w:hAnsi="Century Gothic"/>
        </w:rPr>
        <w:t>4.3  Review</w:t>
      </w:r>
      <w:proofErr w:type="gramEnd"/>
      <w:r w:rsidRPr="00DC00C7">
        <w:rPr>
          <w:rFonts w:ascii="Century Gothic" w:hAnsi="Century Gothic"/>
        </w:rPr>
        <w:t xml:space="preserve"> Cycle and Triggers</w:t>
      </w:r>
    </w:p>
    <w:p w14:paraId="7D96BD09" w14:textId="77777777" w:rsidR="00CC3845" w:rsidRPr="00DC00C7" w:rsidRDefault="0099074B">
      <w:pPr>
        <w:spacing w:before="80" w:after="80"/>
        <w:rPr>
          <w:rFonts w:ascii="Century Gothic" w:hAnsi="Century Gothic"/>
        </w:rPr>
      </w:pPr>
      <w:r w:rsidRPr="00DC00C7">
        <w:rPr>
          <w:rFonts w:ascii="Century Gothic" w:hAnsi="Century Gothic"/>
          <w:color w:val="000000"/>
        </w:rPr>
        <w:t>REACH compliance information shall be reviewed on the following basis:</w:t>
      </w:r>
    </w:p>
    <w:p w14:paraId="1ADEFC55"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Annual Review: Regulatory Affairs reviews all active product RDS documents annually to confirm REACH statements remain current</w:t>
      </w:r>
    </w:p>
    <w:p w14:paraId="7782F84E"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New Substance Introduction: Any new raw material or substance introduced into a Vantage formulation triggers a REACH verification prior to use</w:t>
      </w:r>
    </w:p>
    <w:p w14:paraId="767CC7B6"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Regulatory Updates: ECHA Candidate List updates (published twice annually) are monitored; any new SVHC additions are assessed against Vantage's raw material portfolio within 60 days of publication</w:t>
      </w:r>
    </w:p>
    <w:p w14:paraId="2C06893B"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Supplier Change: A change of supplier for an existing substance triggers re-verification of REACH registration status</w:t>
      </w:r>
    </w:p>
    <w:p w14:paraId="11CB5682" w14:textId="77777777" w:rsidR="00CC3845" w:rsidRPr="00DC00C7" w:rsidRDefault="0099074B">
      <w:pPr>
        <w:pStyle w:val="Heading2"/>
        <w:rPr>
          <w:rFonts w:ascii="Century Gothic" w:hAnsi="Century Gothic"/>
        </w:rPr>
      </w:pPr>
      <w:proofErr w:type="gramStart"/>
      <w:r w:rsidRPr="00DC00C7">
        <w:rPr>
          <w:rFonts w:ascii="Century Gothic" w:hAnsi="Century Gothic"/>
        </w:rPr>
        <w:t>4.4  Non</w:t>
      </w:r>
      <w:proofErr w:type="gramEnd"/>
      <w:r w:rsidRPr="00DC00C7">
        <w:rPr>
          <w:rFonts w:ascii="Century Gothic" w:hAnsi="Century Gothic"/>
        </w:rPr>
        <w:t>-Compliance Escalation</w:t>
      </w:r>
    </w:p>
    <w:p w14:paraId="40C263F0" w14:textId="77777777" w:rsidR="00CC3845" w:rsidRPr="00DC00C7" w:rsidRDefault="0099074B">
      <w:pPr>
        <w:spacing w:before="80" w:after="80"/>
        <w:rPr>
          <w:rFonts w:ascii="Century Gothic" w:hAnsi="Century Gothic"/>
        </w:rPr>
      </w:pPr>
      <w:r w:rsidRPr="00DC00C7">
        <w:rPr>
          <w:rFonts w:ascii="Century Gothic" w:hAnsi="Century Gothic"/>
          <w:color w:val="000000"/>
        </w:rPr>
        <w:t>If a supplier is unable to confirm REACH compliance for a substance supplied to Vantage, the following escalation process applies:</w:t>
      </w:r>
    </w:p>
    <w:p w14:paraId="7C80B631" w14:textId="054CB106"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 xml:space="preserve">Procurement notifies Regulatory Affairs and Legal </w:t>
      </w:r>
      <w:r w:rsidR="00DC00C7">
        <w:rPr>
          <w:rFonts w:ascii="Century Gothic" w:hAnsi="Century Gothic"/>
        </w:rPr>
        <w:t xml:space="preserve">after </w:t>
      </w:r>
      <w:r w:rsidRPr="00DC00C7">
        <w:rPr>
          <w:rFonts w:ascii="Century Gothic" w:hAnsi="Century Gothic"/>
        </w:rPr>
        <w:t>identifying a gap</w:t>
      </w:r>
    </w:p>
    <w:p w14:paraId="70DA64FE"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Regulatory Affairs assesses whether Vantage can continue to use the substance and under what conditions</w:t>
      </w:r>
    </w:p>
    <w:p w14:paraId="05615365"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lastRenderedPageBreak/>
        <w:t>If continued use is not possible without supplier REACH registration, Procurement initiates a supplier substitution process</w:t>
      </w:r>
    </w:p>
    <w:p w14:paraId="01C90B8F"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All non-compliance incidents and resolutions are documented in Vantage's supplier compliance records</w:t>
      </w:r>
    </w:p>
    <w:p w14:paraId="18CD1377" w14:textId="77777777" w:rsidR="00CC3845" w:rsidRPr="00DC00C7" w:rsidRDefault="0099074B">
      <w:pPr>
        <w:pStyle w:val="Heading2"/>
        <w:rPr>
          <w:rFonts w:ascii="Century Gothic" w:hAnsi="Century Gothic"/>
        </w:rPr>
      </w:pPr>
      <w:proofErr w:type="gramStart"/>
      <w:r w:rsidRPr="00DC00C7">
        <w:rPr>
          <w:rFonts w:ascii="Century Gothic" w:hAnsi="Century Gothic"/>
        </w:rPr>
        <w:t>4.5  Documentation</w:t>
      </w:r>
      <w:proofErr w:type="gramEnd"/>
      <w:r w:rsidRPr="00DC00C7">
        <w:rPr>
          <w:rFonts w:ascii="Century Gothic" w:hAnsi="Century Gothic"/>
        </w:rPr>
        <w:t xml:space="preserve"> and Record Retention</w:t>
      </w:r>
    </w:p>
    <w:p w14:paraId="0E707DA6" w14:textId="77777777" w:rsidR="00CC3845" w:rsidRPr="00DC00C7" w:rsidRDefault="0099074B">
      <w:pPr>
        <w:spacing w:before="80" w:after="80"/>
        <w:rPr>
          <w:rFonts w:ascii="Century Gothic" w:hAnsi="Century Gothic"/>
        </w:rPr>
      </w:pPr>
      <w:r w:rsidRPr="00DC00C7">
        <w:rPr>
          <w:rFonts w:ascii="Century Gothic" w:hAnsi="Century Gothic"/>
          <w:color w:val="000000"/>
        </w:rPr>
        <w:t>The following records shall be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CC3845" w:rsidRPr="00DC00C7" w14:paraId="3591FD5A" w14:textId="77777777">
        <w:tc>
          <w:tcPr>
            <w:tcW w:w="36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C910361" w14:textId="77777777" w:rsidR="00CC3845" w:rsidRPr="00DC00C7" w:rsidRDefault="0099074B">
            <w:pPr>
              <w:rPr>
                <w:rFonts w:ascii="Century Gothic" w:hAnsi="Century Gothic"/>
              </w:rPr>
            </w:pPr>
            <w:r w:rsidRPr="00DC00C7">
              <w:rPr>
                <w:rFonts w:ascii="Century Gothic" w:hAnsi="Century Gothic"/>
                <w:b/>
                <w:bCs/>
                <w:color w:val="FFFFFF"/>
                <w:sz w:val="18"/>
                <w:szCs w:val="18"/>
              </w:rPr>
              <w:t>Record Type</w:t>
            </w:r>
          </w:p>
        </w:tc>
        <w:tc>
          <w:tcPr>
            <w:tcW w:w="33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23B4AF3" w14:textId="77777777" w:rsidR="00CC3845" w:rsidRPr="00DC00C7" w:rsidRDefault="0099074B">
            <w:pPr>
              <w:rPr>
                <w:rFonts w:ascii="Century Gothic" w:hAnsi="Century Gothic"/>
              </w:rPr>
            </w:pPr>
            <w:r w:rsidRPr="00DC00C7">
              <w:rPr>
                <w:rFonts w:ascii="Century Gothic" w:hAnsi="Century Gothic"/>
                <w:b/>
                <w:bCs/>
                <w:color w:val="FFFFFF"/>
                <w:sz w:val="18"/>
                <w:szCs w:val="18"/>
              </w:rPr>
              <w:t>Owner</w:t>
            </w:r>
          </w:p>
        </w:tc>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27B71449" w14:textId="77777777" w:rsidR="00CC3845" w:rsidRPr="00DC00C7" w:rsidRDefault="0099074B">
            <w:pPr>
              <w:rPr>
                <w:rFonts w:ascii="Century Gothic" w:hAnsi="Century Gothic"/>
              </w:rPr>
            </w:pPr>
            <w:r w:rsidRPr="00DC00C7">
              <w:rPr>
                <w:rFonts w:ascii="Century Gothic" w:hAnsi="Century Gothic"/>
                <w:b/>
                <w:bCs/>
                <w:color w:val="FFFFFF"/>
                <w:sz w:val="18"/>
                <w:szCs w:val="18"/>
              </w:rPr>
              <w:t>Retention Period</w:t>
            </w:r>
          </w:p>
        </w:tc>
      </w:tr>
      <w:tr w:rsidR="00CC3845" w:rsidRPr="00DC00C7" w14:paraId="593A131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2E74" w14:textId="77777777" w:rsidR="00CC3845" w:rsidRPr="00DC00C7" w:rsidRDefault="0099074B">
            <w:pPr>
              <w:rPr>
                <w:rFonts w:ascii="Century Gothic" w:hAnsi="Century Gothic"/>
              </w:rPr>
            </w:pPr>
            <w:r w:rsidRPr="00DC00C7">
              <w:rPr>
                <w:rFonts w:ascii="Century Gothic" w:hAnsi="Century Gothic"/>
                <w:sz w:val="18"/>
                <w:szCs w:val="18"/>
              </w:rPr>
              <w:t>Regulatory Data Sheets with REACH statements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D9ED" w14:textId="77777777" w:rsidR="00CC3845" w:rsidRPr="00DC00C7" w:rsidRDefault="0099074B">
            <w:pPr>
              <w:rPr>
                <w:rFonts w:ascii="Century Gothic" w:hAnsi="Century Gothic"/>
              </w:rPr>
            </w:pPr>
            <w:r w:rsidRPr="00DC00C7">
              <w:rPr>
                <w:rFonts w:ascii="Century Gothic" w:hAnsi="Century Gothic"/>
                <w:sz w:val="18"/>
                <w:szCs w:val="18"/>
              </w:rPr>
              <w:t>Regulatory Affairs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8455F" w14:textId="77777777" w:rsidR="00CC3845" w:rsidRPr="00DC00C7" w:rsidRDefault="0099074B">
            <w:pPr>
              <w:rPr>
                <w:rFonts w:ascii="Century Gothic" w:hAnsi="Century Gothic"/>
              </w:rPr>
            </w:pPr>
            <w:r w:rsidRPr="00DC00C7">
              <w:rPr>
                <w:rFonts w:ascii="Century Gothic" w:hAnsi="Century Gothic"/>
                <w:sz w:val="18"/>
                <w:szCs w:val="18"/>
              </w:rPr>
              <w:t>Product lifecycle + 10 years</w:t>
            </w:r>
          </w:p>
        </w:tc>
      </w:tr>
      <w:tr w:rsidR="00CC3845" w:rsidRPr="00DC00C7" w14:paraId="69407F8B"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3FC5C4A" w14:textId="77777777" w:rsidR="00CC3845" w:rsidRPr="00DC00C7" w:rsidRDefault="0099074B">
            <w:pPr>
              <w:rPr>
                <w:rFonts w:ascii="Century Gothic" w:hAnsi="Century Gothic"/>
              </w:rPr>
            </w:pPr>
            <w:r w:rsidRPr="00DC00C7">
              <w:rPr>
                <w:rFonts w:ascii="Century Gothic" w:hAnsi="Century Gothic"/>
                <w:sz w:val="18"/>
                <w:szCs w:val="18"/>
              </w:rPr>
              <w:t>Supplier SDS documents</w:t>
            </w:r>
          </w:p>
        </w:tc>
        <w:tc>
          <w:tcPr>
            <w:tcW w:w="336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36D3610" w14:textId="77777777" w:rsidR="00CC3845" w:rsidRPr="00DC00C7" w:rsidRDefault="0099074B">
            <w:pPr>
              <w:rPr>
                <w:rFonts w:ascii="Century Gothic" w:hAnsi="Century Gothic"/>
              </w:rPr>
            </w:pPr>
            <w:r w:rsidRPr="00DC00C7">
              <w:rPr>
                <w:rFonts w:ascii="Century Gothic" w:hAnsi="Century Gothic"/>
                <w:sz w:val="18"/>
                <w:szCs w:val="18"/>
              </w:rPr>
              <w:t>Regulatory Affairs / Procurement</w:t>
            </w:r>
          </w:p>
        </w:tc>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FBFB99D" w14:textId="77777777" w:rsidR="00CC3845" w:rsidRPr="00DC00C7" w:rsidRDefault="0099074B">
            <w:pPr>
              <w:rPr>
                <w:rFonts w:ascii="Century Gothic" w:hAnsi="Century Gothic"/>
              </w:rPr>
            </w:pPr>
            <w:r w:rsidRPr="00DC00C7">
              <w:rPr>
                <w:rFonts w:ascii="Century Gothic" w:hAnsi="Century Gothic"/>
                <w:sz w:val="18"/>
                <w:szCs w:val="18"/>
              </w:rPr>
              <w:t>10 years</w:t>
            </w:r>
          </w:p>
        </w:tc>
      </w:tr>
      <w:tr w:rsidR="00CC3845" w:rsidRPr="00DC00C7" w14:paraId="66A90910"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3731301" w14:textId="77777777" w:rsidR="00CC3845" w:rsidRPr="00DC00C7" w:rsidRDefault="0099074B">
            <w:pPr>
              <w:rPr>
                <w:rFonts w:ascii="Century Gothic" w:hAnsi="Century Gothic"/>
              </w:rPr>
            </w:pPr>
            <w:r w:rsidRPr="00DC00C7">
              <w:rPr>
                <w:rFonts w:ascii="Century Gothic" w:hAnsi="Century Gothic"/>
                <w:sz w:val="18"/>
                <w:szCs w:val="18"/>
              </w:rPr>
              <w:t>SVHC assessment records</w:t>
            </w:r>
          </w:p>
        </w:tc>
        <w:tc>
          <w:tcPr>
            <w:tcW w:w="336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0ACD106" w14:textId="77777777" w:rsidR="00CC3845" w:rsidRPr="00DC00C7" w:rsidRDefault="0099074B">
            <w:pPr>
              <w:rPr>
                <w:rFonts w:ascii="Century Gothic" w:hAnsi="Century Gothic"/>
              </w:rPr>
            </w:pPr>
            <w:r w:rsidRPr="00DC00C7">
              <w:rPr>
                <w:rFonts w:ascii="Century Gothic" w:hAnsi="Century Gothic"/>
                <w:sz w:val="18"/>
                <w:szCs w:val="18"/>
              </w:rPr>
              <w:t>Regulatory Affairs</w:t>
            </w:r>
          </w:p>
        </w:tc>
        <w:tc>
          <w:tcPr>
            <w:tcW w:w="24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0DBADD7" w14:textId="77777777" w:rsidR="00CC3845" w:rsidRPr="00DC00C7" w:rsidRDefault="0099074B">
            <w:pPr>
              <w:rPr>
                <w:rFonts w:ascii="Century Gothic" w:hAnsi="Century Gothic"/>
              </w:rPr>
            </w:pPr>
            <w:r w:rsidRPr="00DC00C7">
              <w:rPr>
                <w:rFonts w:ascii="Century Gothic" w:hAnsi="Century Gothic"/>
                <w:sz w:val="18"/>
                <w:szCs w:val="18"/>
              </w:rPr>
              <w:t>10 years</w:t>
            </w:r>
          </w:p>
        </w:tc>
      </w:tr>
      <w:tr w:rsidR="00CC3845" w:rsidRPr="00DC00C7" w14:paraId="56988E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A398" w14:textId="77777777" w:rsidR="00CC3845" w:rsidRPr="00DC00C7" w:rsidRDefault="0099074B">
            <w:pPr>
              <w:rPr>
                <w:rFonts w:ascii="Century Gothic" w:hAnsi="Century Gothic"/>
              </w:rPr>
            </w:pPr>
            <w:r w:rsidRPr="00DC00C7">
              <w:rPr>
                <w:rFonts w:ascii="Century Gothic" w:hAnsi="Century Gothic"/>
                <w:sz w:val="18"/>
                <w:szCs w:val="18"/>
              </w:rPr>
              <w:t>Non-compliance incident records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F6ED" w14:textId="77777777" w:rsidR="00CC3845" w:rsidRPr="00DC00C7" w:rsidRDefault="0099074B">
            <w:pPr>
              <w:rPr>
                <w:rFonts w:ascii="Century Gothic" w:hAnsi="Century Gothic"/>
              </w:rPr>
            </w:pPr>
            <w:r w:rsidRPr="00DC00C7">
              <w:rPr>
                <w:rFonts w:ascii="Century Gothic" w:hAnsi="Century Gothic"/>
                <w:sz w:val="18"/>
                <w:szCs w:val="18"/>
              </w:rPr>
              <w:t>Legal / Regulatory Affairs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D3E9" w14:textId="77777777" w:rsidR="00CC3845" w:rsidRPr="00DC00C7" w:rsidRDefault="0099074B">
            <w:pPr>
              <w:rPr>
                <w:rFonts w:ascii="Century Gothic" w:hAnsi="Century Gothic"/>
              </w:rPr>
            </w:pPr>
            <w:r w:rsidRPr="00DC00C7">
              <w:rPr>
                <w:rFonts w:ascii="Century Gothic" w:hAnsi="Century Gothic"/>
                <w:sz w:val="18"/>
                <w:szCs w:val="18"/>
              </w:rPr>
              <w:t>10 years</w:t>
            </w:r>
          </w:p>
        </w:tc>
      </w:tr>
    </w:tbl>
    <w:p w14:paraId="22D867EB"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5</w:t>
      </w:r>
      <w:proofErr w:type="gramStart"/>
      <w:r w:rsidRPr="00DC00C7">
        <w:rPr>
          <w:rFonts w:ascii="Century Gothic" w:hAnsi="Century Gothic"/>
        </w:rPr>
        <w:t>.  Roles</w:t>
      </w:r>
      <w:proofErr w:type="gramEnd"/>
      <w:r w:rsidRPr="00DC00C7">
        <w:rPr>
          <w:rFonts w:ascii="Century Gothic" w:hAnsi="Century Gothic"/>
        </w:rPr>
        <w:t xml:space="preserve">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845" w:rsidRPr="00DC00C7" w14:paraId="217C42D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317577E" w14:textId="77777777" w:rsidR="00CC3845" w:rsidRPr="00DC00C7" w:rsidRDefault="0099074B">
            <w:pPr>
              <w:rPr>
                <w:rFonts w:ascii="Century Gothic" w:hAnsi="Century Gothic"/>
              </w:rPr>
            </w:pPr>
            <w:r w:rsidRPr="00DC00C7">
              <w:rPr>
                <w:rFonts w:ascii="Century Gothic" w:hAnsi="Century Gothic"/>
                <w:b/>
                <w:bCs/>
                <w:color w:val="FFFFFF"/>
                <w:sz w:val="18"/>
                <w:szCs w:val="18"/>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18474A9" w14:textId="77777777" w:rsidR="00CC3845" w:rsidRPr="00DC00C7" w:rsidRDefault="0099074B">
            <w:pPr>
              <w:rPr>
                <w:rFonts w:ascii="Century Gothic" w:hAnsi="Century Gothic"/>
              </w:rPr>
            </w:pPr>
            <w:r w:rsidRPr="00DC00C7">
              <w:rPr>
                <w:rFonts w:ascii="Century Gothic" w:hAnsi="Century Gothic"/>
                <w:b/>
                <w:bCs/>
                <w:color w:val="FFFFFF"/>
                <w:sz w:val="18"/>
                <w:szCs w:val="18"/>
              </w:rPr>
              <w:t>Responsibility</w:t>
            </w:r>
          </w:p>
        </w:tc>
      </w:tr>
      <w:tr w:rsidR="00CC3845" w:rsidRPr="00DC00C7" w14:paraId="68498A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D554D" w14:textId="77777777" w:rsidR="00CC3845" w:rsidRPr="00DC00C7" w:rsidRDefault="0099074B">
            <w:pPr>
              <w:rPr>
                <w:rFonts w:ascii="Century Gothic" w:hAnsi="Century Gothic"/>
              </w:rPr>
            </w:pPr>
            <w:r w:rsidRPr="00DC00C7">
              <w:rPr>
                <w:rFonts w:ascii="Century Gothic" w:hAnsi="Century Gothic"/>
                <w:b/>
                <w:bCs/>
                <w:sz w:val="18"/>
                <w:szCs w:val="18"/>
              </w:rPr>
              <w:t>Regulatory Affairs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35F9" w14:textId="77777777" w:rsidR="00CC3845" w:rsidRPr="00DC00C7" w:rsidRDefault="0099074B">
            <w:pPr>
              <w:rPr>
                <w:rFonts w:ascii="Century Gothic" w:hAnsi="Century Gothic"/>
              </w:rPr>
            </w:pPr>
            <w:r w:rsidRPr="00DC00C7">
              <w:rPr>
                <w:rFonts w:ascii="Century Gothic" w:hAnsi="Century Gothic"/>
                <w:sz w:val="18"/>
                <w:szCs w:val="18"/>
              </w:rPr>
              <w:t>Maintains Regulatory Data Sheets; verifies supplier REACH registrations; monitors ECHA Candidate List updates; escalates non-compliance to Legal</w:t>
            </w:r>
          </w:p>
        </w:tc>
      </w:tr>
      <w:tr w:rsidR="00CC3845" w:rsidRPr="00DC00C7" w14:paraId="279399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8603DD5" w14:textId="77777777" w:rsidR="00CC3845" w:rsidRPr="00DC00C7" w:rsidRDefault="0099074B">
            <w:pPr>
              <w:rPr>
                <w:rFonts w:ascii="Century Gothic" w:hAnsi="Century Gothic"/>
              </w:rPr>
            </w:pPr>
            <w:r w:rsidRPr="00DC00C7">
              <w:rPr>
                <w:rFonts w:ascii="Century Gothic" w:hAnsi="Century Gothic"/>
                <w:b/>
                <w:bCs/>
                <w:sz w:val="18"/>
                <w:szCs w:val="18"/>
              </w:rPr>
              <w:t>Procurement</w:t>
            </w:r>
          </w:p>
        </w:tc>
        <w:tc>
          <w:tcPr>
            <w:tcW w:w="656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F310B84" w14:textId="4C35872F" w:rsidR="00CC3845" w:rsidRPr="00DC00C7" w:rsidRDefault="00DC00C7">
            <w:pPr>
              <w:rPr>
                <w:rFonts w:ascii="Century Gothic" w:hAnsi="Century Gothic"/>
              </w:rPr>
            </w:pPr>
            <w:r>
              <w:rPr>
                <w:rFonts w:ascii="Century Gothic" w:hAnsi="Century Gothic"/>
                <w:sz w:val="18"/>
                <w:szCs w:val="18"/>
              </w:rPr>
              <w:t>M</w:t>
            </w:r>
            <w:r w:rsidRPr="00DC00C7">
              <w:rPr>
                <w:rFonts w:ascii="Century Gothic" w:hAnsi="Century Gothic"/>
                <w:sz w:val="18"/>
                <w:szCs w:val="18"/>
              </w:rPr>
              <w:t>anages supplier relationships; executes non-compliance escalation and substitution</w:t>
            </w:r>
          </w:p>
        </w:tc>
      </w:tr>
      <w:tr w:rsidR="00CC3845" w:rsidRPr="00DC00C7" w14:paraId="39C843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AA17" w14:textId="77777777" w:rsidR="00CC3845" w:rsidRPr="00DC00C7" w:rsidRDefault="0099074B">
            <w:pPr>
              <w:rPr>
                <w:rFonts w:ascii="Century Gothic" w:hAnsi="Century Gothic"/>
              </w:rPr>
            </w:pPr>
            <w:r w:rsidRPr="00DC00C7">
              <w:rPr>
                <w:rFonts w:ascii="Century Gothic" w:hAnsi="Century Gothic"/>
                <w:b/>
                <w:bCs/>
                <w:sz w:val="18"/>
                <w:szCs w:val="18"/>
              </w:rPr>
              <w:t>Legal &amp; Compliance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21FA" w14:textId="77777777" w:rsidR="00CC3845" w:rsidRPr="00DC00C7" w:rsidRDefault="0099074B">
            <w:pPr>
              <w:rPr>
                <w:rFonts w:ascii="Century Gothic" w:hAnsi="Century Gothic"/>
              </w:rPr>
            </w:pPr>
            <w:r w:rsidRPr="00DC00C7">
              <w:rPr>
                <w:rFonts w:ascii="Century Gothic" w:hAnsi="Century Gothic"/>
                <w:sz w:val="18"/>
                <w:szCs w:val="18"/>
              </w:rPr>
              <w:t>Provides regulatory interpretation; maintains records of non-compliance incidents; oversees annual review of this procedure</w:t>
            </w:r>
          </w:p>
        </w:tc>
      </w:tr>
      <w:tr w:rsidR="00CC3845" w:rsidRPr="00DC00C7" w14:paraId="2B681CE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2D9CF44" w14:textId="77777777" w:rsidR="00CC3845" w:rsidRPr="00DC00C7" w:rsidRDefault="0099074B">
            <w:pPr>
              <w:rPr>
                <w:rFonts w:ascii="Century Gothic" w:hAnsi="Century Gothic"/>
              </w:rPr>
            </w:pPr>
            <w:r w:rsidRPr="00DC00C7">
              <w:rPr>
                <w:rFonts w:ascii="Century Gothic" w:hAnsi="Century Gothic"/>
                <w:b/>
                <w:bCs/>
                <w:sz w:val="18"/>
                <w:szCs w:val="18"/>
              </w:rPr>
              <w:t>Quality</w:t>
            </w:r>
          </w:p>
        </w:tc>
        <w:tc>
          <w:tcPr>
            <w:tcW w:w="656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8F1481C" w14:textId="77777777" w:rsidR="00CC3845" w:rsidRPr="00DC00C7" w:rsidRDefault="0099074B">
            <w:pPr>
              <w:rPr>
                <w:rFonts w:ascii="Century Gothic" w:hAnsi="Century Gothic"/>
              </w:rPr>
            </w:pPr>
            <w:r w:rsidRPr="00DC00C7">
              <w:rPr>
                <w:rFonts w:ascii="Century Gothic" w:hAnsi="Century Gothic"/>
                <w:sz w:val="18"/>
                <w:szCs w:val="18"/>
              </w:rPr>
              <w:t>Ensures REACH compliance information is current in product documentation; supports customer-facing REACH disclosure requests</w:t>
            </w:r>
          </w:p>
        </w:tc>
      </w:tr>
    </w:tbl>
    <w:p w14:paraId="099133E9"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6</w:t>
      </w:r>
      <w:proofErr w:type="gramStart"/>
      <w:r w:rsidRPr="00DC00C7">
        <w:rPr>
          <w:rFonts w:ascii="Century Gothic" w:hAnsi="Century Gothic"/>
        </w:rPr>
        <w:t>.  Related</w:t>
      </w:r>
      <w:proofErr w:type="gramEnd"/>
      <w:r w:rsidRPr="00DC00C7">
        <w:rPr>
          <w:rFonts w:ascii="Century Gothic" w:hAnsi="Century Gothic"/>
        </w:rPr>
        <w:t xml:space="preserve"> Documents</w:t>
      </w:r>
    </w:p>
    <w:p w14:paraId="22811935" w14:textId="77777777"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Vantage Supplier Code of Conduct</w:t>
      </w:r>
    </w:p>
    <w:p w14:paraId="1507D09A" w14:textId="5FB79B5E" w:rsidR="00CC3845" w:rsidRPr="00DC00C7" w:rsidRDefault="0099074B">
      <w:pPr>
        <w:pStyle w:val="ListParagraph"/>
        <w:numPr>
          <w:ilvl w:val="0"/>
          <w:numId w:val="2"/>
        </w:numPr>
        <w:spacing w:before="40" w:after="40"/>
        <w:rPr>
          <w:rFonts w:ascii="Century Gothic" w:hAnsi="Century Gothic"/>
        </w:rPr>
      </w:pPr>
      <w:r w:rsidRPr="00DC00C7">
        <w:rPr>
          <w:rFonts w:ascii="Century Gothic" w:hAnsi="Century Gothic"/>
        </w:rPr>
        <w:t>Regulatory Data Sheet</w:t>
      </w:r>
      <w:r w:rsidR="00DC00C7">
        <w:rPr>
          <w:rFonts w:ascii="Century Gothic" w:hAnsi="Century Gothic"/>
        </w:rPr>
        <w:t>s (RDS)</w:t>
      </w:r>
    </w:p>
    <w:p w14:paraId="48BC8894" w14:textId="2E69E691" w:rsidR="00CC3845" w:rsidRPr="00DC00C7" w:rsidRDefault="0099074B" w:rsidP="00DC00C7">
      <w:pPr>
        <w:pStyle w:val="ListParagraph"/>
        <w:numPr>
          <w:ilvl w:val="0"/>
          <w:numId w:val="2"/>
        </w:numPr>
        <w:spacing w:before="40" w:after="40"/>
        <w:rPr>
          <w:rFonts w:ascii="Century Gothic" w:hAnsi="Century Gothic"/>
        </w:rPr>
      </w:pPr>
      <w:r w:rsidRPr="00DC00C7">
        <w:rPr>
          <w:rFonts w:ascii="Century Gothic" w:hAnsi="Century Gothic"/>
        </w:rPr>
        <w:t xml:space="preserve">Anti-Corruption and </w:t>
      </w:r>
      <w:r w:rsidR="00DC00C7">
        <w:rPr>
          <w:rFonts w:ascii="Century Gothic" w:hAnsi="Century Gothic"/>
        </w:rPr>
        <w:t>Sustainable</w:t>
      </w:r>
      <w:r w:rsidRPr="00DC00C7">
        <w:rPr>
          <w:rFonts w:ascii="Century Gothic" w:hAnsi="Century Gothic"/>
        </w:rPr>
        <w:t xml:space="preserve"> Procurement Policy</w:t>
      </w:r>
    </w:p>
    <w:p w14:paraId="03D07FB8" w14:textId="77777777" w:rsidR="00CC3845" w:rsidRPr="00DC00C7" w:rsidRDefault="0099074B">
      <w:pPr>
        <w:pStyle w:val="Heading1"/>
        <w:pBdr>
          <w:bottom w:val="single" w:sz="8" w:space="4" w:color="1A6B3C"/>
        </w:pBdr>
        <w:rPr>
          <w:rFonts w:ascii="Century Gothic" w:hAnsi="Century Gothic"/>
        </w:rPr>
      </w:pPr>
      <w:r w:rsidRPr="00DC00C7">
        <w:rPr>
          <w:rFonts w:ascii="Century Gothic" w:hAnsi="Century Gothic"/>
        </w:rPr>
        <w:t>7</w:t>
      </w:r>
      <w:proofErr w:type="gramStart"/>
      <w:r w:rsidRPr="00DC00C7">
        <w:rPr>
          <w:rFonts w:ascii="Century Gothic" w:hAnsi="Century Gothic"/>
        </w:rPr>
        <w:t>.  Approval</w:t>
      </w:r>
      <w:proofErr w:type="gramEnd"/>
      <w:r w:rsidRPr="00DC00C7">
        <w:rPr>
          <w:rFonts w:ascii="Century Gothic" w:hAnsi="Century Gothic"/>
        </w:rPr>
        <w:t xml:space="preserve"> and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80"/>
        <w:gridCol w:w="2880"/>
      </w:tblGrid>
      <w:tr w:rsidR="00CC3845" w:rsidRPr="00DC00C7" w14:paraId="7B854C62" w14:textId="77777777">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0C0632C" w14:textId="77777777" w:rsidR="00CC3845" w:rsidRPr="00DC00C7" w:rsidRDefault="0099074B">
            <w:pPr>
              <w:rPr>
                <w:rFonts w:ascii="Century Gothic" w:hAnsi="Century Gothic"/>
              </w:rPr>
            </w:pPr>
            <w:r w:rsidRPr="00DC00C7">
              <w:rPr>
                <w:rFonts w:ascii="Century Gothic" w:hAnsi="Century Gothic"/>
                <w:b/>
                <w:bCs/>
                <w:color w:val="FFFFFF"/>
                <w:sz w:val="18"/>
                <w:szCs w:val="18"/>
              </w:rPr>
              <w:t>Version</w:t>
            </w:r>
          </w:p>
        </w:tc>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FA98B11" w14:textId="77777777" w:rsidR="00CC3845" w:rsidRPr="00DC00C7" w:rsidRDefault="0099074B">
            <w:pPr>
              <w:rPr>
                <w:rFonts w:ascii="Century Gothic" w:hAnsi="Century Gothic"/>
              </w:rPr>
            </w:pPr>
            <w:r w:rsidRPr="00DC00C7">
              <w:rPr>
                <w:rFonts w:ascii="Century Gothic" w:hAnsi="Century Gothic"/>
                <w:b/>
                <w:bCs/>
                <w:color w:val="FFFFFF"/>
                <w:sz w:val="18"/>
                <w:szCs w:val="18"/>
              </w:rPr>
              <w:t>Date</w:t>
            </w:r>
          </w:p>
        </w:tc>
        <w:tc>
          <w:tcPr>
            <w:tcW w:w="288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648DD39" w14:textId="77777777" w:rsidR="00CC3845" w:rsidRPr="00DC00C7" w:rsidRDefault="0099074B">
            <w:pPr>
              <w:rPr>
                <w:rFonts w:ascii="Century Gothic" w:hAnsi="Century Gothic"/>
              </w:rPr>
            </w:pPr>
            <w:r w:rsidRPr="00DC00C7">
              <w:rPr>
                <w:rFonts w:ascii="Century Gothic" w:hAnsi="Century Gothic"/>
                <w:b/>
                <w:bCs/>
                <w:color w:val="FFFFFF"/>
                <w:sz w:val="18"/>
                <w:szCs w:val="18"/>
              </w:rPr>
              <w:t>Author</w:t>
            </w:r>
          </w:p>
        </w:tc>
        <w:tc>
          <w:tcPr>
            <w:tcW w:w="288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45BA992" w14:textId="77777777" w:rsidR="00CC3845" w:rsidRPr="00DC00C7" w:rsidRDefault="0099074B">
            <w:pPr>
              <w:rPr>
                <w:rFonts w:ascii="Century Gothic" w:hAnsi="Century Gothic"/>
              </w:rPr>
            </w:pPr>
            <w:r w:rsidRPr="00DC00C7">
              <w:rPr>
                <w:rFonts w:ascii="Century Gothic" w:hAnsi="Century Gothic"/>
                <w:b/>
                <w:bCs/>
                <w:color w:val="FFFFFF"/>
                <w:sz w:val="18"/>
                <w:szCs w:val="18"/>
              </w:rPr>
              <w:t>Summary of Changes</w:t>
            </w:r>
          </w:p>
        </w:tc>
      </w:tr>
      <w:tr w:rsidR="00CC3845" w:rsidRPr="00DC00C7" w14:paraId="4E261A4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3FAA" w14:textId="77777777" w:rsidR="00CC3845" w:rsidRPr="00DC00C7" w:rsidRDefault="0099074B">
            <w:pPr>
              <w:rPr>
                <w:rFonts w:ascii="Century Gothic" w:hAnsi="Century Gothic"/>
              </w:rPr>
            </w:pPr>
            <w:r w:rsidRPr="00DC00C7">
              <w:rPr>
                <w:rFonts w:ascii="Century Gothic" w:hAnsi="Century Gothic"/>
                <w:sz w:val="18"/>
                <w:szCs w:val="18"/>
              </w:rPr>
              <w:t>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4489" w14:textId="77777777" w:rsidR="00CC3845" w:rsidRPr="00DC00C7" w:rsidRDefault="0099074B">
            <w:pPr>
              <w:rPr>
                <w:rFonts w:ascii="Century Gothic" w:hAnsi="Century Gothic"/>
              </w:rPr>
            </w:pPr>
            <w:r w:rsidRPr="00DC00C7">
              <w:rPr>
                <w:rFonts w:ascii="Century Gothic" w:hAnsi="Century Gothic"/>
                <w:sz w:val="18"/>
                <w:szCs w:val="18"/>
              </w:rPr>
              <w:t>April 2026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D0533" w14:textId="77777777" w:rsidR="00CC3845" w:rsidRPr="00DC00C7" w:rsidRDefault="0099074B">
            <w:pPr>
              <w:rPr>
                <w:rFonts w:ascii="Century Gothic" w:hAnsi="Century Gothic"/>
              </w:rPr>
            </w:pPr>
            <w:r w:rsidRPr="00DC00C7">
              <w:rPr>
                <w:rFonts w:ascii="Century Gothic" w:hAnsi="Century Gothic"/>
                <w:sz w:val="18"/>
                <w:szCs w:val="18"/>
              </w:rPr>
              <w:t>Regulatory Affairs / Procurement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D4FAA" w14:textId="77777777" w:rsidR="00CC3845" w:rsidRPr="00DC00C7" w:rsidRDefault="0099074B">
            <w:pPr>
              <w:rPr>
                <w:rFonts w:ascii="Century Gothic" w:hAnsi="Century Gothic"/>
              </w:rPr>
            </w:pPr>
            <w:r w:rsidRPr="00DC00C7">
              <w:rPr>
                <w:rFonts w:ascii="Century Gothic" w:hAnsi="Century Gothic"/>
                <w:sz w:val="18"/>
                <w:szCs w:val="18"/>
              </w:rPr>
              <w:t xml:space="preserve">Initial issue — formalizes existing REACH compliance assessment practice for </w:t>
            </w:r>
            <w:proofErr w:type="spellStart"/>
            <w:r w:rsidRPr="00DC00C7">
              <w:rPr>
                <w:rFonts w:ascii="Century Gothic" w:hAnsi="Century Gothic"/>
                <w:sz w:val="18"/>
                <w:szCs w:val="18"/>
              </w:rPr>
              <w:t>EcoVadis</w:t>
            </w:r>
            <w:proofErr w:type="spellEnd"/>
            <w:r w:rsidRPr="00DC00C7">
              <w:rPr>
                <w:rFonts w:ascii="Century Gothic" w:hAnsi="Century Gothic"/>
                <w:sz w:val="18"/>
                <w:szCs w:val="18"/>
              </w:rPr>
              <w:t xml:space="preserve"> and internal audit purposes</w:t>
            </w:r>
          </w:p>
        </w:tc>
      </w:tr>
    </w:tbl>
    <w:p w14:paraId="00E482BC" w14:textId="10B637AE" w:rsidR="00CC3845" w:rsidRPr="00DC00C7" w:rsidRDefault="00CC3845">
      <w:pPr>
        <w:spacing w:before="40" w:after="40"/>
        <w:rPr>
          <w:rFonts w:ascii="Century Gothic" w:hAnsi="Century Gothic"/>
        </w:rPr>
      </w:pPr>
    </w:p>
    <w:sectPr w:rsidR="00CC3845" w:rsidRPr="00DC00C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B5F4" w14:textId="77777777" w:rsidR="00251D74" w:rsidRDefault="00251D74">
      <w:r>
        <w:separator/>
      </w:r>
    </w:p>
  </w:endnote>
  <w:endnote w:type="continuationSeparator" w:id="0">
    <w:p w14:paraId="51F0AC8C" w14:textId="77777777" w:rsidR="00251D74" w:rsidRDefault="00251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A547" w14:textId="77777777" w:rsidR="00CC3845" w:rsidRDefault="0099074B">
    <w:pPr>
      <w:pBdr>
        <w:top w:val="single" w:sz="6" w:space="4" w:color="1A6B3C"/>
      </w:pBdr>
      <w:tabs>
        <w:tab w:val="right" w:pos="9360"/>
      </w:tabs>
      <w:spacing w:before="80"/>
    </w:pPr>
    <w:r>
      <w:rPr>
        <w:color w:val="595959"/>
        <w:sz w:val="16"/>
        <w:szCs w:val="16"/>
      </w:rPr>
      <w:t>CONFIDENTIAL — INTERNAL USE ONLY</w:t>
    </w:r>
    <w:r>
      <w:rPr>
        <w:color w:val="595959"/>
        <w:sz w:val="16"/>
        <w:szCs w:val="16"/>
      </w:rPr>
      <w:tab/>
      <w:t>Page [auto]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DC72" w14:textId="77777777" w:rsidR="00251D74" w:rsidRDefault="00251D74">
      <w:r>
        <w:separator/>
      </w:r>
    </w:p>
  </w:footnote>
  <w:footnote w:type="continuationSeparator" w:id="0">
    <w:p w14:paraId="5D969678" w14:textId="77777777" w:rsidR="00251D74" w:rsidRDefault="00251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8993" w14:textId="77777777" w:rsidR="00CC3845" w:rsidRDefault="0099074B">
    <w:pPr>
      <w:pBdr>
        <w:bottom w:val="single" w:sz="6" w:space="4" w:color="1A6B3C"/>
      </w:pBdr>
      <w:tabs>
        <w:tab w:val="right" w:pos="9360"/>
      </w:tabs>
      <w:spacing w:after="80"/>
    </w:pPr>
    <w:r>
      <w:rPr>
        <w:b/>
        <w:bCs/>
        <w:color w:val="1A6B3C"/>
        <w:sz w:val="18"/>
        <w:szCs w:val="18"/>
      </w:rPr>
      <w:t>Vantage Specialty Chemicals</w:t>
    </w:r>
    <w:r>
      <w:rPr>
        <w:color w:val="595959"/>
        <w:sz w:val="16"/>
        <w:szCs w:val="16"/>
      </w:rPr>
      <w:tab/>
      <w:t>REACH Compliance Supplier Assessment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4FE0"/>
    <w:multiLevelType w:val="hybridMultilevel"/>
    <w:tmpl w:val="FF38D124"/>
    <w:lvl w:ilvl="0" w:tplc="09D22D56">
      <w:start w:val="1"/>
      <w:numFmt w:val="decimal"/>
      <w:lvlText w:val="%1."/>
      <w:lvlJc w:val="left"/>
      <w:pPr>
        <w:ind w:left="720" w:hanging="360"/>
      </w:pPr>
    </w:lvl>
    <w:lvl w:ilvl="1" w:tplc="A3AC7A3A">
      <w:numFmt w:val="decimal"/>
      <w:lvlText w:val=""/>
      <w:lvlJc w:val="left"/>
    </w:lvl>
    <w:lvl w:ilvl="2" w:tplc="9FEA41E0">
      <w:numFmt w:val="decimal"/>
      <w:lvlText w:val=""/>
      <w:lvlJc w:val="left"/>
    </w:lvl>
    <w:lvl w:ilvl="3" w:tplc="A1629968">
      <w:numFmt w:val="decimal"/>
      <w:lvlText w:val=""/>
      <w:lvlJc w:val="left"/>
    </w:lvl>
    <w:lvl w:ilvl="4" w:tplc="C284E154">
      <w:numFmt w:val="decimal"/>
      <w:lvlText w:val=""/>
      <w:lvlJc w:val="left"/>
    </w:lvl>
    <w:lvl w:ilvl="5" w:tplc="D4E278B0">
      <w:numFmt w:val="decimal"/>
      <w:lvlText w:val=""/>
      <w:lvlJc w:val="left"/>
    </w:lvl>
    <w:lvl w:ilvl="6" w:tplc="9D9011B2">
      <w:numFmt w:val="decimal"/>
      <w:lvlText w:val=""/>
      <w:lvlJc w:val="left"/>
    </w:lvl>
    <w:lvl w:ilvl="7" w:tplc="5CC2EDD0">
      <w:numFmt w:val="decimal"/>
      <w:lvlText w:val=""/>
      <w:lvlJc w:val="left"/>
    </w:lvl>
    <w:lvl w:ilvl="8" w:tplc="022EE20E">
      <w:numFmt w:val="decimal"/>
      <w:lvlText w:val=""/>
      <w:lvlJc w:val="left"/>
    </w:lvl>
  </w:abstractNum>
  <w:abstractNum w:abstractNumId="1" w15:restartNumberingAfterBreak="0">
    <w:nsid w:val="170E2958"/>
    <w:multiLevelType w:val="hybridMultilevel"/>
    <w:tmpl w:val="97A2A752"/>
    <w:lvl w:ilvl="0" w:tplc="82B4D30C">
      <w:start w:val="1"/>
      <w:numFmt w:val="bullet"/>
      <w:lvlText w:val="•"/>
      <w:lvlJc w:val="left"/>
      <w:pPr>
        <w:ind w:left="720" w:hanging="360"/>
      </w:pPr>
    </w:lvl>
    <w:lvl w:ilvl="1" w:tplc="0D44385A">
      <w:numFmt w:val="decimal"/>
      <w:lvlText w:val=""/>
      <w:lvlJc w:val="left"/>
    </w:lvl>
    <w:lvl w:ilvl="2" w:tplc="2EE431AC">
      <w:numFmt w:val="decimal"/>
      <w:lvlText w:val=""/>
      <w:lvlJc w:val="left"/>
    </w:lvl>
    <w:lvl w:ilvl="3" w:tplc="FC6EC53C">
      <w:numFmt w:val="decimal"/>
      <w:lvlText w:val=""/>
      <w:lvlJc w:val="left"/>
    </w:lvl>
    <w:lvl w:ilvl="4" w:tplc="2836EF4A">
      <w:numFmt w:val="decimal"/>
      <w:lvlText w:val=""/>
      <w:lvlJc w:val="left"/>
    </w:lvl>
    <w:lvl w:ilvl="5" w:tplc="7AE64D22">
      <w:numFmt w:val="decimal"/>
      <w:lvlText w:val=""/>
      <w:lvlJc w:val="left"/>
    </w:lvl>
    <w:lvl w:ilvl="6" w:tplc="A47CB192">
      <w:numFmt w:val="decimal"/>
      <w:lvlText w:val=""/>
      <w:lvlJc w:val="left"/>
    </w:lvl>
    <w:lvl w:ilvl="7" w:tplc="D5C81A4A">
      <w:numFmt w:val="decimal"/>
      <w:lvlText w:val=""/>
      <w:lvlJc w:val="left"/>
    </w:lvl>
    <w:lvl w:ilvl="8" w:tplc="FBDCDB32">
      <w:numFmt w:val="decimal"/>
      <w:lvlText w:val=""/>
      <w:lvlJc w:val="left"/>
    </w:lvl>
  </w:abstractNum>
  <w:abstractNum w:abstractNumId="2" w15:restartNumberingAfterBreak="0">
    <w:nsid w:val="569025FB"/>
    <w:multiLevelType w:val="hybridMultilevel"/>
    <w:tmpl w:val="8BDE3C88"/>
    <w:lvl w:ilvl="0" w:tplc="87CAC8BC">
      <w:start w:val="1"/>
      <w:numFmt w:val="bullet"/>
      <w:lvlText w:val="●"/>
      <w:lvlJc w:val="left"/>
      <w:pPr>
        <w:ind w:left="720" w:hanging="360"/>
      </w:pPr>
    </w:lvl>
    <w:lvl w:ilvl="1" w:tplc="8528D51C">
      <w:start w:val="1"/>
      <w:numFmt w:val="bullet"/>
      <w:lvlText w:val="○"/>
      <w:lvlJc w:val="left"/>
      <w:pPr>
        <w:ind w:left="1440" w:hanging="360"/>
      </w:pPr>
    </w:lvl>
    <w:lvl w:ilvl="2" w:tplc="16CCFB68">
      <w:start w:val="1"/>
      <w:numFmt w:val="bullet"/>
      <w:lvlText w:val="■"/>
      <w:lvlJc w:val="left"/>
      <w:pPr>
        <w:ind w:left="2160" w:hanging="360"/>
      </w:pPr>
    </w:lvl>
    <w:lvl w:ilvl="3" w:tplc="89ECB644">
      <w:start w:val="1"/>
      <w:numFmt w:val="bullet"/>
      <w:lvlText w:val="●"/>
      <w:lvlJc w:val="left"/>
      <w:pPr>
        <w:ind w:left="2880" w:hanging="360"/>
      </w:pPr>
    </w:lvl>
    <w:lvl w:ilvl="4" w:tplc="F8E05834">
      <w:start w:val="1"/>
      <w:numFmt w:val="bullet"/>
      <w:lvlText w:val="○"/>
      <w:lvlJc w:val="left"/>
      <w:pPr>
        <w:ind w:left="3600" w:hanging="360"/>
      </w:pPr>
    </w:lvl>
    <w:lvl w:ilvl="5" w:tplc="51F24B3C">
      <w:start w:val="1"/>
      <w:numFmt w:val="bullet"/>
      <w:lvlText w:val="■"/>
      <w:lvlJc w:val="left"/>
      <w:pPr>
        <w:ind w:left="4320" w:hanging="360"/>
      </w:pPr>
    </w:lvl>
    <w:lvl w:ilvl="6" w:tplc="CD1652A2">
      <w:start w:val="1"/>
      <w:numFmt w:val="bullet"/>
      <w:lvlText w:val="●"/>
      <w:lvlJc w:val="left"/>
      <w:pPr>
        <w:ind w:left="5040" w:hanging="360"/>
      </w:pPr>
    </w:lvl>
    <w:lvl w:ilvl="7" w:tplc="6D96B07C">
      <w:start w:val="1"/>
      <w:numFmt w:val="bullet"/>
      <w:lvlText w:val="●"/>
      <w:lvlJc w:val="left"/>
      <w:pPr>
        <w:ind w:left="5760" w:hanging="360"/>
      </w:pPr>
    </w:lvl>
    <w:lvl w:ilvl="8" w:tplc="F4CA728E">
      <w:start w:val="1"/>
      <w:numFmt w:val="bullet"/>
      <w:lvlText w:val="●"/>
      <w:lvlJc w:val="left"/>
      <w:pPr>
        <w:ind w:left="6480" w:hanging="360"/>
      </w:pPr>
    </w:lvl>
  </w:abstractNum>
  <w:num w:numId="1" w16cid:durableId="1883135098">
    <w:abstractNumId w:val="2"/>
    <w:lvlOverride w:ilvl="0">
      <w:startOverride w:val="1"/>
    </w:lvlOverride>
  </w:num>
  <w:num w:numId="2" w16cid:durableId="1385987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845"/>
    <w:rsid w:val="00044740"/>
    <w:rsid w:val="00251D74"/>
    <w:rsid w:val="007C0163"/>
    <w:rsid w:val="0099074B"/>
    <w:rsid w:val="00CC3845"/>
    <w:rsid w:val="00DB3FC2"/>
    <w:rsid w:val="00DC0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52D9"/>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26"/>
      <w:szCs w:val="26"/>
    </w:rPr>
  </w:style>
  <w:style w:type="paragraph" w:styleId="Heading2">
    <w:name w:val="heading 2"/>
    <w:uiPriority w:val="9"/>
    <w:unhideWhenUsed/>
    <w:qFormat/>
    <w:pPr>
      <w:spacing w:before="240" w:after="120"/>
      <w:outlineLvl w:val="1"/>
    </w:pPr>
    <w:rPr>
      <w:b/>
      <w:bCs/>
      <w:color w:val="1A6B3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3</Pages>
  <Words>849</Words>
  <Characters>5531</Characters>
  <Application>Microsoft Office Word</Application>
  <DocSecurity>0</DocSecurity>
  <Lines>145</Lines>
  <Paragraphs>108</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5</cp:revision>
  <dcterms:created xsi:type="dcterms:W3CDTF">2026-03-27T19:38:00Z</dcterms:created>
  <dcterms:modified xsi:type="dcterms:W3CDTF">2026-04-16T20:21:00Z</dcterms:modified>
</cp:coreProperties>
</file>